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915" w:rsidRDefault="00960864" w:rsidP="009A1C1B">
      <w:pPr>
        <w:ind w:firstLine="31680"/>
        <w:rPr>
          <w:color w:val="000000"/>
        </w:rPr>
      </w:pPr>
      <w:r>
        <w:rPr>
          <w:color w:val="000000"/>
        </w:rPr>
        <w:t xml:space="preserve"> </w:t>
      </w:r>
    </w:p>
    <w:p w:rsidR="00692915" w:rsidRDefault="00692915" w:rsidP="009A1C1B">
      <w:pPr>
        <w:ind w:firstLine="31680"/>
        <w:rPr>
          <w:color w:val="000000"/>
        </w:rPr>
      </w:pPr>
    </w:p>
    <w:p w:rsidR="00692915" w:rsidRDefault="00692915" w:rsidP="009A1C1B">
      <w:pPr>
        <w:ind w:firstLine="31680"/>
        <w:rPr>
          <w:color w:val="000000"/>
        </w:rPr>
      </w:pPr>
    </w:p>
    <w:p w:rsidR="00692915" w:rsidRDefault="00692915" w:rsidP="009A1C1B">
      <w:pPr>
        <w:ind w:firstLine="31680"/>
        <w:rPr>
          <w:color w:val="000000"/>
        </w:rPr>
      </w:pPr>
    </w:p>
    <w:p w:rsidR="00692915" w:rsidRDefault="00692915" w:rsidP="009A1C1B">
      <w:pPr>
        <w:ind w:firstLine="31680"/>
        <w:rPr>
          <w:color w:val="000000"/>
        </w:rPr>
      </w:pPr>
    </w:p>
    <w:p w:rsidR="00692915" w:rsidRDefault="00692915">
      <w:pPr>
        <w:pStyle w:val="Heading1"/>
        <w:spacing w:before="720" w:after="720"/>
        <w:ind w:firstLineChars="0" w:firstLine="0"/>
        <w:rPr>
          <w:rFonts w:hint="eastAsia"/>
          <w:color w:val="000000"/>
        </w:rPr>
      </w:pPr>
      <w:r>
        <w:rPr>
          <w:rFonts w:hint="eastAsia"/>
          <w:color w:val="000000"/>
        </w:rPr>
        <w:t>作为缔约国报告组成部分的核心文件</w:t>
      </w:r>
    </w:p>
    <w:p w:rsidR="00692915" w:rsidRDefault="00692915">
      <w:pPr>
        <w:pStyle w:val="Heading1"/>
        <w:spacing w:after="720"/>
        <w:ind w:firstLineChars="0" w:firstLine="0"/>
        <w:rPr>
          <w:rFonts w:ascii="SimHei" w:eastAsia="SimHei"/>
          <w:b w:val="0"/>
          <w:bCs/>
          <w:color w:val="000000"/>
        </w:rPr>
      </w:pPr>
      <w:r>
        <w:rPr>
          <w:rFonts w:ascii="SimHei" w:eastAsia="SimHei" w:hint="eastAsia"/>
          <w:b w:val="0"/>
          <w:bCs/>
          <w:color w:val="000000"/>
        </w:rPr>
        <w:t>东帝汶</w:t>
      </w:r>
      <w:r>
        <w:rPr>
          <w:rStyle w:val="FootnoteReference"/>
          <w:rFonts w:ascii="SimHei" w:eastAsia="SimHei"/>
          <w:b w:val="0"/>
          <w:bCs/>
          <w:color w:val="000000"/>
        </w:rPr>
        <w:footnoteReference w:customMarkFollows="1" w:id="1"/>
        <w:t>*</w:t>
      </w:r>
    </w:p>
    <w:p w:rsidR="00692915" w:rsidRDefault="00692915">
      <w:pPr>
        <w:ind w:firstLineChars="0" w:firstLine="0"/>
        <w:jc w:val="right"/>
        <w:rPr>
          <w:color w:val="000000"/>
        </w:rPr>
      </w:pPr>
      <w:r>
        <w:rPr>
          <w:color w:val="000000"/>
        </w:rPr>
        <w:t>[2007</w:t>
      </w:r>
      <w:r>
        <w:rPr>
          <w:rFonts w:hint="eastAsia"/>
          <w:color w:val="000000"/>
        </w:rPr>
        <w:t>年</w:t>
      </w:r>
      <w:r>
        <w:rPr>
          <w:rFonts w:hint="eastAsia"/>
          <w:color w:val="000000"/>
        </w:rPr>
        <w:t>3</w:t>
      </w:r>
      <w:r>
        <w:rPr>
          <w:rFonts w:hint="eastAsia"/>
          <w:color w:val="000000"/>
        </w:rPr>
        <w:t>月</w:t>
      </w:r>
      <w:r>
        <w:rPr>
          <w:rFonts w:hint="eastAsia"/>
          <w:color w:val="000000"/>
        </w:rPr>
        <w:t>1</w:t>
      </w:r>
      <w:r>
        <w:rPr>
          <w:rFonts w:hint="eastAsia"/>
          <w:color w:val="000000"/>
        </w:rPr>
        <w:t>日</w:t>
      </w:r>
      <w:r>
        <w:rPr>
          <w:color w:val="000000"/>
        </w:rPr>
        <w:t>]</w:t>
      </w:r>
    </w:p>
    <w:p w:rsidR="00692915" w:rsidRDefault="00692915" w:rsidP="009A1C1B">
      <w:pPr>
        <w:ind w:firstLine="31680"/>
        <w:rPr>
          <w:color w:val="000000"/>
        </w:rPr>
      </w:pPr>
    </w:p>
    <w:p w:rsidR="00692915" w:rsidRDefault="00692915" w:rsidP="009A1C1B">
      <w:pPr>
        <w:ind w:firstLine="31680"/>
        <w:rPr>
          <w:color w:val="000000"/>
        </w:rPr>
      </w:pPr>
    </w:p>
    <w:p w:rsidR="00692915" w:rsidRDefault="00692915" w:rsidP="009A1C1B">
      <w:pPr>
        <w:spacing w:after="240"/>
        <w:ind w:firstLine="31680"/>
        <w:jc w:val="center"/>
        <w:rPr>
          <w:rFonts w:eastAsia="KaiTi_GB2312" w:hint="eastAsia"/>
          <w:color w:val="000000"/>
          <w:sz w:val="28"/>
        </w:rPr>
      </w:pPr>
      <w:r>
        <w:rPr>
          <w:color w:val="000000"/>
        </w:rPr>
        <w:br w:type="page"/>
      </w:r>
      <w:bookmarkStart w:id="0" w:name="_Toc110346316"/>
      <w:bookmarkStart w:id="1" w:name="_Toc134777670"/>
      <w:bookmarkStart w:id="2" w:name="_Toc134777898"/>
      <w:bookmarkStart w:id="3" w:name="_Toc135829876"/>
      <w:bookmarkStart w:id="4" w:name="_Toc135833883"/>
      <w:bookmarkStart w:id="5" w:name="_Toc135834100"/>
      <w:r>
        <w:rPr>
          <w:rFonts w:eastAsia="KaiTi_GB2312" w:hint="eastAsia"/>
          <w:b/>
          <w:color w:val="000000"/>
          <w:sz w:val="28"/>
        </w:rPr>
        <w:t>目</w:t>
      </w:r>
      <w:r>
        <w:rPr>
          <w:rFonts w:eastAsia="KaiTi_GB2312" w:hint="eastAsia"/>
          <w:b/>
          <w:color w:val="000000"/>
          <w:sz w:val="28"/>
        </w:rPr>
        <w:t xml:space="preserve"> </w:t>
      </w:r>
      <w:r>
        <w:rPr>
          <w:rFonts w:eastAsia="KaiTi_GB2312" w:hint="eastAsia"/>
          <w:b/>
          <w:color w:val="000000"/>
          <w:sz w:val="28"/>
        </w:rPr>
        <w:t>录</w:t>
      </w:r>
    </w:p>
    <w:p w:rsidR="00692915" w:rsidRDefault="00692915" w:rsidP="009A1C1B">
      <w:pPr>
        <w:tabs>
          <w:tab w:val="left" w:pos="567"/>
          <w:tab w:val="left" w:pos="7470"/>
          <w:tab w:val="center" w:pos="8060"/>
          <w:tab w:val="right" w:pos="9298"/>
        </w:tabs>
        <w:ind w:firstLine="31680"/>
        <w:rPr>
          <w:rFonts w:ascii="KaiTi_GB2312" w:eastAsia="KaiTi_GB2312" w:hint="eastAsia"/>
          <w:iCs/>
          <w:color w:val="000000"/>
        </w:rPr>
      </w:pPr>
      <w:r>
        <w:rPr>
          <w:rFonts w:ascii="KaiTi_GB2312" w:eastAsia="KaiTi_GB2312" w:hint="eastAsia"/>
          <w:iCs/>
          <w:color w:val="000000"/>
        </w:rPr>
        <w:tab/>
      </w:r>
      <w:r>
        <w:rPr>
          <w:rFonts w:ascii="KaiTi_GB2312" w:eastAsia="KaiTi_GB2312" w:hint="eastAsia"/>
          <w:iCs/>
          <w:color w:val="000000"/>
        </w:rPr>
        <w:tab/>
      </w:r>
      <w:r>
        <w:rPr>
          <w:rFonts w:ascii="KaiTi_GB2312" w:eastAsia="KaiTi_GB2312" w:hint="eastAsia"/>
          <w:iCs/>
          <w:color w:val="000000"/>
        </w:rPr>
        <w:tab/>
      </w:r>
      <w:r>
        <w:rPr>
          <w:rFonts w:ascii="KaiTi_GB2312" w:eastAsia="KaiTi_GB2312" w:hint="eastAsia"/>
          <w:iCs/>
          <w:color w:val="000000"/>
          <w:u w:val="single"/>
        </w:rPr>
        <w:t>段次</w:t>
      </w:r>
      <w:r>
        <w:rPr>
          <w:rFonts w:ascii="KaiTi_GB2312" w:eastAsia="KaiTi_GB2312" w:hint="eastAsia"/>
          <w:iCs/>
          <w:color w:val="000000"/>
        </w:rPr>
        <w:t xml:space="preserve"> </w:t>
      </w:r>
      <w:r>
        <w:rPr>
          <w:rFonts w:ascii="KaiTi_GB2312" w:eastAsia="KaiTi_GB2312" w:hint="eastAsia"/>
          <w:iCs/>
          <w:color w:val="000000"/>
        </w:rPr>
        <w:tab/>
      </w:r>
      <w:r>
        <w:rPr>
          <w:rFonts w:ascii="KaiTi_GB2312" w:eastAsia="KaiTi_GB2312" w:hint="eastAsia"/>
          <w:iCs/>
          <w:color w:val="000000"/>
          <w:u w:val="single"/>
        </w:rPr>
        <w:t>页次</w:t>
      </w:r>
    </w:p>
    <w:bookmarkEnd w:id="0"/>
    <w:bookmarkEnd w:id="1"/>
    <w:bookmarkEnd w:id="2"/>
    <w:bookmarkEnd w:id="3"/>
    <w:bookmarkEnd w:id="4"/>
    <w:bookmarkEnd w:id="5"/>
    <w:p w:rsidR="00692915" w:rsidRDefault="00692915" w:rsidP="009A1C1B">
      <w:pPr>
        <w:tabs>
          <w:tab w:val="left" w:pos="567"/>
          <w:tab w:val="left" w:leader="dot" w:pos="7410"/>
          <w:tab w:val="center" w:pos="8060"/>
          <w:tab w:val="right" w:pos="9298"/>
        </w:tabs>
        <w:spacing w:line="312" w:lineRule="auto"/>
        <w:ind w:firstLine="31680"/>
        <w:rPr>
          <w:rFonts w:hint="eastAsia"/>
          <w:color w:val="000000"/>
        </w:rPr>
      </w:pPr>
      <w:r>
        <w:rPr>
          <w:rFonts w:hint="eastAsia"/>
          <w:color w:val="000000"/>
        </w:rPr>
        <w:t>缩略语</w:t>
      </w:r>
      <w:r>
        <w:rPr>
          <w:color w:val="000000"/>
        </w:rPr>
        <w:t xml:space="preserve"> </w:t>
      </w:r>
      <w:r>
        <w:rPr>
          <w:color w:val="000000"/>
        </w:rPr>
        <w:tab/>
      </w:r>
      <w:r>
        <w:rPr>
          <w:color w:val="000000"/>
        </w:rPr>
        <w:tab/>
      </w:r>
      <w:r>
        <w:rPr>
          <w:rFonts w:hint="eastAsia"/>
          <w:color w:val="000000"/>
        </w:rPr>
        <w:tab/>
        <w:t>5</w:t>
      </w:r>
    </w:p>
    <w:p w:rsidR="00692915" w:rsidRDefault="00692915" w:rsidP="009A1C1B">
      <w:pPr>
        <w:tabs>
          <w:tab w:val="left" w:pos="567"/>
          <w:tab w:val="left" w:leader="dot" w:pos="7410"/>
          <w:tab w:val="center" w:pos="8060"/>
          <w:tab w:val="right" w:pos="9298"/>
        </w:tabs>
        <w:spacing w:line="312" w:lineRule="auto"/>
        <w:ind w:firstLine="31680"/>
        <w:rPr>
          <w:rFonts w:hint="eastAsia"/>
          <w:color w:val="000000"/>
        </w:rPr>
      </w:pPr>
      <w:r>
        <w:rPr>
          <w:rFonts w:hint="eastAsia"/>
          <w:color w:val="000000"/>
        </w:rPr>
        <w:t>一、有关东帝汶的一般事实及统计资料</w:t>
      </w:r>
      <w:r>
        <w:rPr>
          <w:color w:val="000000"/>
        </w:rPr>
        <w:tab/>
      </w:r>
      <w:r>
        <w:rPr>
          <w:rFonts w:hint="eastAsia"/>
          <w:color w:val="000000"/>
        </w:rPr>
        <w:tab/>
        <w:t>1-121</w:t>
      </w:r>
      <w:r>
        <w:rPr>
          <w:rFonts w:hint="eastAsia"/>
          <w:color w:val="000000"/>
        </w:rPr>
        <w:tab/>
        <w:t>7</w:t>
      </w:r>
    </w:p>
    <w:p w:rsidR="00692915" w:rsidRDefault="00692915" w:rsidP="009A1C1B">
      <w:pPr>
        <w:tabs>
          <w:tab w:val="left" w:pos="567"/>
          <w:tab w:val="left" w:pos="1134"/>
          <w:tab w:val="left" w:leader="dot" w:pos="7410"/>
          <w:tab w:val="center" w:pos="8060"/>
          <w:tab w:val="right" w:pos="9298"/>
        </w:tabs>
        <w:spacing w:line="312" w:lineRule="auto"/>
        <w:ind w:firstLine="31680"/>
        <w:rPr>
          <w:rFonts w:hint="eastAsia"/>
          <w:bCs/>
          <w:color w:val="000000"/>
        </w:rPr>
      </w:pPr>
      <w:r>
        <w:rPr>
          <w:color w:val="000000"/>
        </w:rPr>
        <w:tab/>
        <w:t>A.</w:t>
      </w:r>
      <w:r>
        <w:rPr>
          <w:color w:val="000000"/>
        </w:rPr>
        <w:tab/>
      </w:r>
      <w:r>
        <w:rPr>
          <w:rFonts w:hint="eastAsia"/>
          <w:bCs/>
          <w:color w:val="000000"/>
        </w:rPr>
        <w:t>人口、经济、社会和文化特征</w:t>
      </w:r>
      <w:r>
        <w:rPr>
          <w:bCs/>
          <w:color w:val="000000"/>
        </w:rPr>
        <w:tab/>
      </w:r>
      <w:r>
        <w:rPr>
          <w:bCs/>
          <w:color w:val="000000"/>
        </w:rPr>
        <w:tab/>
      </w:r>
      <w:r>
        <w:rPr>
          <w:rFonts w:hint="eastAsia"/>
          <w:color w:val="000000"/>
        </w:rPr>
        <w:t>1-6</w:t>
      </w:r>
      <w:r>
        <w:rPr>
          <w:rFonts w:hint="eastAsia"/>
          <w:color w:val="000000"/>
        </w:rPr>
        <w:tab/>
        <w:t>7</w:t>
      </w:r>
    </w:p>
    <w:p w:rsidR="00692915" w:rsidRDefault="00692915" w:rsidP="009A1C1B">
      <w:pPr>
        <w:pStyle w:val="Header"/>
        <w:tabs>
          <w:tab w:val="clear" w:pos="992"/>
          <w:tab w:val="clear" w:pos="5772"/>
          <w:tab w:val="clear" w:pos="6634"/>
          <w:tab w:val="clear" w:pos="7144"/>
          <w:tab w:val="clear" w:pos="7655"/>
          <w:tab w:val="clear" w:pos="8165"/>
          <w:tab w:val="left" w:pos="1134"/>
          <w:tab w:val="left" w:pos="1690"/>
          <w:tab w:val="left" w:leader="dot" w:pos="7410"/>
          <w:tab w:val="center" w:pos="8060"/>
          <w:tab w:val="right" w:pos="9298"/>
        </w:tabs>
        <w:spacing w:line="312" w:lineRule="auto"/>
        <w:ind w:firstLine="31680"/>
        <w:rPr>
          <w:rFonts w:eastAsia="SimSun" w:hint="eastAsia"/>
          <w:bCs/>
          <w:color w:val="000000"/>
          <w:lang w:eastAsia="zh-CN"/>
        </w:rPr>
      </w:pPr>
      <w:r>
        <w:rPr>
          <w:rFonts w:eastAsia="SimSun"/>
          <w:bCs/>
          <w:color w:val="000000"/>
          <w:lang w:eastAsia="zh-CN"/>
        </w:rPr>
        <w:tab/>
        <w:t>1.</w:t>
      </w:r>
      <w:r>
        <w:rPr>
          <w:rFonts w:eastAsia="SimSun"/>
          <w:bCs/>
          <w:color w:val="000000"/>
          <w:lang w:eastAsia="zh-CN"/>
        </w:rPr>
        <w:tab/>
      </w:r>
      <w:r>
        <w:rPr>
          <w:rFonts w:eastAsia="SimSun" w:hint="eastAsia"/>
          <w:bCs/>
          <w:color w:val="000000"/>
          <w:lang w:eastAsia="zh-CN"/>
        </w:rPr>
        <w:t>人口概况</w:t>
      </w:r>
      <w:r>
        <w:rPr>
          <w:rFonts w:eastAsia="SimSun" w:hint="eastAsia"/>
          <w:bCs/>
          <w:color w:val="000000"/>
          <w:lang w:eastAsia="zh-CN"/>
        </w:rPr>
        <w:tab/>
      </w:r>
      <w:r>
        <w:rPr>
          <w:rFonts w:eastAsia="SimSun" w:hint="eastAsia"/>
          <w:bCs/>
          <w:color w:val="000000"/>
          <w:lang w:eastAsia="zh-CN"/>
        </w:rPr>
        <w:tab/>
      </w:r>
      <w:r>
        <w:rPr>
          <w:rFonts w:hint="eastAsia"/>
          <w:bCs/>
          <w:color w:val="000000"/>
          <w:lang w:eastAsia="zh-CN"/>
        </w:rPr>
        <w:t>1-3</w:t>
      </w:r>
      <w:r>
        <w:rPr>
          <w:rFonts w:hint="eastAsia"/>
          <w:bCs/>
          <w:color w:val="000000"/>
          <w:lang w:eastAsia="zh-CN"/>
        </w:rPr>
        <w:tab/>
        <w:t>7</w:t>
      </w:r>
    </w:p>
    <w:p w:rsidR="00692915" w:rsidRDefault="00692915" w:rsidP="009A1C1B">
      <w:pPr>
        <w:pStyle w:val="Header"/>
        <w:tabs>
          <w:tab w:val="clear" w:pos="992"/>
          <w:tab w:val="clear" w:pos="5772"/>
          <w:tab w:val="clear" w:pos="6634"/>
          <w:tab w:val="clear" w:pos="7144"/>
          <w:tab w:val="clear" w:pos="7655"/>
          <w:tab w:val="clear" w:pos="8165"/>
          <w:tab w:val="left" w:pos="1134"/>
          <w:tab w:val="left" w:pos="1690"/>
          <w:tab w:val="left" w:leader="dot" w:pos="7410"/>
          <w:tab w:val="center" w:pos="8060"/>
          <w:tab w:val="right" w:pos="9298"/>
        </w:tabs>
        <w:spacing w:line="312" w:lineRule="auto"/>
        <w:ind w:firstLine="31680"/>
        <w:rPr>
          <w:rFonts w:eastAsia="SimSun" w:hint="eastAsia"/>
          <w:color w:val="000000"/>
          <w:lang w:eastAsia="zh-CN"/>
        </w:rPr>
      </w:pPr>
      <w:r>
        <w:rPr>
          <w:rFonts w:eastAsia="SimSun"/>
          <w:color w:val="000000"/>
          <w:lang w:eastAsia="zh-CN"/>
        </w:rPr>
        <w:tab/>
        <w:t>2</w:t>
      </w:r>
      <w:r>
        <w:rPr>
          <w:rFonts w:eastAsia="SimSun"/>
          <w:color w:val="000000"/>
          <w:lang w:eastAsia="zh-CN"/>
        </w:rPr>
        <w:tab/>
      </w:r>
      <w:r>
        <w:rPr>
          <w:rFonts w:eastAsia="SimSun" w:hint="eastAsia"/>
          <w:color w:val="000000"/>
          <w:lang w:eastAsia="zh-CN"/>
        </w:rPr>
        <w:t>数据整理</w:t>
      </w:r>
      <w:r>
        <w:rPr>
          <w:rFonts w:eastAsia="SimSun"/>
          <w:color w:val="000000"/>
          <w:lang w:eastAsia="zh-CN"/>
        </w:rPr>
        <w:tab/>
      </w:r>
      <w:r>
        <w:rPr>
          <w:rFonts w:eastAsia="SimSun"/>
          <w:color w:val="000000"/>
          <w:lang w:eastAsia="zh-CN"/>
        </w:rPr>
        <w:tab/>
      </w:r>
      <w:r>
        <w:rPr>
          <w:rFonts w:eastAsia="SimSun" w:hint="eastAsia"/>
          <w:bCs/>
          <w:color w:val="000000"/>
          <w:lang w:eastAsia="zh-CN"/>
        </w:rPr>
        <w:t>4-6</w:t>
      </w:r>
      <w:r>
        <w:rPr>
          <w:rFonts w:eastAsia="SimSun" w:hint="eastAsia"/>
          <w:bCs/>
          <w:color w:val="000000"/>
          <w:lang w:eastAsia="zh-CN"/>
        </w:rPr>
        <w:tab/>
        <w:t>7</w:t>
      </w:r>
    </w:p>
    <w:p w:rsidR="00692915" w:rsidRDefault="00692915" w:rsidP="009A1C1B">
      <w:pPr>
        <w:tabs>
          <w:tab w:val="left" w:pos="567"/>
          <w:tab w:val="left" w:pos="1134"/>
          <w:tab w:val="left" w:leader="dot" w:pos="7410"/>
          <w:tab w:val="center" w:pos="8060"/>
          <w:tab w:val="right" w:pos="9298"/>
        </w:tabs>
        <w:spacing w:line="312" w:lineRule="auto"/>
        <w:ind w:firstLine="31680"/>
        <w:rPr>
          <w:rFonts w:hint="eastAsia"/>
          <w:bCs/>
          <w:color w:val="000000"/>
        </w:rPr>
      </w:pPr>
      <w:r>
        <w:rPr>
          <w:bCs/>
          <w:color w:val="000000"/>
        </w:rPr>
        <w:tab/>
        <w:t>B.</w:t>
      </w:r>
      <w:r>
        <w:rPr>
          <w:bCs/>
          <w:color w:val="000000"/>
        </w:rPr>
        <w:tab/>
      </w:r>
      <w:r>
        <w:rPr>
          <w:rFonts w:hint="eastAsia"/>
          <w:bCs/>
          <w:color w:val="000000"/>
        </w:rPr>
        <w:t>总体宪法、政治和法律体系</w:t>
      </w:r>
      <w:r>
        <w:rPr>
          <w:bCs/>
          <w:color w:val="000000"/>
        </w:rPr>
        <w:tab/>
      </w:r>
      <w:r>
        <w:rPr>
          <w:bCs/>
          <w:color w:val="000000"/>
        </w:rPr>
        <w:tab/>
      </w:r>
      <w:r>
        <w:rPr>
          <w:rFonts w:hint="eastAsia"/>
          <w:color w:val="000000"/>
        </w:rPr>
        <w:t>7-121</w:t>
      </w:r>
      <w:r>
        <w:rPr>
          <w:rFonts w:hint="eastAsia"/>
          <w:color w:val="000000"/>
        </w:rPr>
        <w:tab/>
        <w:t>8</w:t>
      </w:r>
    </w:p>
    <w:p w:rsidR="00692915" w:rsidRDefault="00692915" w:rsidP="009A1C1B">
      <w:pPr>
        <w:pStyle w:val="Header"/>
        <w:tabs>
          <w:tab w:val="clear" w:pos="992"/>
          <w:tab w:val="clear" w:pos="5772"/>
          <w:tab w:val="clear" w:pos="6634"/>
          <w:tab w:val="clear" w:pos="7144"/>
          <w:tab w:val="clear" w:pos="7655"/>
          <w:tab w:val="clear" w:pos="8165"/>
          <w:tab w:val="left" w:pos="1134"/>
          <w:tab w:val="left" w:pos="1690"/>
          <w:tab w:val="left" w:leader="dot" w:pos="7410"/>
          <w:tab w:val="center" w:pos="8060"/>
          <w:tab w:val="right" w:pos="9298"/>
        </w:tabs>
        <w:spacing w:line="312" w:lineRule="auto"/>
        <w:ind w:firstLine="31680"/>
        <w:rPr>
          <w:rFonts w:eastAsia="SimSun" w:hint="eastAsia"/>
          <w:bCs/>
          <w:color w:val="000000"/>
          <w:lang w:eastAsia="zh-CN"/>
        </w:rPr>
      </w:pPr>
      <w:r>
        <w:rPr>
          <w:rFonts w:eastAsia="SimSun"/>
          <w:bCs/>
          <w:color w:val="000000"/>
          <w:lang w:eastAsia="zh-CN"/>
        </w:rPr>
        <w:tab/>
        <w:t>1.</w:t>
      </w:r>
      <w:r>
        <w:rPr>
          <w:rFonts w:eastAsia="SimSun"/>
          <w:bCs/>
          <w:color w:val="000000"/>
          <w:lang w:eastAsia="zh-CN"/>
        </w:rPr>
        <w:tab/>
      </w:r>
      <w:r>
        <w:rPr>
          <w:rFonts w:eastAsia="SimSun" w:hint="eastAsia"/>
          <w:bCs/>
          <w:color w:val="000000"/>
          <w:lang w:eastAsia="zh-CN"/>
        </w:rPr>
        <w:t>政治史</w:t>
      </w:r>
      <w:r>
        <w:rPr>
          <w:rFonts w:eastAsia="SimSun"/>
          <w:bCs/>
          <w:color w:val="000000"/>
          <w:lang w:eastAsia="zh-CN"/>
        </w:rPr>
        <w:t xml:space="preserve"> </w:t>
      </w:r>
      <w:r>
        <w:rPr>
          <w:rFonts w:eastAsia="SimSun"/>
          <w:bCs/>
          <w:color w:val="000000"/>
          <w:lang w:eastAsia="zh-CN"/>
        </w:rPr>
        <w:tab/>
      </w:r>
      <w:r>
        <w:rPr>
          <w:rFonts w:eastAsia="SimSun"/>
          <w:bCs/>
          <w:color w:val="000000"/>
          <w:lang w:eastAsia="zh-CN"/>
        </w:rPr>
        <w:tab/>
      </w:r>
      <w:r>
        <w:rPr>
          <w:rFonts w:hint="eastAsia"/>
          <w:bCs/>
          <w:color w:val="000000"/>
          <w:lang w:eastAsia="zh-CN"/>
        </w:rPr>
        <w:t>7-40</w:t>
      </w:r>
      <w:r>
        <w:rPr>
          <w:rFonts w:hint="eastAsia"/>
          <w:bCs/>
          <w:color w:val="000000"/>
          <w:lang w:eastAsia="zh-CN"/>
        </w:rPr>
        <w:tab/>
        <w:t>8</w:t>
      </w:r>
    </w:p>
    <w:p w:rsidR="00692915" w:rsidRDefault="00692915" w:rsidP="009A1C1B">
      <w:pPr>
        <w:pStyle w:val="Header"/>
        <w:tabs>
          <w:tab w:val="clear" w:pos="992"/>
          <w:tab w:val="clear" w:pos="5772"/>
          <w:tab w:val="clear" w:pos="6634"/>
          <w:tab w:val="clear" w:pos="7144"/>
          <w:tab w:val="clear" w:pos="7655"/>
          <w:tab w:val="clear" w:pos="8165"/>
          <w:tab w:val="left" w:pos="1134"/>
          <w:tab w:val="left" w:pos="1690"/>
          <w:tab w:val="left" w:leader="dot" w:pos="7410"/>
          <w:tab w:val="center" w:pos="8060"/>
          <w:tab w:val="right" w:pos="9298"/>
        </w:tabs>
        <w:spacing w:line="312" w:lineRule="auto"/>
        <w:ind w:firstLine="31680"/>
        <w:rPr>
          <w:rFonts w:eastAsia="SimSun" w:hint="eastAsia"/>
          <w:bCs/>
          <w:color w:val="000000"/>
          <w:lang w:eastAsia="zh-CN"/>
        </w:rPr>
      </w:pPr>
      <w:r>
        <w:rPr>
          <w:rFonts w:eastAsia="SimSun"/>
          <w:bCs/>
          <w:color w:val="000000"/>
          <w:lang w:eastAsia="zh-CN"/>
        </w:rPr>
        <w:tab/>
        <w:t>2.</w:t>
      </w:r>
      <w:r>
        <w:rPr>
          <w:rFonts w:eastAsia="SimSun"/>
          <w:bCs/>
          <w:color w:val="000000"/>
          <w:lang w:eastAsia="zh-CN"/>
        </w:rPr>
        <w:tab/>
      </w:r>
      <w:r>
        <w:rPr>
          <w:rFonts w:eastAsia="SimSun" w:hint="eastAsia"/>
          <w:bCs/>
          <w:color w:val="000000"/>
          <w:lang w:eastAsia="zh-CN"/>
        </w:rPr>
        <w:t>总体的宪法体系</w:t>
      </w:r>
      <w:r>
        <w:rPr>
          <w:rFonts w:eastAsia="SimSun"/>
          <w:bCs/>
          <w:color w:val="000000"/>
          <w:lang w:eastAsia="zh-CN"/>
        </w:rPr>
        <w:t xml:space="preserve"> </w:t>
      </w:r>
      <w:r>
        <w:rPr>
          <w:rFonts w:eastAsia="SimSun"/>
          <w:bCs/>
          <w:color w:val="000000"/>
          <w:lang w:eastAsia="zh-CN"/>
        </w:rPr>
        <w:tab/>
      </w:r>
      <w:r>
        <w:rPr>
          <w:rFonts w:eastAsia="SimSun"/>
          <w:bCs/>
          <w:color w:val="000000"/>
          <w:lang w:eastAsia="zh-CN"/>
        </w:rPr>
        <w:tab/>
      </w:r>
      <w:r>
        <w:rPr>
          <w:rFonts w:eastAsia="SimSun" w:hint="eastAsia"/>
          <w:bCs/>
          <w:color w:val="000000"/>
          <w:lang w:eastAsia="zh-CN"/>
        </w:rPr>
        <w:t>41-46</w:t>
      </w:r>
      <w:r>
        <w:rPr>
          <w:rFonts w:eastAsia="SimSun" w:hint="eastAsia"/>
          <w:bCs/>
          <w:color w:val="000000"/>
          <w:lang w:eastAsia="zh-CN"/>
        </w:rPr>
        <w:tab/>
        <w:t>17</w:t>
      </w:r>
    </w:p>
    <w:p w:rsidR="00692915" w:rsidRDefault="00692915" w:rsidP="009A1C1B">
      <w:pPr>
        <w:pStyle w:val="Header"/>
        <w:tabs>
          <w:tab w:val="clear" w:pos="992"/>
          <w:tab w:val="clear" w:pos="5772"/>
          <w:tab w:val="clear" w:pos="6634"/>
          <w:tab w:val="clear" w:pos="7144"/>
          <w:tab w:val="clear" w:pos="7655"/>
          <w:tab w:val="clear" w:pos="8165"/>
          <w:tab w:val="left" w:pos="1134"/>
          <w:tab w:val="left" w:pos="1690"/>
          <w:tab w:val="left" w:leader="dot" w:pos="7410"/>
          <w:tab w:val="center" w:pos="8060"/>
          <w:tab w:val="right" w:pos="9298"/>
        </w:tabs>
        <w:spacing w:line="312" w:lineRule="auto"/>
        <w:ind w:firstLine="31680"/>
        <w:rPr>
          <w:rFonts w:eastAsia="SimSun" w:hint="eastAsia"/>
          <w:bCs/>
          <w:color w:val="000000"/>
          <w:lang w:eastAsia="zh-CN"/>
        </w:rPr>
      </w:pPr>
      <w:r>
        <w:rPr>
          <w:rFonts w:eastAsia="SimSun"/>
          <w:bCs/>
          <w:color w:val="000000"/>
          <w:lang w:eastAsia="zh-CN"/>
        </w:rPr>
        <w:tab/>
        <w:t>3.</w:t>
      </w:r>
      <w:r>
        <w:rPr>
          <w:rFonts w:eastAsia="SimSun"/>
          <w:bCs/>
          <w:color w:val="000000"/>
          <w:lang w:eastAsia="zh-CN"/>
        </w:rPr>
        <w:tab/>
      </w:r>
      <w:r>
        <w:rPr>
          <w:rFonts w:eastAsia="SimSun" w:hint="eastAsia"/>
          <w:bCs/>
          <w:color w:val="000000"/>
          <w:lang w:eastAsia="zh-CN"/>
        </w:rPr>
        <w:t>政治体系</w:t>
      </w:r>
      <w:r>
        <w:rPr>
          <w:rFonts w:eastAsia="SimSun"/>
          <w:bCs/>
          <w:color w:val="000000"/>
          <w:lang w:eastAsia="zh-CN"/>
        </w:rPr>
        <w:t xml:space="preserve"> </w:t>
      </w:r>
      <w:r>
        <w:rPr>
          <w:rFonts w:eastAsia="SimSun"/>
          <w:bCs/>
          <w:color w:val="000000"/>
          <w:lang w:eastAsia="zh-CN"/>
        </w:rPr>
        <w:tab/>
      </w:r>
      <w:r>
        <w:rPr>
          <w:rFonts w:eastAsia="SimSun"/>
          <w:bCs/>
          <w:color w:val="000000"/>
          <w:lang w:eastAsia="zh-CN"/>
        </w:rPr>
        <w:tab/>
      </w:r>
      <w:r>
        <w:rPr>
          <w:rFonts w:eastAsia="SimSun" w:hint="eastAsia"/>
          <w:bCs/>
          <w:color w:val="000000"/>
          <w:lang w:eastAsia="zh-CN"/>
        </w:rPr>
        <w:t>47-69</w:t>
      </w:r>
      <w:r>
        <w:rPr>
          <w:rFonts w:eastAsia="SimSun" w:hint="eastAsia"/>
          <w:bCs/>
          <w:color w:val="000000"/>
          <w:lang w:eastAsia="zh-CN"/>
        </w:rPr>
        <w:tab/>
        <w:t>18</w:t>
      </w:r>
    </w:p>
    <w:p w:rsidR="00692915" w:rsidRDefault="00692915" w:rsidP="009A1C1B">
      <w:pPr>
        <w:pStyle w:val="Header"/>
        <w:tabs>
          <w:tab w:val="clear" w:pos="992"/>
          <w:tab w:val="clear" w:pos="5772"/>
          <w:tab w:val="clear" w:pos="6634"/>
          <w:tab w:val="clear" w:pos="7144"/>
          <w:tab w:val="clear" w:pos="7655"/>
          <w:tab w:val="clear" w:pos="8165"/>
          <w:tab w:val="left" w:pos="1134"/>
          <w:tab w:val="left" w:pos="1690"/>
          <w:tab w:val="left" w:leader="dot" w:pos="7410"/>
          <w:tab w:val="center" w:pos="8060"/>
          <w:tab w:val="right" w:pos="9298"/>
        </w:tabs>
        <w:spacing w:line="312" w:lineRule="auto"/>
        <w:ind w:firstLine="31680"/>
        <w:rPr>
          <w:rFonts w:eastAsia="SimSun" w:hint="eastAsia"/>
          <w:bCs/>
          <w:color w:val="000000"/>
          <w:lang w:eastAsia="zh-CN"/>
        </w:rPr>
      </w:pPr>
      <w:r>
        <w:rPr>
          <w:rFonts w:eastAsia="SimSun"/>
          <w:bCs/>
          <w:color w:val="000000"/>
          <w:lang w:eastAsia="zh-CN"/>
        </w:rPr>
        <w:tab/>
        <w:t>4.</w:t>
      </w:r>
      <w:r>
        <w:rPr>
          <w:rFonts w:eastAsia="SimSun"/>
          <w:bCs/>
          <w:color w:val="000000"/>
          <w:lang w:eastAsia="zh-CN"/>
        </w:rPr>
        <w:tab/>
      </w:r>
      <w:r>
        <w:rPr>
          <w:rFonts w:eastAsia="SimSun" w:hint="eastAsia"/>
          <w:bCs/>
          <w:color w:val="000000"/>
          <w:lang w:eastAsia="zh-CN"/>
        </w:rPr>
        <w:t>法律体系</w:t>
      </w:r>
      <w:r>
        <w:rPr>
          <w:rFonts w:eastAsia="SimSun"/>
          <w:bCs/>
          <w:color w:val="000000"/>
          <w:lang w:eastAsia="zh-CN"/>
        </w:rPr>
        <w:tab/>
      </w:r>
      <w:r>
        <w:rPr>
          <w:rFonts w:eastAsia="SimSun" w:hint="eastAsia"/>
          <w:bCs/>
          <w:color w:val="000000"/>
          <w:lang w:eastAsia="zh-CN"/>
        </w:rPr>
        <w:tab/>
        <w:t>70-121</w:t>
      </w:r>
      <w:r>
        <w:rPr>
          <w:rFonts w:eastAsia="SimSun" w:hint="eastAsia"/>
          <w:bCs/>
          <w:color w:val="000000"/>
          <w:lang w:eastAsia="zh-CN"/>
        </w:rPr>
        <w:tab/>
        <w:t>23</w:t>
      </w:r>
    </w:p>
    <w:p w:rsidR="00692915" w:rsidRDefault="00692915" w:rsidP="009A1C1B">
      <w:pPr>
        <w:tabs>
          <w:tab w:val="left" w:pos="567"/>
          <w:tab w:val="left" w:leader="dot" w:pos="7410"/>
          <w:tab w:val="center" w:pos="8060"/>
          <w:tab w:val="right" w:pos="9298"/>
        </w:tabs>
        <w:spacing w:line="312" w:lineRule="auto"/>
        <w:ind w:firstLine="31680"/>
        <w:rPr>
          <w:rFonts w:hint="eastAsia"/>
          <w:color w:val="000000"/>
        </w:rPr>
      </w:pPr>
      <w:r>
        <w:rPr>
          <w:rFonts w:hint="eastAsia"/>
          <w:color w:val="000000"/>
        </w:rPr>
        <w:t>二、保护和促进人权的总体法律体系</w:t>
      </w:r>
      <w:r>
        <w:rPr>
          <w:rFonts w:hint="eastAsia"/>
          <w:color w:val="000000"/>
        </w:rPr>
        <w:tab/>
      </w:r>
      <w:r>
        <w:rPr>
          <w:rFonts w:hint="eastAsia"/>
          <w:color w:val="000000"/>
        </w:rPr>
        <w:tab/>
      </w:r>
      <w:r>
        <w:rPr>
          <w:rFonts w:hint="eastAsia"/>
          <w:bCs/>
          <w:color w:val="000000"/>
        </w:rPr>
        <w:t>122-375</w:t>
      </w:r>
      <w:r>
        <w:rPr>
          <w:rFonts w:hint="eastAsia"/>
          <w:bCs/>
          <w:color w:val="000000"/>
        </w:rPr>
        <w:tab/>
        <w:t>35</w:t>
      </w:r>
    </w:p>
    <w:p w:rsidR="00692915" w:rsidRDefault="00692915" w:rsidP="009A1C1B">
      <w:pPr>
        <w:tabs>
          <w:tab w:val="left" w:pos="567"/>
          <w:tab w:val="left" w:pos="1134"/>
          <w:tab w:val="left" w:leader="dot" w:pos="7410"/>
          <w:tab w:val="center" w:pos="8060"/>
          <w:tab w:val="right" w:pos="9298"/>
        </w:tabs>
        <w:spacing w:line="312" w:lineRule="auto"/>
        <w:ind w:firstLine="31680"/>
        <w:rPr>
          <w:rFonts w:hint="eastAsia"/>
          <w:bCs/>
          <w:color w:val="000000"/>
        </w:rPr>
      </w:pPr>
      <w:r>
        <w:rPr>
          <w:bCs/>
          <w:color w:val="000000"/>
        </w:rPr>
        <w:tab/>
        <w:t>A.</w:t>
      </w:r>
      <w:r>
        <w:rPr>
          <w:bCs/>
          <w:color w:val="000000"/>
        </w:rPr>
        <w:tab/>
      </w:r>
      <w:r>
        <w:rPr>
          <w:rFonts w:hint="eastAsia"/>
          <w:bCs/>
          <w:color w:val="000000"/>
        </w:rPr>
        <w:t>接受人权规范</w:t>
      </w:r>
      <w:r>
        <w:rPr>
          <w:bCs/>
          <w:color w:val="000000"/>
        </w:rPr>
        <w:tab/>
      </w:r>
      <w:r>
        <w:rPr>
          <w:rFonts w:hint="eastAsia"/>
          <w:bCs/>
          <w:color w:val="000000"/>
        </w:rPr>
        <w:tab/>
      </w:r>
      <w:r>
        <w:rPr>
          <w:rFonts w:hint="eastAsia"/>
          <w:color w:val="000000"/>
        </w:rPr>
        <w:t>122</w:t>
      </w:r>
      <w:r>
        <w:rPr>
          <w:rFonts w:hint="eastAsia"/>
          <w:color w:val="000000"/>
        </w:rPr>
        <w:tab/>
        <w:t>35</w:t>
      </w:r>
    </w:p>
    <w:p w:rsidR="00692915" w:rsidRDefault="00692915" w:rsidP="009A1C1B">
      <w:pPr>
        <w:tabs>
          <w:tab w:val="left" w:pos="567"/>
          <w:tab w:val="left" w:pos="1134"/>
          <w:tab w:val="left" w:leader="dot" w:pos="7410"/>
          <w:tab w:val="center" w:pos="8060"/>
          <w:tab w:val="right" w:pos="9298"/>
        </w:tabs>
        <w:spacing w:line="312" w:lineRule="auto"/>
        <w:ind w:firstLine="31680"/>
        <w:rPr>
          <w:rFonts w:hint="eastAsia"/>
          <w:bCs/>
          <w:color w:val="000000"/>
        </w:rPr>
      </w:pPr>
      <w:r>
        <w:rPr>
          <w:bCs/>
          <w:color w:val="000000"/>
        </w:rPr>
        <w:tab/>
        <w:t>B.</w:t>
      </w:r>
      <w:r>
        <w:rPr>
          <w:bCs/>
          <w:color w:val="000000"/>
        </w:rPr>
        <w:tab/>
      </w:r>
      <w:r>
        <w:rPr>
          <w:rFonts w:hint="eastAsia"/>
          <w:bCs/>
          <w:color w:val="000000"/>
        </w:rPr>
        <w:t>保护人权的总体法律体系</w:t>
      </w:r>
      <w:r>
        <w:rPr>
          <w:bCs/>
          <w:color w:val="000000"/>
        </w:rPr>
        <w:tab/>
      </w:r>
      <w:r>
        <w:rPr>
          <w:bCs/>
          <w:color w:val="000000"/>
        </w:rPr>
        <w:tab/>
      </w:r>
      <w:r>
        <w:rPr>
          <w:rFonts w:hint="eastAsia"/>
          <w:bCs/>
          <w:color w:val="000000"/>
        </w:rPr>
        <w:t>123-149</w:t>
      </w:r>
      <w:r>
        <w:rPr>
          <w:rFonts w:hint="eastAsia"/>
          <w:bCs/>
          <w:color w:val="000000"/>
        </w:rPr>
        <w:tab/>
        <w:t>35</w:t>
      </w:r>
    </w:p>
    <w:p w:rsidR="00692915" w:rsidRDefault="00692915" w:rsidP="009A1C1B">
      <w:pPr>
        <w:pStyle w:val="Header"/>
        <w:tabs>
          <w:tab w:val="clear" w:pos="992"/>
          <w:tab w:val="clear" w:pos="5772"/>
          <w:tab w:val="clear" w:pos="6634"/>
          <w:tab w:val="clear" w:pos="7144"/>
          <w:tab w:val="clear" w:pos="7655"/>
          <w:tab w:val="clear" w:pos="8165"/>
          <w:tab w:val="left" w:pos="1134"/>
          <w:tab w:val="left" w:pos="1690"/>
          <w:tab w:val="left" w:leader="dot" w:pos="7410"/>
          <w:tab w:val="center" w:pos="8060"/>
          <w:tab w:val="right" w:pos="9298"/>
        </w:tabs>
        <w:spacing w:line="312" w:lineRule="auto"/>
        <w:ind w:firstLine="31680"/>
        <w:rPr>
          <w:rFonts w:eastAsia="SimSun" w:hint="eastAsia"/>
          <w:bCs/>
          <w:color w:val="000000"/>
          <w:lang w:eastAsia="zh-CN"/>
        </w:rPr>
      </w:pPr>
      <w:r>
        <w:rPr>
          <w:rFonts w:eastAsia="SimSun"/>
          <w:bCs/>
          <w:color w:val="000000"/>
          <w:lang w:eastAsia="zh-CN"/>
        </w:rPr>
        <w:tab/>
        <w:t>1.</w:t>
      </w:r>
      <w:r>
        <w:rPr>
          <w:rFonts w:eastAsia="SimSun"/>
          <w:bCs/>
          <w:color w:val="000000"/>
          <w:lang w:eastAsia="zh-CN"/>
        </w:rPr>
        <w:tab/>
      </w:r>
      <w:r>
        <w:rPr>
          <w:rFonts w:eastAsia="SimSun" w:hint="eastAsia"/>
          <w:bCs/>
          <w:color w:val="000000"/>
          <w:lang w:eastAsia="zh-CN"/>
        </w:rPr>
        <w:t>国内适用的权利</w:t>
      </w:r>
      <w:r>
        <w:rPr>
          <w:rFonts w:eastAsia="SimSun"/>
          <w:bCs/>
          <w:color w:val="000000"/>
          <w:lang w:eastAsia="zh-CN"/>
        </w:rPr>
        <w:t xml:space="preserve"> </w:t>
      </w:r>
      <w:r>
        <w:rPr>
          <w:rFonts w:eastAsia="SimSun"/>
          <w:bCs/>
          <w:color w:val="000000"/>
          <w:lang w:eastAsia="zh-CN"/>
        </w:rPr>
        <w:tab/>
      </w:r>
      <w:r>
        <w:rPr>
          <w:rFonts w:eastAsia="SimSun"/>
          <w:bCs/>
          <w:color w:val="000000"/>
          <w:lang w:eastAsia="zh-CN"/>
        </w:rPr>
        <w:tab/>
      </w:r>
      <w:r>
        <w:rPr>
          <w:rFonts w:hint="eastAsia"/>
          <w:bCs/>
          <w:color w:val="000000"/>
          <w:lang w:eastAsia="zh-CN"/>
        </w:rPr>
        <w:t>123-136</w:t>
      </w:r>
      <w:r>
        <w:rPr>
          <w:rFonts w:hint="eastAsia"/>
          <w:bCs/>
          <w:color w:val="000000"/>
          <w:lang w:eastAsia="zh-CN"/>
        </w:rPr>
        <w:tab/>
        <w:t>35</w:t>
      </w:r>
    </w:p>
    <w:p w:rsidR="00692915" w:rsidRDefault="00692915" w:rsidP="009A1C1B">
      <w:pPr>
        <w:pStyle w:val="Header"/>
        <w:tabs>
          <w:tab w:val="clear" w:pos="992"/>
          <w:tab w:val="clear" w:pos="5772"/>
          <w:tab w:val="clear" w:pos="6634"/>
          <w:tab w:val="clear" w:pos="7144"/>
          <w:tab w:val="clear" w:pos="7655"/>
          <w:tab w:val="clear" w:pos="8165"/>
          <w:tab w:val="left" w:pos="1134"/>
          <w:tab w:val="left" w:pos="1690"/>
          <w:tab w:val="left" w:leader="dot" w:pos="7410"/>
          <w:tab w:val="center" w:pos="8060"/>
          <w:tab w:val="right" w:pos="9298"/>
        </w:tabs>
        <w:spacing w:line="312" w:lineRule="auto"/>
        <w:ind w:firstLine="31680"/>
        <w:rPr>
          <w:rFonts w:eastAsia="SimSun" w:hint="eastAsia"/>
          <w:bCs/>
          <w:color w:val="000000"/>
          <w:lang w:eastAsia="zh-CN"/>
        </w:rPr>
      </w:pPr>
      <w:r>
        <w:rPr>
          <w:rFonts w:eastAsia="SimSun"/>
          <w:bCs/>
          <w:color w:val="000000"/>
          <w:lang w:eastAsia="zh-CN"/>
        </w:rPr>
        <w:tab/>
        <w:t>2.</w:t>
      </w:r>
      <w:r>
        <w:rPr>
          <w:rFonts w:eastAsia="SimSun"/>
          <w:bCs/>
          <w:color w:val="000000"/>
          <w:lang w:eastAsia="zh-CN"/>
        </w:rPr>
        <w:tab/>
      </w:r>
      <w:r>
        <w:rPr>
          <w:rFonts w:eastAsia="SimSun" w:hint="eastAsia"/>
          <w:bCs/>
          <w:color w:val="000000"/>
          <w:lang w:eastAsia="zh-CN"/>
        </w:rPr>
        <w:t>权利限制</w:t>
      </w:r>
      <w:r>
        <w:rPr>
          <w:rFonts w:eastAsia="SimSun"/>
          <w:bCs/>
          <w:color w:val="000000"/>
          <w:lang w:eastAsia="zh-CN"/>
        </w:rPr>
        <w:t xml:space="preserve"> </w:t>
      </w:r>
      <w:r>
        <w:rPr>
          <w:rFonts w:eastAsia="SimSun"/>
          <w:bCs/>
          <w:color w:val="000000"/>
          <w:lang w:eastAsia="zh-CN"/>
        </w:rPr>
        <w:tab/>
      </w:r>
      <w:r>
        <w:rPr>
          <w:rFonts w:eastAsia="SimSun"/>
          <w:bCs/>
          <w:color w:val="000000"/>
          <w:lang w:eastAsia="zh-CN"/>
        </w:rPr>
        <w:tab/>
      </w:r>
      <w:r>
        <w:rPr>
          <w:rFonts w:eastAsia="SimSun" w:hint="eastAsia"/>
          <w:bCs/>
          <w:color w:val="000000"/>
          <w:lang w:eastAsia="zh-CN"/>
        </w:rPr>
        <w:t>137-142</w:t>
      </w:r>
      <w:r>
        <w:rPr>
          <w:rFonts w:eastAsia="SimSun" w:hint="eastAsia"/>
          <w:bCs/>
          <w:color w:val="000000"/>
          <w:lang w:eastAsia="zh-CN"/>
        </w:rPr>
        <w:tab/>
        <w:t>39</w:t>
      </w:r>
    </w:p>
    <w:p w:rsidR="00692915" w:rsidRDefault="00692915" w:rsidP="009A1C1B">
      <w:pPr>
        <w:pStyle w:val="Header"/>
        <w:tabs>
          <w:tab w:val="clear" w:pos="992"/>
          <w:tab w:val="clear" w:pos="5772"/>
          <w:tab w:val="clear" w:pos="6634"/>
          <w:tab w:val="clear" w:pos="7144"/>
          <w:tab w:val="clear" w:pos="7655"/>
          <w:tab w:val="clear" w:pos="8165"/>
          <w:tab w:val="left" w:pos="1134"/>
          <w:tab w:val="left" w:pos="1690"/>
          <w:tab w:val="left" w:leader="dot" w:pos="7410"/>
          <w:tab w:val="center" w:pos="8060"/>
          <w:tab w:val="right" w:pos="9298"/>
        </w:tabs>
        <w:spacing w:line="312" w:lineRule="auto"/>
        <w:ind w:firstLine="31680"/>
        <w:rPr>
          <w:rFonts w:eastAsia="SimSun" w:hint="eastAsia"/>
          <w:bCs/>
          <w:color w:val="000000"/>
          <w:lang w:eastAsia="zh-CN"/>
        </w:rPr>
      </w:pPr>
      <w:r>
        <w:rPr>
          <w:rFonts w:eastAsia="SimSun"/>
          <w:bCs/>
          <w:color w:val="000000"/>
          <w:lang w:eastAsia="zh-CN"/>
        </w:rPr>
        <w:tab/>
        <w:t>3.</w:t>
      </w:r>
      <w:r>
        <w:rPr>
          <w:rFonts w:eastAsia="SimSun"/>
          <w:bCs/>
          <w:color w:val="000000"/>
          <w:lang w:eastAsia="zh-CN"/>
        </w:rPr>
        <w:tab/>
      </w:r>
      <w:r>
        <w:rPr>
          <w:rFonts w:eastAsia="SimSun" w:hint="eastAsia"/>
          <w:bCs/>
          <w:color w:val="000000"/>
          <w:lang w:eastAsia="zh-CN"/>
        </w:rPr>
        <w:t>《刑法典》</w:t>
      </w:r>
      <w:r>
        <w:rPr>
          <w:rFonts w:eastAsia="SimSun"/>
          <w:bCs/>
          <w:color w:val="000000"/>
          <w:lang w:eastAsia="zh-CN"/>
        </w:rPr>
        <w:t xml:space="preserve"> </w:t>
      </w:r>
      <w:r>
        <w:rPr>
          <w:rFonts w:eastAsia="SimSun"/>
          <w:bCs/>
          <w:color w:val="000000"/>
          <w:lang w:eastAsia="zh-CN"/>
        </w:rPr>
        <w:tab/>
      </w:r>
      <w:r>
        <w:rPr>
          <w:rFonts w:eastAsia="SimSun"/>
          <w:bCs/>
          <w:color w:val="000000"/>
          <w:lang w:eastAsia="zh-CN"/>
        </w:rPr>
        <w:tab/>
      </w:r>
      <w:r>
        <w:rPr>
          <w:rFonts w:eastAsia="SimSun" w:hint="eastAsia"/>
          <w:bCs/>
          <w:color w:val="000000"/>
          <w:lang w:eastAsia="zh-CN"/>
        </w:rPr>
        <w:t>143</w:t>
      </w:r>
      <w:r>
        <w:rPr>
          <w:rFonts w:eastAsia="SimSun" w:hint="eastAsia"/>
          <w:bCs/>
          <w:color w:val="000000"/>
          <w:lang w:eastAsia="zh-CN"/>
        </w:rPr>
        <w:tab/>
        <w:t>40</w:t>
      </w:r>
    </w:p>
    <w:p w:rsidR="00692915" w:rsidRDefault="00692915" w:rsidP="009A1C1B">
      <w:pPr>
        <w:pStyle w:val="Header"/>
        <w:tabs>
          <w:tab w:val="clear" w:pos="992"/>
          <w:tab w:val="clear" w:pos="5772"/>
          <w:tab w:val="clear" w:pos="6634"/>
          <w:tab w:val="clear" w:pos="7144"/>
          <w:tab w:val="clear" w:pos="7655"/>
          <w:tab w:val="clear" w:pos="8165"/>
          <w:tab w:val="left" w:pos="1134"/>
          <w:tab w:val="left" w:pos="1690"/>
          <w:tab w:val="left" w:leader="dot" w:pos="7410"/>
          <w:tab w:val="center" w:pos="8060"/>
          <w:tab w:val="right" w:pos="9298"/>
        </w:tabs>
        <w:spacing w:line="312" w:lineRule="auto"/>
        <w:ind w:firstLine="31680"/>
        <w:rPr>
          <w:rFonts w:eastAsia="SimSun" w:hint="eastAsia"/>
          <w:bCs/>
          <w:color w:val="000000"/>
          <w:lang w:eastAsia="zh-CN"/>
        </w:rPr>
      </w:pPr>
      <w:r>
        <w:rPr>
          <w:rFonts w:eastAsia="SimSun"/>
          <w:bCs/>
          <w:color w:val="000000"/>
          <w:lang w:eastAsia="zh-CN"/>
        </w:rPr>
        <w:tab/>
        <w:t>4.</w:t>
      </w:r>
      <w:r>
        <w:rPr>
          <w:rFonts w:eastAsia="SimSun"/>
          <w:bCs/>
          <w:color w:val="000000"/>
          <w:lang w:eastAsia="zh-CN"/>
        </w:rPr>
        <w:tab/>
      </w:r>
      <w:r>
        <w:rPr>
          <w:rFonts w:eastAsia="SimSun" w:hint="eastAsia"/>
          <w:bCs/>
          <w:color w:val="000000"/>
          <w:lang w:eastAsia="zh-CN"/>
        </w:rPr>
        <w:t>紧急状态</w:t>
      </w:r>
      <w:r>
        <w:rPr>
          <w:rFonts w:eastAsia="SimSun"/>
          <w:bCs/>
          <w:color w:val="000000"/>
          <w:lang w:eastAsia="zh-CN"/>
        </w:rPr>
        <w:tab/>
      </w:r>
      <w:r>
        <w:rPr>
          <w:rFonts w:eastAsia="SimSun"/>
          <w:bCs/>
          <w:color w:val="000000"/>
          <w:lang w:eastAsia="zh-CN"/>
        </w:rPr>
        <w:tab/>
      </w:r>
      <w:r>
        <w:rPr>
          <w:rFonts w:eastAsia="SimSun" w:hint="eastAsia"/>
          <w:bCs/>
          <w:color w:val="000000"/>
          <w:lang w:eastAsia="zh-CN"/>
        </w:rPr>
        <w:t>144-149</w:t>
      </w:r>
      <w:r>
        <w:rPr>
          <w:rFonts w:eastAsia="SimSun" w:hint="eastAsia"/>
          <w:bCs/>
          <w:color w:val="000000"/>
          <w:lang w:eastAsia="zh-CN"/>
        </w:rPr>
        <w:tab/>
        <w:t>41</w:t>
      </w:r>
    </w:p>
    <w:p w:rsidR="00692915" w:rsidRDefault="00692915" w:rsidP="009A1C1B">
      <w:pPr>
        <w:tabs>
          <w:tab w:val="left" w:pos="567"/>
          <w:tab w:val="left" w:pos="1134"/>
          <w:tab w:val="left" w:leader="dot" w:pos="7410"/>
          <w:tab w:val="center" w:pos="8060"/>
          <w:tab w:val="right" w:pos="9298"/>
        </w:tabs>
        <w:spacing w:line="312" w:lineRule="auto"/>
        <w:ind w:firstLine="31680"/>
        <w:rPr>
          <w:rFonts w:hint="eastAsia"/>
          <w:bCs/>
          <w:color w:val="000000"/>
        </w:rPr>
      </w:pPr>
      <w:r>
        <w:rPr>
          <w:bCs/>
          <w:color w:val="000000"/>
        </w:rPr>
        <w:tab/>
        <w:t>C.</w:t>
      </w:r>
      <w:r>
        <w:rPr>
          <w:bCs/>
          <w:color w:val="000000"/>
        </w:rPr>
        <w:tab/>
      </w:r>
      <w:r>
        <w:rPr>
          <w:rFonts w:hint="eastAsia"/>
          <w:bCs/>
          <w:color w:val="000000"/>
        </w:rPr>
        <w:t>促进人权的总体框架</w:t>
      </w:r>
      <w:r>
        <w:rPr>
          <w:bCs/>
          <w:color w:val="000000"/>
        </w:rPr>
        <w:tab/>
      </w:r>
      <w:r>
        <w:rPr>
          <w:bCs/>
          <w:color w:val="000000"/>
        </w:rPr>
        <w:tab/>
      </w:r>
      <w:r>
        <w:rPr>
          <w:rFonts w:hint="eastAsia"/>
          <w:bCs/>
          <w:color w:val="000000"/>
        </w:rPr>
        <w:t>150-344</w:t>
      </w:r>
      <w:r>
        <w:rPr>
          <w:rFonts w:hint="eastAsia"/>
          <w:bCs/>
          <w:color w:val="000000"/>
        </w:rPr>
        <w:tab/>
        <w:t>42</w:t>
      </w:r>
    </w:p>
    <w:p w:rsidR="00692915" w:rsidRDefault="00692915" w:rsidP="009A1C1B">
      <w:pPr>
        <w:pStyle w:val="Header"/>
        <w:tabs>
          <w:tab w:val="clear" w:pos="992"/>
          <w:tab w:val="clear" w:pos="5772"/>
          <w:tab w:val="clear" w:pos="6634"/>
          <w:tab w:val="clear" w:pos="7144"/>
          <w:tab w:val="clear" w:pos="7655"/>
          <w:tab w:val="clear" w:pos="8165"/>
          <w:tab w:val="left" w:pos="1134"/>
          <w:tab w:val="left" w:pos="1690"/>
          <w:tab w:val="left" w:leader="dot" w:pos="7410"/>
          <w:tab w:val="center" w:pos="8060"/>
          <w:tab w:val="right" w:pos="9298"/>
        </w:tabs>
        <w:spacing w:line="312" w:lineRule="auto"/>
        <w:ind w:firstLine="31680"/>
        <w:rPr>
          <w:rFonts w:eastAsia="SimSun" w:hint="eastAsia"/>
          <w:bCs/>
          <w:color w:val="000000"/>
          <w:lang w:eastAsia="zh-CN"/>
        </w:rPr>
      </w:pPr>
      <w:r>
        <w:rPr>
          <w:rFonts w:eastAsia="SimSun"/>
          <w:bCs/>
          <w:color w:val="000000"/>
          <w:lang w:eastAsia="zh-CN"/>
        </w:rPr>
        <w:tab/>
        <w:t>1.</w:t>
      </w:r>
      <w:r>
        <w:rPr>
          <w:rFonts w:eastAsia="SimSun"/>
          <w:bCs/>
          <w:color w:val="000000"/>
          <w:lang w:eastAsia="zh-CN"/>
        </w:rPr>
        <w:tab/>
      </w:r>
      <w:r>
        <w:rPr>
          <w:rFonts w:eastAsia="SimSun" w:hint="eastAsia"/>
          <w:bCs/>
          <w:color w:val="000000"/>
          <w:lang w:eastAsia="zh-CN"/>
        </w:rPr>
        <w:t>促进与保护人权的国家机构</w:t>
      </w:r>
      <w:r>
        <w:rPr>
          <w:rFonts w:eastAsia="SimSun"/>
          <w:bCs/>
          <w:color w:val="000000"/>
          <w:lang w:eastAsia="zh-CN"/>
        </w:rPr>
        <w:tab/>
      </w:r>
      <w:r>
        <w:rPr>
          <w:rFonts w:eastAsia="SimSun"/>
          <w:bCs/>
          <w:color w:val="000000"/>
          <w:lang w:eastAsia="zh-CN"/>
        </w:rPr>
        <w:tab/>
      </w:r>
      <w:r>
        <w:rPr>
          <w:rFonts w:eastAsia="SimSun" w:hint="eastAsia"/>
          <w:bCs/>
          <w:color w:val="000000"/>
          <w:lang w:eastAsia="zh-CN"/>
        </w:rPr>
        <w:t>150-162</w:t>
      </w:r>
      <w:r>
        <w:rPr>
          <w:rFonts w:eastAsia="SimSun" w:hint="eastAsia"/>
          <w:bCs/>
          <w:color w:val="000000"/>
          <w:lang w:eastAsia="zh-CN"/>
        </w:rPr>
        <w:tab/>
        <w:t>42</w:t>
      </w:r>
    </w:p>
    <w:p w:rsidR="00692915" w:rsidRDefault="00692915" w:rsidP="009A1C1B">
      <w:pPr>
        <w:pStyle w:val="Header"/>
        <w:tabs>
          <w:tab w:val="clear" w:pos="992"/>
          <w:tab w:val="clear" w:pos="5772"/>
          <w:tab w:val="clear" w:pos="6634"/>
          <w:tab w:val="clear" w:pos="7144"/>
          <w:tab w:val="clear" w:pos="7655"/>
          <w:tab w:val="clear" w:pos="8165"/>
          <w:tab w:val="left" w:pos="1134"/>
          <w:tab w:val="left" w:pos="1690"/>
          <w:tab w:val="left" w:leader="dot" w:pos="7410"/>
          <w:tab w:val="center" w:pos="8060"/>
          <w:tab w:val="right" w:pos="9298"/>
        </w:tabs>
        <w:spacing w:line="312" w:lineRule="auto"/>
        <w:ind w:firstLine="31680"/>
        <w:rPr>
          <w:rFonts w:eastAsia="SimSun" w:hint="eastAsia"/>
          <w:bCs/>
          <w:color w:val="000000"/>
          <w:lang w:eastAsia="zh-CN"/>
        </w:rPr>
      </w:pPr>
      <w:r>
        <w:rPr>
          <w:rFonts w:eastAsia="SimSun"/>
          <w:bCs/>
          <w:color w:val="000000"/>
          <w:lang w:eastAsia="zh-CN"/>
        </w:rPr>
        <w:tab/>
        <w:t>2.</w:t>
      </w:r>
      <w:r>
        <w:rPr>
          <w:rFonts w:eastAsia="SimSun"/>
          <w:bCs/>
          <w:color w:val="000000"/>
          <w:lang w:eastAsia="zh-CN"/>
        </w:rPr>
        <w:tab/>
      </w:r>
      <w:r>
        <w:rPr>
          <w:rFonts w:eastAsia="SimSun" w:hint="eastAsia"/>
          <w:bCs/>
          <w:color w:val="000000"/>
          <w:lang w:eastAsia="zh-CN"/>
        </w:rPr>
        <w:t>政府专门机构的任务</w:t>
      </w:r>
      <w:r>
        <w:rPr>
          <w:rFonts w:eastAsia="SimSun" w:hint="eastAsia"/>
          <w:bCs/>
          <w:color w:val="000000"/>
          <w:lang w:eastAsia="zh-CN"/>
        </w:rPr>
        <w:tab/>
      </w:r>
      <w:r>
        <w:rPr>
          <w:rFonts w:eastAsia="SimSun" w:hint="eastAsia"/>
          <w:bCs/>
          <w:color w:val="000000"/>
          <w:lang w:eastAsia="zh-CN"/>
        </w:rPr>
        <w:tab/>
        <w:t>163-182</w:t>
      </w:r>
      <w:r>
        <w:rPr>
          <w:rFonts w:eastAsia="SimSun" w:hint="eastAsia"/>
          <w:bCs/>
          <w:color w:val="000000"/>
          <w:lang w:eastAsia="zh-CN"/>
        </w:rPr>
        <w:tab/>
        <w:t>45</w:t>
      </w:r>
    </w:p>
    <w:p w:rsidR="00692915" w:rsidRDefault="00692915" w:rsidP="009A1C1B">
      <w:pPr>
        <w:pStyle w:val="Header"/>
        <w:tabs>
          <w:tab w:val="clear" w:pos="992"/>
          <w:tab w:val="clear" w:pos="5772"/>
          <w:tab w:val="clear" w:pos="6634"/>
          <w:tab w:val="clear" w:pos="7144"/>
          <w:tab w:val="clear" w:pos="7655"/>
          <w:tab w:val="clear" w:pos="8165"/>
          <w:tab w:val="left" w:pos="1134"/>
          <w:tab w:val="left" w:pos="1690"/>
          <w:tab w:val="left" w:leader="dot" w:pos="7410"/>
          <w:tab w:val="center" w:pos="8060"/>
          <w:tab w:val="right" w:pos="9298"/>
        </w:tabs>
        <w:spacing w:line="312" w:lineRule="auto"/>
        <w:ind w:firstLine="31680"/>
        <w:rPr>
          <w:rFonts w:eastAsia="SimSun" w:hint="eastAsia"/>
          <w:bCs/>
          <w:color w:val="000000"/>
          <w:lang w:eastAsia="zh-CN"/>
        </w:rPr>
      </w:pPr>
      <w:r>
        <w:rPr>
          <w:rFonts w:eastAsia="SimSun"/>
          <w:bCs/>
          <w:color w:val="000000"/>
          <w:lang w:eastAsia="zh-CN"/>
        </w:rPr>
        <w:tab/>
        <w:t>3.</w:t>
      </w:r>
      <w:r>
        <w:rPr>
          <w:rFonts w:eastAsia="SimSun"/>
          <w:bCs/>
          <w:color w:val="000000"/>
          <w:lang w:eastAsia="zh-CN"/>
        </w:rPr>
        <w:tab/>
      </w:r>
      <w:r>
        <w:rPr>
          <w:rFonts w:eastAsia="SimSun" w:hint="eastAsia"/>
          <w:bCs/>
          <w:color w:val="000000"/>
          <w:lang w:eastAsia="zh-CN"/>
        </w:rPr>
        <w:t>政府部委</w:t>
      </w:r>
      <w:r>
        <w:rPr>
          <w:rFonts w:eastAsia="SimSun"/>
          <w:bCs/>
          <w:color w:val="000000"/>
          <w:lang w:eastAsia="zh-CN"/>
        </w:rPr>
        <w:t xml:space="preserve"> </w:t>
      </w:r>
      <w:r>
        <w:rPr>
          <w:rFonts w:eastAsia="SimSun"/>
          <w:bCs/>
          <w:color w:val="000000"/>
          <w:lang w:eastAsia="zh-CN"/>
        </w:rPr>
        <w:tab/>
      </w:r>
      <w:r>
        <w:rPr>
          <w:rFonts w:eastAsia="SimSun"/>
          <w:bCs/>
          <w:color w:val="000000"/>
          <w:lang w:eastAsia="zh-CN"/>
        </w:rPr>
        <w:tab/>
      </w:r>
      <w:r>
        <w:rPr>
          <w:rFonts w:eastAsia="SimSun" w:hint="eastAsia"/>
          <w:bCs/>
          <w:color w:val="000000"/>
          <w:lang w:eastAsia="zh-CN"/>
        </w:rPr>
        <w:t>183-205</w:t>
      </w:r>
      <w:r>
        <w:rPr>
          <w:rFonts w:eastAsia="SimSun" w:hint="eastAsia"/>
          <w:bCs/>
          <w:color w:val="000000"/>
          <w:lang w:eastAsia="zh-CN"/>
        </w:rPr>
        <w:tab/>
        <w:t>49</w:t>
      </w:r>
    </w:p>
    <w:p w:rsidR="00692915" w:rsidRDefault="00692915" w:rsidP="009A1C1B">
      <w:pPr>
        <w:pStyle w:val="Header"/>
        <w:tabs>
          <w:tab w:val="clear" w:pos="992"/>
          <w:tab w:val="clear" w:pos="5772"/>
          <w:tab w:val="clear" w:pos="6634"/>
          <w:tab w:val="clear" w:pos="7144"/>
          <w:tab w:val="clear" w:pos="7655"/>
          <w:tab w:val="clear" w:pos="8165"/>
          <w:tab w:val="left" w:pos="1134"/>
          <w:tab w:val="left" w:pos="1690"/>
          <w:tab w:val="left" w:leader="dot" w:pos="7410"/>
          <w:tab w:val="center" w:pos="8060"/>
          <w:tab w:val="right" w:pos="9298"/>
        </w:tabs>
        <w:spacing w:line="312" w:lineRule="auto"/>
        <w:ind w:firstLine="31680"/>
        <w:rPr>
          <w:rFonts w:eastAsia="SimSun" w:hint="eastAsia"/>
          <w:bCs/>
          <w:color w:val="000000"/>
          <w:lang w:eastAsia="zh-CN"/>
        </w:rPr>
      </w:pPr>
      <w:r>
        <w:rPr>
          <w:rFonts w:eastAsia="SimSun"/>
          <w:bCs/>
          <w:color w:val="000000"/>
          <w:lang w:eastAsia="zh-CN"/>
        </w:rPr>
        <w:tab/>
        <w:t>4.</w:t>
      </w:r>
      <w:r>
        <w:rPr>
          <w:rFonts w:eastAsia="SimSun"/>
          <w:bCs/>
          <w:color w:val="000000"/>
          <w:lang w:eastAsia="zh-CN"/>
        </w:rPr>
        <w:tab/>
      </w:r>
      <w:r>
        <w:rPr>
          <w:rFonts w:eastAsia="SimSun" w:hint="eastAsia"/>
          <w:bCs/>
          <w:color w:val="000000"/>
          <w:lang w:eastAsia="zh-CN"/>
        </w:rPr>
        <w:t>议会中的人权</w:t>
      </w:r>
      <w:r>
        <w:rPr>
          <w:rFonts w:eastAsia="SimSun"/>
          <w:bCs/>
          <w:color w:val="000000"/>
          <w:lang w:eastAsia="zh-CN"/>
        </w:rPr>
        <w:t xml:space="preserve"> </w:t>
      </w:r>
      <w:r>
        <w:rPr>
          <w:rFonts w:eastAsia="SimSun"/>
          <w:bCs/>
          <w:color w:val="000000"/>
          <w:lang w:eastAsia="zh-CN"/>
        </w:rPr>
        <w:tab/>
      </w:r>
      <w:r>
        <w:rPr>
          <w:rFonts w:eastAsia="SimSun"/>
          <w:bCs/>
          <w:color w:val="000000"/>
          <w:lang w:eastAsia="zh-CN"/>
        </w:rPr>
        <w:tab/>
      </w:r>
      <w:r>
        <w:rPr>
          <w:rFonts w:eastAsia="SimSun" w:hint="eastAsia"/>
          <w:bCs/>
          <w:color w:val="000000"/>
          <w:lang w:eastAsia="zh-CN"/>
        </w:rPr>
        <w:t>206-212</w:t>
      </w:r>
      <w:r>
        <w:rPr>
          <w:rFonts w:eastAsia="SimSun" w:hint="eastAsia"/>
          <w:bCs/>
          <w:color w:val="000000"/>
          <w:lang w:eastAsia="zh-CN"/>
        </w:rPr>
        <w:tab/>
        <w:t>54</w:t>
      </w:r>
    </w:p>
    <w:p w:rsidR="00692915" w:rsidRDefault="00692915" w:rsidP="009A1C1B">
      <w:pPr>
        <w:pStyle w:val="Header"/>
        <w:tabs>
          <w:tab w:val="clear" w:pos="992"/>
          <w:tab w:val="clear" w:pos="5772"/>
          <w:tab w:val="clear" w:pos="6634"/>
          <w:tab w:val="clear" w:pos="7144"/>
          <w:tab w:val="clear" w:pos="7655"/>
          <w:tab w:val="clear" w:pos="8165"/>
          <w:tab w:val="left" w:pos="1134"/>
          <w:tab w:val="left" w:pos="1690"/>
          <w:tab w:val="left" w:leader="dot" w:pos="7410"/>
          <w:tab w:val="center" w:pos="8060"/>
          <w:tab w:val="right" w:pos="9298"/>
        </w:tabs>
        <w:spacing w:line="312" w:lineRule="auto"/>
        <w:ind w:firstLine="31680"/>
        <w:rPr>
          <w:rFonts w:eastAsia="SimSun" w:hint="eastAsia"/>
          <w:bCs/>
          <w:color w:val="000000"/>
          <w:lang w:eastAsia="zh-CN"/>
        </w:rPr>
      </w:pPr>
      <w:r>
        <w:rPr>
          <w:rFonts w:eastAsia="SimSun"/>
          <w:bCs/>
          <w:color w:val="000000"/>
          <w:lang w:eastAsia="zh-CN"/>
        </w:rPr>
        <w:tab/>
        <w:t>5.</w:t>
      </w:r>
      <w:r>
        <w:rPr>
          <w:rFonts w:eastAsia="SimSun"/>
          <w:bCs/>
          <w:color w:val="000000"/>
          <w:lang w:eastAsia="zh-CN"/>
        </w:rPr>
        <w:tab/>
      </w:r>
      <w:r>
        <w:rPr>
          <w:rFonts w:eastAsia="SimSun" w:hint="eastAsia"/>
          <w:bCs/>
          <w:color w:val="000000"/>
          <w:lang w:eastAsia="zh-CN"/>
        </w:rPr>
        <w:t>人权文书的公布</w:t>
      </w:r>
      <w:r>
        <w:rPr>
          <w:rFonts w:eastAsia="SimSun"/>
          <w:bCs/>
          <w:color w:val="000000"/>
          <w:lang w:eastAsia="zh-CN"/>
        </w:rPr>
        <w:tab/>
      </w:r>
      <w:r>
        <w:rPr>
          <w:rFonts w:eastAsia="SimSun" w:hint="eastAsia"/>
          <w:bCs/>
          <w:color w:val="000000"/>
          <w:lang w:eastAsia="zh-CN"/>
        </w:rPr>
        <w:tab/>
        <w:t>213-221</w:t>
      </w:r>
      <w:r>
        <w:rPr>
          <w:rFonts w:eastAsia="SimSun" w:hint="eastAsia"/>
          <w:bCs/>
          <w:color w:val="000000"/>
          <w:lang w:eastAsia="zh-CN"/>
        </w:rPr>
        <w:tab/>
        <w:t>55</w:t>
      </w:r>
    </w:p>
    <w:p w:rsidR="00692915" w:rsidRDefault="00692915" w:rsidP="009A1C1B">
      <w:pPr>
        <w:pStyle w:val="Header"/>
        <w:tabs>
          <w:tab w:val="clear" w:pos="992"/>
          <w:tab w:val="clear" w:pos="5772"/>
          <w:tab w:val="clear" w:pos="6634"/>
          <w:tab w:val="clear" w:pos="7144"/>
          <w:tab w:val="clear" w:pos="7655"/>
          <w:tab w:val="clear" w:pos="8165"/>
          <w:tab w:val="left" w:pos="1134"/>
          <w:tab w:val="left" w:pos="1690"/>
          <w:tab w:val="left" w:leader="dot" w:pos="7410"/>
          <w:tab w:val="center" w:pos="8060"/>
          <w:tab w:val="right" w:pos="9298"/>
        </w:tabs>
        <w:spacing w:line="312" w:lineRule="auto"/>
        <w:ind w:firstLine="31680"/>
        <w:rPr>
          <w:rFonts w:eastAsia="SimSun" w:hint="eastAsia"/>
          <w:bCs/>
          <w:color w:val="000000"/>
          <w:lang w:eastAsia="zh-CN"/>
        </w:rPr>
      </w:pPr>
      <w:r>
        <w:rPr>
          <w:rFonts w:eastAsia="SimSun"/>
          <w:bCs/>
          <w:color w:val="000000"/>
          <w:lang w:eastAsia="zh-CN"/>
        </w:rPr>
        <w:tab/>
        <w:t>6.</w:t>
      </w:r>
      <w:r>
        <w:rPr>
          <w:rFonts w:eastAsia="SimSun"/>
          <w:bCs/>
          <w:color w:val="000000"/>
          <w:lang w:eastAsia="zh-CN"/>
        </w:rPr>
        <w:tab/>
      </w:r>
      <w:r>
        <w:rPr>
          <w:rFonts w:eastAsia="SimSun" w:hint="eastAsia"/>
          <w:bCs/>
          <w:color w:val="000000"/>
          <w:lang w:eastAsia="zh-CN"/>
        </w:rPr>
        <w:t>人权培训与教育</w:t>
      </w:r>
      <w:r>
        <w:rPr>
          <w:rFonts w:eastAsia="SimSun"/>
          <w:bCs/>
          <w:color w:val="000000"/>
          <w:lang w:eastAsia="zh-CN"/>
        </w:rPr>
        <w:t xml:space="preserve"> </w:t>
      </w:r>
      <w:r>
        <w:rPr>
          <w:rFonts w:eastAsia="SimSun"/>
          <w:bCs/>
          <w:color w:val="000000"/>
          <w:lang w:eastAsia="zh-CN"/>
        </w:rPr>
        <w:tab/>
      </w:r>
      <w:r>
        <w:rPr>
          <w:rFonts w:eastAsia="SimSun" w:hint="eastAsia"/>
          <w:bCs/>
          <w:color w:val="000000"/>
          <w:lang w:eastAsia="zh-CN"/>
        </w:rPr>
        <w:tab/>
        <w:t>222-248</w:t>
      </w:r>
      <w:r>
        <w:rPr>
          <w:rFonts w:eastAsia="SimSun" w:hint="eastAsia"/>
          <w:bCs/>
          <w:color w:val="000000"/>
          <w:lang w:eastAsia="zh-CN"/>
        </w:rPr>
        <w:tab/>
        <w:t>58</w:t>
      </w:r>
    </w:p>
    <w:p w:rsidR="00692915" w:rsidRDefault="00692915" w:rsidP="009A1C1B">
      <w:pPr>
        <w:pStyle w:val="Header"/>
        <w:tabs>
          <w:tab w:val="clear" w:pos="992"/>
          <w:tab w:val="clear" w:pos="5772"/>
          <w:tab w:val="clear" w:pos="6634"/>
          <w:tab w:val="clear" w:pos="7144"/>
          <w:tab w:val="clear" w:pos="7655"/>
          <w:tab w:val="clear" w:pos="8165"/>
          <w:tab w:val="left" w:pos="1134"/>
          <w:tab w:val="left" w:pos="1690"/>
          <w:tab w:val="left" w:leader="dot" w:pos="7410"/>
          <w:tab w:val="center" w:pos="8060"/>
          <w:tab w:val="right" w:pos="9298"/>
        </w:tabs>
        <w:spacing w:line="312" w:lineRule="auto"/>
        <w:ind w:firstLine="31680"/>
        <w:rPr>
          <w:rFonts w:eastAsia="SimSun" w:hint="eastAsia"/>
          <w:bCs/>
          <w:color w:val="000000"/>
          <w:lang w:eastAsia="zh-CN"/>
        </w:rPr>
      </w:pPr>
      <w:r>
        <w:rPr>
          <w:rFonts w:eastAsia="SimSun"/>
          <w:bCs/>
          <w:color w:val="000000"/>
          <w:lang w:eastAsia="zh-CN"/>
        </w:rPr>
        <w:tab/>
        <w:t>7.</w:t>
      </w:r>
      <w:r>
        <w:rPr>
          <w:rFonts w:eastAsia="SimSun"/>
          <w:bCs/>
          <w:color w:val="000000"/>
          <w:lang w:eastAsia="zh-CN"/>
        </w:rPr>
        <w:tab/>
      </w:r>
      <w:r>
        <w:rPr>
          <w:rFonts w:eastAsia="SimSun" w:hint="eastAsia"/>
          <w:bCs/>
          <w:color w:val="000000"/>
          <w:lang w:eastAsia="zh-CN"/>
        </w:rPr>
        <w:t>媒体与公共信息宣传</w:t>
      </w:r>
      <w:r>
        <w:rPr>
          <w:rFonts w:eastAsia="SimSun"/>
          <w:bCs/>
          <w:color w:val="000000"/>
          <w:lang w:eastAsia="zh-CN"/>
        </w:rPr>
        <w:t xml:space="preserve"> </w:t>
      </w:r>
      <w:r>
        <w:rPr>
          <w:rFonts w:eastAsia="SimSun"/>
          <w:bCs/>
          <w:color w:val="000000"/>
          <w:lang w:eastAsia="zh-CN"/>
        </w:rPr>
        <w:tab/>
      </w:r>
      <w:r>
        <w:rPr>
          <w:rFonts w:eastAsia="SimSun" w:hint="eastAsia"/>
          <w:bCs/>
          <w:color w:val="000000"/>
          <w:lang w:eastAsia="zh-CN"/>
        </w:rPr>
        <w:tab/>
        <w:t>249-288</w:t>
      </w:r>
      <w:r>
        <w:rPr>
          <w:rFonts w:eastAsia="SimSun" w:hint="eastAsia"/>
          <w:bCs/>
          <w:color w:val="000000"/>
          <w:lang w:eastAsia="zh-CN"/>
        </w:rPr>
        <w:tab/>
        <w:t>63</w:t>
      </w:r>
    </w:p>
    <w:p w:rsidR="00692915" w:rsidRDefault="00692915" w:rsidP="009A1C1B">
      <w:pPr>
        <w:pStyle w:val="Header"/>
        <w:tabs>
          <w:tab w:val="clear" w:pos="992"/>
          <w:tab w:val="clear" w:pos="5772"/>
          <w:tab w:val="clear" w:pos="6634"/>
          <w:tab w:val="clear" w:pos="7144"/>
          <w:tab w:val="clear" w:pos="7655"/>
          <w:tab w:val="clear" w:pos="8165"/>
          <w:tab w:val="left" w:pos="1134"/>
          <w:tab w:val="left" w:pos="1690"/>
          <w:tab w:val="left" w:leader="dot" w:pos="7410"/>
          <w:tab w:val="center" w:pos="8060"/>
          <w:tab w:val="right" w:pos="9298"/>
        </w:tabs>
        <w:spacing w:line="312" w:lineRule="auto"/>
        <w:ind w:firstLine="31680"/>
        <w:rPr>
          <w:rFonts w:eastAsia="SimSun" w:hint="eastAsia"/>
          <w:bCs/>
          <w:color w:val="000000"/>
          <w:lang w:eastAsia="zh-CN"/>
        </w:rPr>
      </w:pPr>
      <w:r>
        <w:rPr>
          <w:rFonts w:eastAsia="SimSun"/>
          <w:bCs/>
          <w:color w:val="000000"/>
          <w:lang w:eastAsia="zh-CN"/>
        </w:rPr>
        <w:tab/>
        <w:t>8.</w:t>
      </w:r>
      <w:r>
        <w:rPr>
          <w:rFonts w:eastAsia="SimSun"/>
          <w:bCs/>
          <w:color w:val="000000"/>
          <w:lang w:eastAsia="zh-CN"/>
        </w:rPr>
        <w:tab/>
      </w:r>
      <w:r>
        <w:rPr>
          <w:rFonts w:eastAsia="SimSun" w:hint="eastAsia"/>
          <w:bCs/>
          <w:color w:val="000000"/>
          <w:lang w:eastAsia="zh-CN"/>
        </w:rPr>
        <w:t>人权与发展</w:t>
      </w:r>
      <w:r>
        <w:rPr>
          <w:rFonts w:eastAsia="SimSun"/>
          <w:bCs/>
          <w:color w:val="000000"/>
          <w:lang w:eastAsia="zh-CN"/>
        </w:rPr>
        <w:t xml:space="preserve"> </w:t>
      </w:r>
      <w:r>
        <w:rPr>
          <w:rFonts w:eastAsia="SimSun"/>
          <w:bCs/>
          <w:color w:val="000000"/>
          <w:lang w:eastAsia="zh-CN"/>
        </w:rPr>
        <w:tab/>
      </w:r>
      <w:r>
        <w:rPr>
          <w:rFonts w:eastAsia="SimSun" w:hint="eastAsia"/>
          <w:bCs/>
          <w:color w:val="000000"/>
          <w:lang w:eastAsia="zh-CN"/>
        </w:rPr>
        <w:tab/>
        <w:t>289-309</w:t>
      </w:r>
      <w:r>
        <w:rPr>
          <w:rFonts w:eastAsia="SimSun" w:hint="eastAsia"/>
          <w:bCs/>
          <w:color w:val="000000"/>
          <w:lang w:eastAsia="zh-CN"/>
        </w:rPr>
        <w:tab/>
        <w:t>73</w:t>
      </w:r>
    </w:p>
    <w:p w:rsidR="00692915" w:rsidRDefault="00692915" w:rsidP="009A1C1B">
      <w:pPr>
        <w:pStyle w:val="Header"/>
        <w:tabs>
          <w:tab w:val="clear" w:pos="992"/>
          <w:tab w:val="clear" w:pos="5772"/>
          <w:tab w:val="clear" w:pos="6634"/>
          <w:tab w:val="clear" w:pos="7144"/>
          <w:tab w:val="clear" w:pos="7655"/>
          <w:tab w:val="clear" w:pos="8165"/>
          <w:tab w:val="left" w:pos="1134"/>
          <w:tab w:val="left" w:pos="1690"/>
          <w:tab w:val="left" w:leader="dot" w:pos="7410"/>
          <w:tab w:val="center" w:pos="8060"/>
          <w:tab w:val="right" w:pos="9298"/>
        </w:tabs>
        <w:spacing w:line="312" w:lineRule="auto"/>
        <w:ind w:firstLine="31680"/>
        <w:rPr>
          <w:rFonts w:eastAsia="SimSun" w:hint="eastAsia"/>
          <w:bCs/>
          <w:color w:val="000000"/>
          <w:lang w:eastAsia="zh-CN"/>
        </w:rPr>
      </w:pPr>
      <w:r>
        <w:rPr>
          <w:rFonts w:eastAsia="SimSun"/>
          <w:bCs/>
          <w:color w:val="000000"/>
          <w:lang w:eastAsia="zh-CN"/>
        </w:rPr>
        <w:tab/>
        <w:t>9.</w:t>
      </w:r>
      <w:r>
        <w:rPr>
          <w:rFonts w:eastAsia="SimSun"/>
          <w:bCs/>
          <w:color w:val="000000"/>
          <w:lang w:eastAsia="zh-CN"/>
        </w:rPr>
        <w:tab/>
      </w:r>
      <w:r>
        <w:rPr>
          <w:rFonts w:eastAsia="SimSun" w:hint="eastAsia"/>
          <w:bCs/>
          <w:color w:val="000000"/>
          <w:lang w:eastAsia="zh-CN"/>
        </w:rPr>
        <w:t>性别主流化</w:t>
      </w:r>
      <w:r>
        <w:rPr>
          <w:rFonts w:eastAsia="SimSun"/>
          <w:bCs/>
          <w:color w:val="000000"/>
          <w:lang w:eastAsia="zh-CN"/>
        </w:rPr>
        <w:t xml:space="preserve"> </w:t>
      </w:r>
      <w:r>
        <w:rPr>
          <w:rFonts w:eastAsia="SimSun"/>
          <w:bCs/>
          <w:color w:val="000000"/>
          <w:lang w:eastAsia="zh-CN"/>
        </w:rPr>
        <w:tab/>
      </w:r>
      <w:r>
        <w:rPr>
          <w:rFonts w:eastAsia="SimSun" w:hint="eastAsia"/>
          <w:bCs/>
          <w:color w:val="000000"/>
          <w:lang w:eastAsia="zh-CN"/>
        </w:rPr>
        <w:tab/>
        <w:t>310-344</w:t>
      </w:r>
      <w:r>
        <w:rPr>
          <w:rFonts w:eastAsia="SimSun" w:hint="eastAsia"/>
          <w:bCs/>
          <w:color w:val="000000"/>
          <w:lang w:eastAsia="zh-CN"/>
        </w:rPr>
        <w:tab/>
        <w:t>78</w:t>
      </w:r>
    </w:p>
    <w:p w:rsidR="00692915" w:rsidRDefault="00692915" w:rsidP="009A1C1B">
      <w:pPr>
        <w:spacing w:after="240"/>
        <w:ind w:firstLine="31680"/>
        <w:jc w:val="center"/>
        <w:rPr>
          <w:rFonts w:eastAsia="KaiTi_GB2312" w:hint="eastAsia"/>
          <w:color w:val="000000"/>
          <w:sz w:val="28"/>
        </w:rPr>
      </w:pPr>
      <w:r>
        <w:rPr>
          <w:rFonts w:eastAsia="KaiTi_GB2312" w:hint="eastAsia"/>
          <w:b/>
          <w:color w:val="000000"/>
          <w:sz w:val="28"/>
        </w:rPr>
        <w:t>目</w:t>
      </w:r>
      <w:r>
        <w:rPr>
          <w:rFonts w:eastAsia="KaiTi_GB2312" w:hint="eastAsia"/>
          <w:b/>
          <w:color w:val="000000"/>
          <w:sz w:val="28"/>
        </w:rPr>
        <w:t xml:space="preserve"> </w:t>
      </w:r>
      <w:r>
        <w:rPr>
          <w:rFonts w:eastAsia="KaiTi_GB2312" w:hint="eastAsia"/>
          <w:b/>
          <w:color w:val="000000"/>
          <w:sz w:val="28"/>
        </w:rPr>
        <w:t>录（续）</w:t>
      </w:r>
    </w:p>
    <w:p w:rsidR="00692915" w:rsidRDefault="00692915" w:rsidP="009A1C1B">
      <w:pPr>
        <w:tabs>
          <w:tab w:val="left" w:pos="567"/>
          <w:tab w:val="left" w:pos="7470"/>
          <w:tab w:val="center" w:pos="8060"/>
          <w:tab w:val="right" w:pos="9298"/>
        </w:tabs>
        <w:ind w:firstLine="31680"/>
        <w:rPr>
          <w:rFonts w:ascii="KaiTi_GB2312" w:eastAsia="KaiTi_GB2312" w:hint="eastAsia"/>
          <w:iCs/>
          <w:color w:val="000000"/>
        </w:rPr>
      </w:pPr>
      <w:r>
        <w:rPr>
          <w:rFonts w:ascii="KaiTi_GB2312" w:eastAsia="KaiTi_GB2312" w:hint="eastAsia"/>
          <w:iCs/>
          <w:color w:val="000000"/>
        </w:rPr>
        <w:tab/>
      </w:r>
      <w:r>
        <w:rPr>
          <w:rFonts w:ascii="KaiTi_GB2312" w:eastAsia="KaiTi_GB2312" w:hint="eastAsia"/>
          <w:iCs/>
          <w:color w:val="000000"/>
        </w:rPr>
        <w:tab/>
      </w:r>
      <w:r>
        <w:rPr>
          <w:rFonts w:ascii="KaiTi_GB2312" w:eastAsia="KaiTi_GB2312" w:hint="eastAsia"/>
          <w:iCs/>
          <w:color w:val="000000"/>
        </w:rPr>
        <w:tab/>
      </w:r>
      <w:r>
        <w:rPr>
          <w:rFonts w:ascii="KaiTi_GB2312" w:eastAsia="KaiTi_GB2312" w:hint="eastAsia"/>
          <w:iCs/>
          <w:color w:val="000000"/>
          <w:u w:val="single"/>
        </w:rPr>
        <w:t>段次</w:t>
      </w:r>
      <w:r>
        <w:rPr>
          <w:rFonts w:ascii="KaiTi_GB2312" w:eastAsia="KaiTi_GB2312" w:hint="eastAsia"/>
          <w:iCs/>
          <w:color w:val="000000"/>
        </w:rPr>
        <w:t xml:space="preserve"> </w:t>
      </w:r>
      <w:r>
        <w:rPr>
          <w:rFonts w:ascii="KaiTi_GB2312" w:eastAsia="KaiTi_GB2312" w:hint="eastAsia"/>
          <w:iCs/>
          <w:color w:val="000000"/>
        </w:rPr>
        <w:tab/>
      </w:r>
      <w:r>
        <w:rPr>
          <w:rFonts w:ascii="KaiTi_GB2312" w:eastAsia="KaiTi_GB2312" w:hint="eastAsia"/>
          <w:iCs/>
          <w:color w:val="000000"/>
          <w:u w:val="single"/>
        </w:rPr>
        <w:t>页次</w:t>
      </w:r>
    </w:p>
    <w:p w:rsidR="00692915" w:rsidRDefault="00692915" w:rsidP="009A1C1B">
      <w:pPr>
        <w:tabs>
          <w:tab w:val="left" w:pos="567"/>
          <w:tab w:val="left" w:pos="1134"/>
          <w:tab w:val="left" w:leader="dot" w:pos="7410"/>
          <w:tab w:val="center" w:pos="8060"/>
          <w:tab w:val="right" w:pos="9298"/>
        </w:tabs>
        <w:spacing w:line="312" w:lineRule="auto"/>
        <w:ind w:firstLine="31680"/>
        <w:rPr>
          <w:rFonts w:hint="eastAsia"/>
          <w:bCs/>
          <w:color w:val="000000"/>
        </w:rPr>
      </w:pPr>
      <w:r>
        <w:rPr>
          <w:bCs/>
          <w:color w:val="000000"/>
        </w:rPr>
        <w:tab/>
        <w:t>D.</w:t>
      </w:r>
      <w:r>
        <w:rPr>
          <w:bCs/>
          <w:color w:val="000000"/>
        </w:rPr>
        <w:tab/>
      </w:r>
      <w:r>
        <w:rPr>
          <w:rFonts w:hint="eastAsia"/>
          <w:bCs/>
          <w:color w:val="000000"/>
        </w:rPr>
        <w:t>报告程序在促进国家一级人权方面的作用</w:t>
      </w:r>
      <w:r>
        <w:rPr>
          <w:bCs/>
          <w:color w:val="000000"/>
        </w:rPr>
        <w:tab/>
      </w:r>
      <w:r>
        <w:rPr>
          <w:rFonts w:hint="eastAsia"/>
          <w:bCs/>
          <w:color w:val="000000"/>
        </w:rPr>
        <w:tab/>
        <w:t>345-353</w:t>
      </w:r>
      <w:r>
        <w:rPr>
          <w:rFonts w:hint="eastAsia"/>
          <w:bCs/>
          <w:color w:val="000000"/>
        </w:rPr>
        <w:tab/>
        <w:t>86</w:t>
      </w:r>
    </w:p>
    <w:p w:rsidR="00692915" w:rsidRDefault="00692915" w:rsidP="009A1C1B">
      <w:pPr>
        <w:tabs>
          <w:tab w:val="left" w:pos="567"/>
          <w:tab w:val="left" w:pos="1134"/>
          <w:tab w:val="left" w:leader="dot" w:pos="7410"/>
          <w:tab w:val="center" w:pos="8060"/>
          <w:tab w:val="right" w:pos="9298"/>
        </w:tabs>
        <w:spacing w:line="312" w:lineRule="auto"/>
        <w:ind w:firstLine="31680"/>
        <w:rPr>
          <w:rFonts w:hint="eastAsia"/>
          <w:bCs/>
          <w:color w:val="000000"/>
        </w:rPr>
      </w:pPr>
      <w:r>
        <w:rPr>
          <w:bCs/>
          <w:color w:val="000000"/>
        </w:rPr>
        <w:tab/>
        <w:t>E.</w:t>
      </w:r>
      <w:r>
        <w:rPr>
          <w:bCs/>
          <w:color w:val="000000"/>
        </w:rPr>
        <w:tab/>
      </w:r>
      <w:r>
        <w:rPr>
          <w:rFonts w:hint="eastAsia"/>
          <w:bCs/>
          <w:color w:val="000000"/>
        </w:rPr>
        <w:t>《国家人权行动计划》和其他相关的人权信息</w:t>
      </w:r>
      <w:r>
        <w:rPr>
          <w:bCs/>
          <w:color w:val="000000"/>
        </w:rPr>
        <w:tab/>
      </w:r>
      <w:r>
        <w:rPr>
          <w:rFonts w:hint="eastAsia"/>
          <w:bCs/>
          <w:color w:val="000000"/>
        </w:rPr>
        <w:tab/>
        <w:t>354-375</w:t>
      </w:r>
      <w:r>
        <w:rPr>
          <w:rFonts w:hint="eastAsia"/>
          <w:bCs/>
          <w:color w:val="000000"/>
        </w:rPr>
        <w:tab/>
        <w:t>88</w:t>
      </w:r>
    </w:p>
    <w:p w:rsidR="00692915" w:rsidRDefault="00692915" w:rsidP="009A1C1B">
      <w:pPr>
        <w:tabs>
          <w:tab w:val="left" w:pos="567"/>
          <w:tab w:val="left" w:leader="dot" w:pos="7410"/>
          <w:tab w:val="center" w:pos="8060"/>
          <w:tab w:val="right" w:pos="9298"/>
        </w:tabs>
        <w:spacing w:line="312" w:lineRule="auto"/>
        <w:ind w:firstLine="31680"/>
        <w:rPr>
          <w:rFonts w:hint="eastAsia"/>
          <w:color w:val="000000"/>
        </w:rPr>
      </w:pPr>
      <w:r>
        <w:rPr>
          <w:rFonts w:hint="eastAsia"/>
          <w:color w:val="000000"/>
        </w:rPr>
        <w:t>三、内容一致的实质性条款</w:t>
      </w:r>
      <w:r>
        <w:rPr>
          <w:color w:val="000000"/>
        </w:rPr>
        <w:t xml:space="preserve"> </w:t>
      </w:r>
      <w:r>
        <w:rPr>
          <w:color w:val="000000"/>
        </w:rPr>
        <w:tab/>
      </w:r>
      <w:r>
        <w:rPr>
          <w:color w:val="000000"/>
        </w:rPr>
        <w:tab/>
      </w:r>
      <w:r>
        <w:rPr>
          <w:rFonts w:hint="eastAsia"/>
          <w:color w:val="000000"/>
        </w:rPr>
        <w:t>376-722</w:t>
      </w:r>
      <w:r>
        <w:rPr>
          <w:rFonts w:hint="eastAsia"/>
          <w:color w:val="000000"/>
        </w:rPr>
        <w:tab/>
        <w:t>93</w:t>
      </w:r>
    </w:p>
    <w:p w:rsidR="00692915" w:rsidRDefault="00692915" w:rsidP="009A1C1B">
      <w:pPr>
        <w:tabs>
          <w:tab w:val="left" w:pos="567"/>
          <w:tab w:val="left" w:pos="1134"/>
          <w:tab w:val="left" w:leader="dot" w:pos="7410"/>
          <w:tab w:val="center" w:pos="8060"/>
          <w:tab w:val="right" w:pos="9298"/>
        </w:tabs>
        <w:spacing w:line="312" w:lineRule="auto"/>
        <w:ind w:firstLine="31680"/>
        <w:rPr>
          <w:rFonts w:hint="eastAsia"/>
          <w:bCs/>
          <w:color w:val="000000"/>
        </w:rPr>
      </w:pPr>
      <w:r>
        <w:rPr>
          <w:bCs/>
          <w:color w:val="000000"/>
        </w:rPr>
        <w:tab/>
        <w:t>A.</w:t>
      </w:r>
      <w:r>
        <w:rPr>
          <w:bCs/>
          <w:color w:val="000000"/>
        </w:rPr>
        <w:tab/>
      </w:r>
      <w:r>
        <w:rPr>
          <w:rFonts w:hint="eastAsia"/>
          <w:bCs/>
          <w:color w:val="000000"/>
        </w:rPr>
        <w:t>非歧视与平等</w:t>
      </w:r>
      <w:r>
        <w:rPr>
          <w:bCs/>
          <w:color w:val="000000"/>
        </w:rPr>
        <w:t xml:space="preserve"> </w:t>
      </w:r>
      <w:r>
        <w:rPr>
          <w:bCs/>
          <w:color w:val="000000"/>
        </w:rPr>
        <w:tab/>
      </w:r>
      <w:r>
        <w:rPr>
          <w:rFonts w:hint="eastAsia"/>
          <w:bCs/>
          <w:color w:val="000000"/>
        </w:rPr>
        <w:tab/>
        <w:t>376-438</w:t>
      </w:r>
      <w:r>
        <w:rPr>
          <w:rFonts w:hint="eastAsia"/>
          <w:bCs/>
          <w:color w:val="000000"/>
        </w:rPr>
        <w:tab/>
        <w:t>93</w:t>
      </w:r>
    </w:p>
    <w:p w:rsidR="00692915" w:rsidRDefault="00692915" w:rsidP="009A1C1B">
      <w:pPr>
        <w:pStyle w:val="Header"/>
        <w:tabs>
          <w:tab w:val="clear" w:pos="992"/>
          <w:tab w:val="clear" w:pos="5772"/>
          <w:tab w:val="clear" w:pos="6634"/>
          <w:tab w:val="clear" w:pos="7144"/>
          <w:tab w:val="clear" w:pos="7655"/>
          <w:tab w:val="clear" w:pos="8165"/>
          <w:tab w:val="left" w:pos="1134"/>
          <w:tab w:val="left" w:pos="1690"/>
          <w:tab w:val="left" w:leader="dot" w:pos="7410"/>
          <w:tab w:val="center" w:pos="8060"/>
          <w:tab w:val="right" w:pos="9298"/>
        </w:tabs>
        <w:spacing w:line="312" w:lineRule="auto"/>
        <w:ind w:left="31680" w:rightChars="898" w:right="31680" w:hangingChars="704" w:firstLine="31680"/>
        <w:rPr>
          <w:rFonts w:eastAsia="SimSun" w:hint="eastAsia"/>
          <w:bCs/>
          <w:color w:val="000000"/>
          <w:lang w:eastAsia="zh-CN"/>
        </w:rPr>
      </w:pPr>
      <w:r>
        <w:rPr>
          <w:rFonts w:eastAsia="SimSun"/>
          <w:bCs/>
          <w:color w:val="000000"/>
          <w:lang w:eastAsia="zh-CN"/>
        </w:rPr>
        <w:tab/>
        <w:t>1.</w:t>
      </w:r>
      <w:r>
        <w:rPr>
          <w:rFonts w:eastAsia="SimSun"/>
          <w:bCs/>
          <w:color w:val="000000"/>
          <w:lang w:eastAsia="zh-CN"/>
        </w:rPr>
        <w:tab/>
      </w:r>
      <w:r>
        <w:rPr>
          <w:rFonts w:eastAsia="SimSun" w:hint="eastAsia"/>
          <w:bCs/>
          <w:color w:val="000000"/>
          <w:lang w:eastAsia="zh-CN"/>
        </w:rPr>
        <w:t>非歧视：法律面前人人平等，人人享有依法受平等保护权利</w:t>
      </w:r>
      <w:r>
        <w:rPr>
          <w:rFonts w:eastAsia="SimSun"/>
          <w:bCs/>
          <w:color w:val="000000"/>
          <w:lang w:eastAsia="zh-CN"/>
        </w:rPr>
        <w:tab/>
      </w:r>
      <w:r>
        <w:rPr>
          <w:rFonts w:eastAsia="SimSun"/>
          <w:bCs/>
          <w:color w:val="000000"/>
          <w:lang w:eastAsia="zh-CN"/>
        </w:rPr>
        <w:tab/>
      </w:r>
      <w:r>
        <w:rPr>
          <w:rFonts w:eastAsia="SimSun" w:hint="eastAsia"/>
          <w:bCs/>
          <w:color w:val="000000"/>
          <w:lang w:eastAsia="zh-CN"/>
        </w:rPr>
        <w:t>409-415</w:t>
      </w:r>
      <w:r>
        <w:rPr>
          <w:rFonts w:eastAsia="SimSun" w:hint="eastAsia"/>
          <w:bCs/>
          <w:color w:val="000000"/>
          <w:lang w:eastAsia="zh-CN"/>
        </w:rPr>
        <w:tab/>
        <w:t>99</w:t>
      </w:r>
    </w:p>
    <w:p w:rsidR="00692915" w:rsidRDefault="00692915" w:rsidP="009A1C1B">
      <w:pPr>
        <w:pStyle w:val="Header"/>
        <w:tabs>
          <w:tab w:val="clear" w:pos="992"/>
          <w:tab w:val="clear" w:pos="5772"/>
          <w:tab w:val="clear" w:pos="6634"/>
          <w:tab w:val="clear" w:pos="7144"/>
          <w:tab w:val="clear" w:pos="7655"/>
          <w:tab w:val="clear" w:pos="8165"/>
          <w:tab w:val="left" w:pos="1134"/>
          <w:tab w:val="left" w:pos="1690"/>
          <w:tab w:val="left" w:leader="dot" w:pos="7410"/>
          <w:tab w:val="center" w:pos="8060"/>
          <w:tab w:val="right" w:pos="9298"/>
        </w:tabs>
        <w:spacing w:line="312" w:lineRule="auto"/>
        <w:ind w:left="31680" w:rightChars="898" w:right="31680" w:hangingChars="704" w:firstLine="31680"/>
        <w:rPr>
          <w:rFonts w:eastAsia="SimSun" w:hint="eastAsia"/>
          <w:bCs/>
          <w:color w:val="000000"/>
          <w:lang w:eastAsia="zh-CN"/>
        </w:rPr>
      </w:pPr>
      <w:r>
        <w:rPr>
          <w:rFonts w:eastAsia="SimSun"/>
          <w:bCs/>
          <w:color w:val="000000"/>
          <w:lang w:eastAsia="zh-CN"/>
        </w:rPr>
        <w:tab/>
        <w:t xml:space="preserve">2 </w:t>
      </w:r>
      <w:r>
        <w:rPr>
          <w:rFonts w:eastAsia="SimSun" w:hint="eastAsia"/>
          <w:bCs/>
          <w:color w:val="000000"/>
          <w:lang w:eastAsia="zh-CN"/>
        </w:rPr>
        <w:t>加速争取平等的特别措施</w:t>
      </w:r>
      <w:r>
        <w:rPr>
          <w:rFonts w:eastAsia="SimSun"/>
          <w:bCs/>
          <w:color w:val="000000"/>
          <w:lang w:eastAsia="zh-CN"/>
        </w:rPr>
        <w:tab/>
      </w:r>
      <w:r>
        <w:rPr>
          <w:rFonts w:eastAsia="SimSun"/>
          <w:bCs/>
          <w:color w:val="000000"/>
          <w:lang w:eastAsia="zh-CN"/>
        </w:rPr>
        <w:tab/>
      </w:r>
      <w:r>
        <w:rPr>
          <w:rFonts w:eastAsia="SimSun" w:hint="eastAsia"/>
          <w:bCs/>
          <w:color w:val="000000"/>
          <w:lang w:eastAsia="zh-CN"/>
        </w:rPr>
        <w:t>416-438</w:t>
      </w:r>
      <w:r>
        <w:rPr>
          <w:rFonts w:eastAsia="SimSun" w:hint="eastAsia"/>
          <w:bCs/>
          <w:color w:val="000000"/>
          <w:lang w:eastAsia="zh-CN"/>
        </w:rPr>
        <w:tab/>
        <w:t>101</w:t>
      </w:r>
    </w:p>
    <w:p w:rsidR="00692915" w:rsidRDefault="00692915" w:rsidP="009A1C1B">
      <w:pPr>
        <w:tabs>
          <w:tab w:val="left" w:pos="567"/>
          <w:tab w:val="left" w:pos="1134"/>
          <w:tab w:val="left" w:leader="dot" w:pos="7410"/>
          <w:tab w:val="center" w:pos="8060"/>
          <w:tab w:val="right" w:pos="9298"/>
        </w:tabs>
        <w:spacing w:line="312" w:lineRule="auto"/>
        <w:ind w:firstLine="31680"/>
        <w:rPr>
          <w:rFonts w:hint="eastAsia"/>
          <w:bCs/>
          <w:color w:val="000000"/>
        </w:rPr>
      </w:pPr>
      <w:r>
        <w:rPr>
          <w:bCs/>
          <w:color w:val="000000"/>
        </w:rPr>
        <w:tab/>
        <w:t>B.</w:t>
      </w:r>
      <w:r>
        <w:rPr>
          <w:bCs/>
          <w:color w:val="000000"/>
        </w:rPr>
        <w:tab/>
      </w:r>
      <w:r>
        <w:rPr>
          <w:rFonts w:hint="eastAsia"/>
          <w:bCs/>
          <w:color w:val="000000"/>
        </w:rPr>
        <w:t>程序保障措施</w:t>
      </w:r>
      <w:r>
        <w:rPr>
          <w:rFonts w:hint="eastAsia"/>
          <w:bCs/>
          <w:color w:val="000000"/>
        </w:rPr>
        <w:tab/>
      </w:r>
      <w:r>
        <w:rPr>
          <w:rFonts w:hint="eastAsia"/>
          <w:bCs/>
          <w:color w:val="000000"/>
        </w:rPr>
        <w:tab/>
        <w:t>439-486</w:t>
      </w:r>
      <w:r>
        <w:rPr>
          <w:rFonts w:hint="eastAsia"/>
          <w:bCs/>
          <w:color w:val="000000"/>
        </w:rPr>
        <w:tab/>
        <w:t>105</w:t>
      </w:r>
    </w:p>
    <w:p w:rsidR="00692915" w:rsidRDefault="00692915" w:rsidP="009A1C1B">
      <w:pPr>
        <w:pStyle w:val="Header"/>
        <w:tabs>
          <w:tab w:val="clear" w:pos="992"/>
          <w:tab w:val="clear" w:pos="5772"/>
          <w:tab w:val="clear" w:pos="6634"/>
          <w:tab w:val="clear" w:pos="7144"/>
          <w:tab w:val="clear" w:pos="7655"/>
          <w:tab w:val="clear" w:pos="8165"/>
          <w:tab w:val="left" w:pos="1134"/>
          <w:tab w:val="left" w:pos="1690"/>
          <w:tab w:val="left" w:leader="dot" w:pos="7410"/>
          <w:tab w:val="center" w:pos="8060"/>
          <w:tab w:val="right" w:pos="9298"/>
        </w:tabs>
        <w:spacing w:line="312" w:lineRule="auto"/>
        <w:ind w:firstLine="31680"/>
        <w:rPr>
          <w:rFonts w:eastAsia="SimSun" w:hint="eastAsia"/>
          <w:bCs/>
          <w:color w:val="000000"/>
          <w:lang w:eastAsia="zh-CN"/>
        </w:rPr>
      </w:pPr>
      <w:r>
        <w:rPr>
          <w:rFonts w:eastAsia="SimSun"/>
          <w:bCs/>
          <w:color w:val="000000"/>
          <w:lang w:eastAsia="zh-CN"/>
        </w:rPr>
        <w:tab/>
        <w:t>1.</w:t>
      </w:r>
      <w:r>
        <w:rPr>
          <w:rFonts w:eastAsia="SimSun"/>
          <w:bCs/>
          <w:color w:val="000000"/>
          <w:lang w:eastAsia="zh-CN"/>
        </w:rPr>
        <w:tab/>
      </w:r>
      <w:r>
        <w:rPr>
          <w:rFonts w:eastAsia="SimSun" w:hint="eastAsia"/>
          <w:bCs/>
          <w:color w:val="000000"/>
          <w:lang w:eastAsia="zh-CN"/>
        </w:rPr>
        <w:t>逮捕与拘留</w:t>
      </w:r>
      <w:r>
        <w:rPr>
          <w:rFonts w:eastAsia="SimSun"/>
          <w:bCs/>
          <w:color w:val="000000"/>
          <w:lang w:eastAsia="zh-CN"/>
        </w:rPr>
        <w:tab/>
      </w:r>
      <w:r>
        <w:rPr>
          <w:rFonts w:eastAsia="SimSun"/>
          <w:bCs/>
          <w:color w:val="000000"/>
          <w:lang w:eastAsia="zh-CN"/>
        </w:rPr>
        <w:tab/>
      </w:r>
      <w:r>
        <w:rPr>
          <w:rFonts w:eastAsia="SimSun" w:hint="eastAsia"/>
          <w:bCs/>
          <w:color w:val="000000"/>
          <w:lang w:eastAsia="zh-CN"/>
        </w:rPr>
        <w:t>439-461</w:t>
      </w:r>
      <w:r>
        <w:rPr>
          <w:rFonts w:eastAsia="SimSun" w:hint="eastAsia"/>
          <w:bCs/>
          <w:color w:val="000000"/>
          <w:lang w:eastAsia="zh-CN"/>
        </w:rPr>
        <w:tab/>
        <w:t>105</w:t>
      </w:r>
    </w:p>
    <w:p w:rsidR="00692915" w:rsidRDefault="00692915" w:rsidP="009A1C1B">
      <w:pPr>
        <w:pStyle w:val="Header"/>
        <w:tabs>
          <w:tab w:val="clear" w:pos="992"/>
          <w:tab w:val="clear" w:pos="5772"/>
          <w:tab w:val="clear" w:pos="6634"/>
          <w:tab w:val="clear" w:pos="7144"/>
          <w:tab w:val="clear" w:pos="7655"/>
          <w:tab w:val="clear" w:pos="8165"/>
          <w:tab w:val="left" w:pos="1134"/>
          <w:tab w:val="left" w:pos="1690"/>
          <w:tab w:val="left" w:leader="dot" w:pos="7410"/>
          <w:tab w:val="center" w:pos="8060"/>
          <w:tab w:val="right" w:pos="9298"/>
        </w:tabs>
        <w:spacing w:line="312" w:lineRule="auto"/>
        <w:ind w:firstLine="31680"/>
        <w:rPr>
          <w:rFonts w:eastAsia="SimSun" w:hint="eastAsia"/>
          <w:bCs/>
          <w:color w:val="000000"/>
          <w:lang w:eastAsia="zh-CN"/>
        </w:rPr>
      </w:pPr>
      <w:r>
        <w:rPr>
          <w:rFonts w:eastAsia="SimSun"/>
          <w:bCs/>
          <w:color w:val="000000"/>
          <w:lang w:eastAsia="zh-CN"/>
        </w:rPr>
        <w:tab/>
        <w:t>2.</w:t>
      </w:r>
      <w:r>
        <w:rPr>
          <w:rFonts w:eastAsia="SimSun"/>
          <w:bCs/>
          <w:color w:val="000000"/>
          <w:lang w:eastAsia="zh-CN"/>
        </w:rPr>
        <w:tab/>
      </w:r>
      <w:r>
        <w:rPr>
          <w:rFonts w:eastAsia="SimSun" w:hint="eastAsia"/>
          <w:bCs/>
          <w:color w:val="000000"/>
          <w:lang w:eastAsia="zh-CN"/>
        </w:rPr>
        <w:t>刑事诉讼</w:t>
      </w:r>
      <w:r>
        <w:rPr>
          <w:rFonts w:eastAsia="SimSun"/>
          <w:bCs/>
          <w:color w:val="000000"/>
          <w:lang w:eastAsia="zh-CN"/>
        </w:rPr>
        <w:t xml:space="preserve"> </w:t>
      </w:r>
      <w:r>
        <w:rPr>
          <w:rFonts w:eastAsia="SimSun"/>
          <w:bCs/>
          <w:color w:val="000000"/>
          <w:lang w:eastAsia="zh-CN"/>
        </w:rPr>
        <w:tab/>
      </w:r>
      <w:r>
        <w:rPr>
          <w:rFonts w:eastAsia="SimSun"/>
          <w:bCs/>
          <w:color w:val="000000"/>
          <w:lang w:eastAsia="zh-CN"/>
        </w:rPr>
        <w:tab/>
      </w:r>
      <w:r>
        <w:rPr>
          <w:rFonts w:eastAsia="SimSun" w:hint="eastAsia"/>
          <w:bCs/>
          <w:color w:val="000000"/>
          <w:lang w:eastAsia="zh-CN"/>
        </w:rPr>
        <w:t>462-474</w:t>
      </w:r>
      <w:r>
        <w:rPr>
          <w:rFonts w:eastAsia="SimSun" w:hint="eastAsia"/>
          <w:bCs/>
          <w:color w:val="000000"/>
          <w:lang w:eastAsia="zh-CN"/>
        </w:rPr>
        <w:tab/>
        <w:t>110</w:t>
      </w:r>
    </w:p>
    <w:p w:rsidR="00692915" w:rsidRDefault="00692915" w:rsidP="009A1C1B">
      <w:pPr>
        <w:pStyle w:val="Header"/>
        <w:tabs>
          <w:tab w:val="clear" w:pos="992"/>
          <w:tab w:val="clear" w:pos="5772"/>
          <w:tab w:val="clear" w:pos="6634"/>
          <w:tab w:val="clear" w:pos="7144"/>
          <w:tab w:val="clear" w:pos="7655"/>
          <w:tab w:val="clear" w:pos="8165"/>
          <w:tab w:val="left" w:pos="1134"/>
          <w:tab w:val="left" w:pos="1690"/>
          <w:tab w:val="left" w:leader="dot" w:pos="7410"/>
          <w:tab w:val="center" w:pos="8060"/>
          <w:tab w:val="right" w:pos="9298"/>
        </w:tabs>
        <w:spacing w:line="312" w:lineRule="auto"/>
        <w:ind w:firstLine="31680"/>
        <w:rPr>
          <w:rFonts w:eastAsia="SimSun" w:hint="eastAsia"/>
          <w:bCs/>
          <w:color w:val="000000"/>
          <w:lang w:eastAsia="zh-CN"/>
        </w:rPr>
      </w:pPr>
      <w:r>
        <w:rPr>
          <w:rFonts w:eastAsia="SimSun"/>
          <w:bCs/>
          <w:color w:val="000000"/>
          <w:lang w:eastAsia="zh-CN"/>
        </w:rPr>
        <w:tab/>
        <w:t>3.</w:t>
      </w:r>
      <w:r>
        <w:rPr>
          <w:rFonts w:eastAsia="SimSun"/>
          <w:bCs/>
          <w:color w:val="000000"/>
          <w:lang w:eastAsia="zh-CN"/>
        </w:rPr>
        <w:tab/>
      </w:r>
      <w:r>
        <w:rPr>
          <w:rFonts w:eastAsia="SimSun" w:hint="eastAsia"/>
          <w:bCs/>
          <w:color w:val="000000"/>
          <w:lang w:eastAsia="zh-CN"/>
        </w:rPr>
        <w:t>传统司法</w:t>
      </w:r>
      <w:r>
        <w:rPr>
          <w:rFonts w:eastAsia="SimSun"/>
          <w:bCs/>
          <w:color w:val="000000"/>
          <w:lang w:eastAsia="zh-CN"/>
        </w:rPr>
        <w:t xml:space="preserve"> </w:t>
      </w:r>
      <w:r>
        <w:rPr>
          <w:rFonts w:eastAsia="SimSun"/>
          <w:bCs/>
          <w:color w:val="000000"/>
          <w:lang w:eastAsia="zh-CN"/>
        </w:rPr>
        <w:tab/>
      </w:r>
      <w:r>
        <w:rPr>
          <w:rFonts w:eastAsia="SimSun"/>
          <w:bCs/>
          <w:color w:val="000000"/>
          <w:lang w:eastAsia="zh-CN"/>
        </w:rPr>
        <w:tab/>
      </w:r>
      <w:r>
        <w:rPr>
          <w:rFonts w:eastAsia="SimSun" w:hint="eastAsia"/>
          <w:bCs/>
          <w:color w:val="000000"/>
          <w:lang w:eastAsia="zh-CN"/>
        </w:rPr>
        <w:t>475-486</w:t>
      </w:r>
      <w:r>
        <w:rPr>
          <w:rFonts w:eastAsia="SimSun" w:hint="eastAsia"/>
          <w:bCs/>
          <w:color w:val="000000"/>
          <w:lang w:eastAsia="zh-CN"/>
        </w:rPr>
        <w:tab/>
        <w:t>114</w:t>
      </w:r>
    </w:p>
    <w:p w:rsidR="00692915" w:rsidRDefault="00692915" w:rsidP="009A1C1B">
      <w:pPr>
        <w:tabs>
          <w:tab w:val="left" w:pos="567"/>
          <w:tab w:val="left" w:pos="1134"/>
          <w:tab w:val="left" w:leader="dot" w:pos="7410"/>
          <w:tab w:val="center" w:pos="8060"/>
          <w:tab w:val="right" w:pos="9298"/>
        </w:tabs>
        <w:spacing w:line="312" w:lineRule="auto"/>
        <w:ind w:firstLine="31680"/>
        <w:rPr>
          <w:rFonts w:hint="eastAsia"/>
          <w:bCs/>
          <w:color w:val="000000"/>
        </w:rPr>
      </w:pPr>
      <w:r>
        <w:rPr>
          <w:bCs/>
          <w:color w:val="000000"/>
        </w:rPr>
        <w:tab/>
        <w:t>C.</w:t>
      </w:r>
      <w:r>
        <w:rPr>
          <w:bCs/>
          <w:color w:val="000000"/>
        </w:rPr>
        <w:tab/>
      </w:r>
      <w:r>
        <w:rPr>
          <w:rFonts w:hint="eastAsia"/>
          <w:bCs/>
          <w:color w:val="000000"/>
        </w:rPr>
        <w:t>参与公共生活</w:t>
      </w:r>
      <w:r>
        <w:rPr>
          <w:bCs/>
          <w:color w:val="000000"/>
        </w:rPr>
        <w:t xml:space="preserve"> </w:t>
      </w:r>
      <w:r>
        <w:rPr>
          <w:bCs/>
          <w:color w:val="000000"/>
        </w:rPr>
        <w:tab/>
      </w:r>
      <w:r>
        <w:rPr>
          <w:bCs/>
          <w:color w:val="000000"/>
        </w:rPr>
        <w:tab/>
      </w:r>
      <w:r>
        <w:rPr>
          <w:rFonts w:hint="eastAsia"/>
          <w:bCs/>
          <w:color w:val="000000"/>
        </w:rPr>
        <w:t>487-521</w:t>
      </w:r>
      <w:r>
        <w:rPr>
          <w:rFonts w:hint="eastAsia"/>
          <w:bCs/>
          <w:color w:val="000000"/>
        </w:rPr>
        <w:tab/>
        <w:t>116</w:t>
      </w:r>
    </w:p>
    <w:p w:rsidR="00692915" w:rsidRDefault="00692915" w:rsidP="009A1C1B">
      <w:pPr>
        <w:pStyle w:val="Header"/>
        <w:tabs>
          <w:tab w:val="clear" w:pos="992"/>
          <w:tab w:val="clear" w:pos="5772"/>
          <w:tab w:val="clear" w:pos="6634"/>
          <w:tab w:val="clear" w:pos="7144"/>
          <w:tab w:val="clear" w:pos="7655"/>
          <w:tab w:val="clear" w:pos="8165"/>
          <w:tab w:val="left" w:pos="1134"/>
          <w:tab w:val="left" w:pos="1690"/>
          <w:tab w:val="left" w:leader="dot" w:pos="7410"/>
          <w:tab w:val="center" w:pos="8060"/>
          <w:tab w:val="right" w:pos="9298"/>
        </w:tabs>
        <w:spacing w:line="312" w:lineRule="auto"/>
        <w:ind w:firstLine="31680"/>
        <w:rPr>
          <w:rFonts w:eastAsia="SimSun" w:hint="eastAsia"/>
          <w:bCs/>
          <w:color w:val="000000"/>
          <w:lang w:eastAsia="zh-CN"/>
        </w:rPr>
      </w:pPr>
      <w:r>
        <w:rPr>
          <w:rFonts w:eastAsia="SimSun"/>
          <w:bCs/>
          <w:color w:val="000000"/>
          <w:lang w:eastAsia="zh-CN"/>
        </w:rPr>
        <w:tab/>
        <w:t>1.</w:t>
      </w:r>
      <w:r>
        <w:rPr>
          <w:rFonts w:eastAsia="SimSun"/>
          <w:bCs/>
          <w:color w:val="000000"/>
          <w:lang w:eastAsia="zh-CN"/>
        </w:rPr>
        <w:tab/>
      </w:r>
      <w:r>
        <w:rPr>
          <w:rFonts w:eastAsia="SimSun" w:hint="eastAsia"/>
          <w:bCs/>
          <w:color w:val="000000"/>
          <w:lang w:eastAsia="zh-CN"/>
        </w:rPr>
        <w:t>国籍权</w:t>
      </w:r>
      <w:r>
        <w:rPr>
          <w:rFonts w:eastAsia="SimSun"/>
          <w:bCs/>
          <w:color w:val="000000"/>
          <w:lang w:eastAsia="zh-CN"/>
        </w:rPr>
        <w:t xml:space="preserve"> </w:t>
      </w:r>
      <w:r>
        <w:rPr>
          <w:rFonts w:eastAsia="SimSun"/>
          <w:bCs/>
          <w:color w:val="000000"/>
          <w:lang w:eastAsia="zh-CN"/>
        </w:rPr>
        <w:tab/>
      </w:r>
      <w:r>
        <w:rPr>
          <w:rFonts w:eastAsia="SimSun"/>
          <w:bCs/>
          <w:color w:val="000000"/>
          <w:lang w:eastAsia="zh-CN"/>
        </w:rPr>
        <w:tab/>
      </w:r>
      <w:r>
        <w:rPr>
          <w:rFonts w:eastAsia="SimSun" w:hint="eastAsia"/>
          <w:bCs/>
          <w:color w:val="000000"/>
          <w:lang w:eastAsia="zh-CN"/>
        </w:rPr>
        <w:t>487-495</w:t>
      </w:r>
      <w:r>
        <w:rPr>
          <w:rFonts w:eastAsia="SimSun" w:hint="eastAsia"/>
          <w:bCs/>
          <w:color w:val="000000"/>
          <w:lang w:eastAsia="zh-CN"/>
        </w:rPr>
        <w:tab/>
        <w:t>116</w:t>
      </w:r>
    </w:p>
    <w:p w:rsidR="00692915" w:rsidRDefault="00692915" w:rsidP="009A1C1B">
      <w:pPr>
        <w:pStyle w:val="Header"/>
        <w:tabs>
          <w:tab w:val="clear" w:pos="992"/>
          <w:tab w:val="clear" w:pos="5772"/>
          <w:tab w:val="clear" w:pos="6634"/>
          <w:tab w:val="clear" w:pos="7144"/>
          <w:tab w:val="clear" w:pos="7655"/>
          <w:tab w:val="clear" w:pos="8165"/>
          <w:tab w:val="left" w:pos="1134"/>
          <w:tab w:val="left" w:pos="1690"/>
          <w:tab w:val="left" w:leader="dot" w:pos="7410"/>
          <w:tab w:val="center" w:pos="8060"/>
          <w:tab w:val="right" w:pos="9298"/>
        </w:tabs>
        <w:spacing w:line="312" w:lineRule="auto"/>
        <w:ind w:firstLine="31680"/>
        <w:rPr>
          <w:rFonts w:eastAsia="SimSun" w:hint="eastAsia"/>
          <w:bCs/>
          <w:color w:val="000000"/>
          <w:lang w:eastAsia="zh-CN"/>
        </w:rPr>
      </w:pPr>
      <w:r>
        <w:rPr>
          <w:rFonts w:eastAsia="SimSun"/>
          <w:bCs/>
          <w:color w:val="000000"/>
          <w:lang w:eastAsia="zh-CN"/>
        </w:rPr>
        <w:tab/>
        <w:t>2.</w:t>
      </w:r>
      <w:r>
        <w:rPr>
          <w:rFonts w:eastAsia="SimSun"/>
          <w:bCs/>
          <w:color w:val="000000"/>
          <w:lang w:eastAsia="zh-CN"/>
        </w:rPr>
        <w:tab/>
      </w:r>
      <w:r>
        <w:rPr>
          <w:rFonts w:eastAsia="SimSun" w:hint="eastAsia"/>
          <w:bCs/>
          <w:color w:val="000000"/>
          <w:lang w:eastAsia="zh-CN"/>
        </w:rPr>
        <w:t>参政权与获取公共服务的权利</w:t>
      </w:r>
      <w:r>
        <w:rPr>
          <w:rFonts w:eastAsia="SimSun"/>
          <w:bCs/>
          <w:color w:val="000000"/>
          <w:lang w:eastAsia="zh-CN"/>
        </w:rPr>
        <w:tab/>
      </w:r>
      <w:r>
        <w:rPr>
          <w:rFonts w:eastAsia="SimSun"/>
          <w:bCs/>
          <w:color w:val="000000"/>
          <w:lang w:eastAsia="zh-CN"/>
        </w:rPr>
        <w:tab/>
      </w:r>
      <w:r>
        <w:rPr>
          <w:rFonts w:eastAsia="SimSun" w:hint="eastAsia"/>
          <w:bCs/>
          <w:color w:val="000000"/>
          <w:lang w:eastAsia="zh-CN"/>
        </w:rPr>
        <w:t>496-521</w:t>
      </w:r>
      <w:r>
        <w:rPr>
          <w:rFonts w:eastAsia="SimSun" w:hint="eastAsia"/>
          <w:bCs/>
          <w:color w:val="000000"/>
          <w:lang w:eastAsia="zh-CN"/>
        </w:rPr>
        <w:tab/>
        <w:t>118</w:t>
      </w:r>
    </w:p>
    <w:p w:rsidR="00692915" w:rsidRDefault="00692915" w:rsidP="009A1C1B">
      <w:pPr>
        <w:tabs>
          <w:tab w:val="left" w:pos="567"/>
          <w:tab w:val="left" w:pos="1134"/>
          <w:tab w:val="left" w:leader="dot" w:pos="7410"/>
          <w:tab w:val="center" w:pos="8060"/>
          <w:tab w:val="right" w:pos="9298"/>
        </w:tabs>
        <w:spacing w:line="312" w:lineRule="auto"/>
        <w:ind w:firstLine="31680"/>
        <w:rPr>
          <w:rFonts w:hint="eastAsia"/>
          <w:bCs/>
          <w:color w:val="000000"/>
        </w:rPr>
      </w:pPr>
      <w:r>
        <w:rPr>
          <w:bCs/>
          <w:color w:val="000000"/>
        </w:rPr>
        <w:tab/>
        <w:t>D.</w:t>
      </w:r>
      <w:r>
        <w:rPr>
          <w:bCs/>
          <w:color w:val="000000"/>
        </w:rPr>
        <w:tab/>
      </w:r>
      <w:r>
        <w:rPr>
          <w:rFonts w:hint="eastAsia"/>
          <w:bCs/>
          <w:color w:val="000000"/>
        </w:rPr>
        <w:t>社会经济事务</w:t>
      </w:r>
      <w:r>
        <w:rPr>
          <w:bCs/>
          <w:color w:val="000000"/>
        </w:rPr>
        <w:t xml:space="preserve"> </w:t>
      </w:r>
      <w:r>
        <w:rPr>
          <w:bCs/>
          <w:color w:val="000000"/>
        </w:rPr>
        <w:tab/>
      </w:r>
      <w:r>
        <w:rPr>
          <w:rFonts w:hint="eastAsia"/>
          <w:bCs/>
          <w:color w:val="000000"/>
        </w:rPr>
        <w:tab/>
        <w:t>522-652</w:t>
      </w:r>
      <w:r>
        <w:rPr>
          <w:rFonts w:hint="eastAsia"/>
          <w:bCs/>
          <w:color w:val="000000"/>
        </w:rPr>
        <w:tab/>
        <w:t>125</w:t>
      </w:r>
    </w:p>
    <w:p w:rsidR="00692915" w:rsidRDefault="00692915" w:rsidP="009A1C1B">
      <w:pPr>
        <w:pStyle w:val="Header"/>
        <w:tabs>
          <w:tab w:val="clear" w:pos="992"/>
          <w:tab w:val="clear" w:pos="5772"/>
          <w:tab w:val="clear" w:pos="6634"/>
          <w:tab w:val="clear" w:pos="7144"/>
          <w:tab w:val="clear" w:pos="7655"/>
          <w:tab w:val="clear" w:pos="8165"/>
          <w:tab w:val="left" w:pos="1134"/>
          <w:tab w:val="left" w:pos="1690"/>
          <w:tab w:val="left" w:leader="dot" w:pos="7410"/>
          <w:tab w:val="center" w:pos="8060"/>
          <w:tab w:val="right" w:pos="9298"/>
        </w:tabs>
        <w:spacing w:line="312" w:lineRule="auto"/>
        <w:ind w:firstLine="31680"/>
        <w:rPr>
          <w:rFonts w:eastAsia="SimSun" w:hint="eastAsia"/>
          <w:bCs/>
          <w:color w:val="000000"/>
          <w:lang w:eastAsia="zh-CN"/>
        </w:rPr>
      </w:pPr>
      <w:r>
        <w:rPr>
          <w:rFonts w:eastAsia="SimSun"/>
          <w:bCs/>
          <w:color w:val="000000"/>
          <w:lang w:eastAsia="zh-CN"/>
        </w:rPr>
        <w:tab/>
        <w:t>1.</w:t>
      </w:r>
      <w:r>
        <w:rPr>
          <w:rFonts w:eastAsia="SimSun"/>
          <w:bCs/>
          <w:color w:val="000000"/>
          <w:lang w:eastAsia="zh-CN"/>
        </w:rPr>
        <w:tab/>
      </w:r>
      <w:r>
        <w:rPr>
          <w:rFonts w:eastAsia="SimSun" w:hint="eastAsia"/>
          <w:bCs/>
          <w:color w:val="000000"/>
          <w:lang w:eastAsia="zh-CN"/>
        </w:rPr>
        <w:t>适当的生活水平</w:t>
      </w:r>
      <w:r>
        <w:rPr>
          <w:rFonts w:eastAsia="SimSun"/>
          <w:bCs/>
          <w:color w:val="000000"/>
          <w:lang w:eastAsia="zh-CN"/>
        </w:rPr>
        <w:t xml:space="preserve"> </w:t>
      </w:r>
      <w:r>
        <w:rPr>
          <w:rFonts w:eastAsia="SimSun"/>
          <w:bCs/>
          <w:color w:val="000000"/>
          <w:lang w:eastAsia="zh-CN"/>
        </w:rPr>
        <w:tab/>
      </w:r>
      <w:r>
        <w:rPr>
          <w:rFonts w:eastAsia="SimSun"/>
          <w:bCs/>
          <w:color w:val="000000"/>
          <w:lang w:eastAsia="zh-CN"/>
        </w:rPr>
        <w:tab/>
      </w:r>
      <w:r>
        <w:rPr>
          <w:rFonts w:eastAsia="SimSun" w:hint="eastAsia"/>
          <w:bCs/>
          <w:color w:val="000000"/>
          <w:lang w:eastAsia="zh-CN"/>
        </w:rPr>
        <w:t>522-533</w:t>
      </w:r>
      <w:r>
        <w:rPr>
          <w:rFonts w:eastAsia="SimSun" w:hint="eastAsia"/>
          <w:bCs/>
          <w:color w:val="000000"/>
          <w:lang w:eastAsia="zh-CN"/>
        </w:rPr>
        <w:tab/>
        <w:t>125</w:t>
      </w:r>
    </w:p>
    <w:p w:rsidR="00692915" w:rsidRDefault="00692915" w:rsidP="009A1C1B">
      <w:pPr>
        <w:pStyle w:val="Header"/>
        <w:tabs>
          <w:tab w:val="clear" w:pos="992"/>
          <w:tab w:val="clear" w:pos="5772"/>
          <w:tab w:val="clear" w:pos="6634"/>
          <w:tab w:val="clear" w:pos="7144"/>
          <w:tab w:val="clear" w:pos="7655"/>
          <w:tab w:val="clear" w:pos="8165"/>
          <w:tab w:val="left" w:pos="1134"/>
          <w:tab w:val="left" w:pos="1690"/>
          <w:tab w:val="left" w:leader="dot" w:pos="7410"/>
          <w:tab w:val="center" w:pos="8060"/>
          <w:tab w:val="right" w:pos="9298"/>
        </w:tabs>
        <w:spacing w:line="312" w:lineRule="auto"/>
        <w:ind w:firstLine="31680"/>
        <w:rPr>
          <w:rFonts w:eastAsia="SimSun" w:hint="eastAsia"/>
          <w:bCs/>
          <w:color w:val="000000"/>
          <w:lang w:eastAsia="zh-CN"/>
        </w:rPr>
      </w:pPr>
      <w:r>
        <w:rPr>
          <w:rFonts w:eastAsia="SimSun"/>
          <w:bCs/>
          <w:color w:val="000000"/>
          <w:lang w:eastAsia="zh-CN"/>
        </w:rPr>
        <w:tab/>
        <w:t>2.</w:t>
      </w:r>
      <w:r>
        <w:rPr>
          <w:rFonts w:eastAsia="SimSun"/>
          <w:bCs/>
          <w:color w:val="000000"/>
          <w:lang w:eastAsia="zh-CN"/>
        </w:rPr>
        <w:tab/>
      </w:r>
      <w:r>
        <w:rPr>
          <w:rFonts w:eastAsia="SimSun" w:hint="eastAsia"/>
          <w:bCs/>
          <w:color w:val="000000"/>
          <w:lang w:eastAsia="zh-CN"/>
        </w:rPr>
        <w:t>住房</w:t>
      </w:r>
      <w:r>
        <w:rPr>
          <w:rFonts w:eastAsia="SimSun"/>
          <w:bCs/>
          <w:color w:val="000000"/>
          <w:lang w:eastAsia="zh-CN"/>
        </w:rPr>
        <w:tab/>
      </w:r>
      <w:r>
        <w:rPr>
          <w:rFonts w:eastAsia="SimSun" w:hint="eastAsia"/>
          <w:bCs/>
          <w:color w:val="000000"/>
          <w:lang w:eastAsia="zh-CN"/>
        </w:rPr>
        <w:tab/>
        <w:t>534-543</w:t>
      </w:r>
      <w:r>
        <w:rPr>
          <w:rFonts w:eastAsia="SimSun" w:hint="eastAsia"/>
          <w:bCs/>
          <w:color w:val="000000"/>
          <w:lang w:eastAsia="zh-CN"/>
        </w:rPr>
        <w:tab/>
        <w:t>127</w:t>
      </w:r>
    </w:p>
    <w:p w:rsidR="00692915" w:rsidRDefault="00692915" w:rsidP="009A1C1B">
      <w:pPr>
        <w:pStyle w:val="Header"/>
        <w:tabs>
          <w:tab w:val="clear" w:pos="992"/>
          <w:tab w:val="clear" w:pos="5772"/>
          <w:tab w:val="clear" w:pos="6634"/>
          <w:tab w:val="clear" w:pos="7144"/>
          <w:tab w:val="clear" w:pos="7655"/>
          <w:tab w:val="clear" w:pos="8165"/>
          <w:tab w:val="left" w:pos="1134"/>
          <w:tab w:val="left" w:pos="1690"/>
          <w:tab w:val="left" w:leader="dot" w:pos="7410"/>
          <w:tab w:val="center" w:pos="8060"/>
          <w:tab w:val="right" w:pos="9298"/>
        </w:tabs>
        <w:spacing w:line="312" w:lineRule="auto"/>
        <w:ind w:firstLine="31680"/>
        <w:rPr>
          <w:rFonts w:eastAsia="SimSun" w:hint="eastAsia"/>
          <w:bCs/>
          <w:color w:val="000000"/>
          <w:lang w:eastAsia="zh-CN"/>
        </w:rPr>
      </w:pPr>
      <w:r>
        <w:rPr>
          <w:rFonts w:eastAsia="SimSun"/>
          <w:bCs/>
          <w:color w:val="000000"/>
          <w:lang w:eastAsia="zh-CN"/>
        </w:rPr>
        <w:tab/>
        <w:t>3.</w:t>
      </w:r>
      <w:r>
        <w:rPr>
          <w:rFonts w:eastAsia="SimSun"/>
          <w:bCs/>
          <w:color w:val="000000"/>
          <w:lang w:eastAsia="zh-CN"/>
        </w:rPr>
        <w:tab/>
      </w:r>
      <w:r>
        <w:rPr>
          <w:rFonts w:eastAsia="SimSun" w:hint="eastAsia"/>
          <w:bCs/>
          <w:color w:val="000000"/>
          <w:lang w:eastAsia="zh-CN"/>
        </w:rPr>
        <w:t>卫生状况</w:t>
      </w:r>
      <w:r>
        <w:rPr>
          <w:rFonts w:eastAsia="SimSun"/>
          <w:bCs/>
          <w:color w:val="000000"/>
          <w:lang w:eastAsia="zh-CN"/>
        </w:rPr>
        <w:tab/>
      </w:r>
      <w:r>
        <w:rPr>
          <w:rFonts w:eastAsia="SimSun"/>
          <w:bCs/>
          <w:color w:val="000000"/>
          <w:lang w:eastAsia="zh-CN"/>
        </w:rPr>
        <w:tab/>
      </w:r>
      <w:r>
        <w:rPr>
          <w:rFonts w:eastAsia="SimSun" w:hint="eastAsia"/>
          <w:bCs/>
          <w:color w:val="000000"/>
          <w:lang w:eastAsia="zh-CN"/>
        </w:rPr>
        <w:t>544-556</w:t>
      </w:r>
      <w:r>
        <w:rPr>
          <w:rFonts w:eastAsia="SimSun" w:hint="eastAsia"/>
          <w:bCs/>
          <w:color w:val="000000"/>
          <w:lang w:eastAsia="zh-CN"/>
        </w:rPr>
        <w:tab/>
        <w:t>129</w:t>
      </w:r>
    </w:p>
    <w:p w:rsidR="00692915" w:rsidRDefault="00692915" w:rsidP="009A1C1B">
      <w:pPr>
        <w:pStyle w:val="Header"/>
        <w:tabs>
          <w:tab w:val="clear" w:pos="992"/>
          <w:tab w:val="clear" w:pos="5772"/>
          <w:tab w:val="clear" w:pos="6634"/>
          <w:tab w:val="clear" w:pos="7144"/>
          <w:tab w:val="clear" w:pos="7655"/>
          <w:tab w:val="clear" w:pos="8165"/>
          <w:tab w:val="left" w:pos="1134"/>
          <w:tab w:val="left" w:pos="1690"/>
          <w:tab w:val="left" w:leader="dot" w:pos="7410"/>
          <w:tab w:val="center" w:pos="8060"/>
          <w:tab w:val="right" w:pos="9298"/>
        </w:tabs>
        <w:spacing w:line="312" w:lineRule="auto"/>
        <w:ind w:firstLine="31680"/>
        <w:rPr>
          <w:rFonts w:eastAsia="SimSun" w:hint="eastAsia"/>
          <w:bCs/>
          <w:color w:val="000000"/>
          <w:lang w:eastAsia="zh-CN"/>
        </w:rPr>
      </w:pPr>
      <w:r>
        <w:rPr>
          <w:rFonts w:eastAsia="SimSun"/>
          <w:bCs/>
          <w:color w:val="000000"/>
          <w:lang w:eastAsia="zh-CN"/>
        </w:rPr>
        <w:tab/>
        <w:t>4.</w:t>
      </w:r>
      <w:r>
        <w:rPr>
          <w:rFonts w:eastAsia="SimSun"/>
          <w:bCs/>
          <w:color w:val="000000"/>
          <w:lang w:eastAsia="zh-CN"/>
        </w:rPr>
        <w:tab/>
      </w:r>
      <w:r>
        <w:rPr>
          <w:rFonts w:eastAsia="SimSun" w:hint="eastAsia"/>
          <w:bCs/>
          <w:color w:val="000000"/>
          <w:lang w:eastAsia="zh-CN"/>
        </w:rPr>
        <w:t>生殖健康</w:t>
      </w:r>
      <w:r>
        <w:rPr>
          <w:rFonts w:eastAsia="SimSun"/>
          <w:bCs/>
          <w:color w:val="000000"/>
          <w:lang w:eastAsia="zh-CN"/>
        </w:rPr>
        <w:t xml:space="preserve"> </w:t>
      </w:r>
      <w:r>
        <w:rPr>
          <w:rFonts w:eastAsia="SimSun"/>
          <w:bCs/>
          <w:color w:val="000000"/>
          <w:lang w:eastAsia="zh-CN"/>
        </w:rPr>
        <w:tab/>
      </w:r>
      <w:r>
        <w:rPr>
          <w:rFonts w:eastAsia="SimSun"/>
          <w:bCs/>
          <w:color w:val="000000"/>
          <w:lang w:eastAsia="zh-CN"/>
        </w:rPr>
        <w:tab/>
      </w:r>
      <w:r>
        <w:rPr>
          <w:rFonts w:eastAsia="SimSun" w:hint="eastAsia"/>
          <w:bCs/>
          <w:color w:val="000000"/>
          <w:lang w:eastAsia="zh-CN"/>
        </w:rPr>
        <w:t>557-564</w:t>
      </w:r>
      <w:r>
        <w:rPr>
          <w:rFonts w:eastAsia="SimSun" w:hint="eastAsia"/>
          <w:bCs/>
          <w:color w:val="000000"/>
          <w:lang w:eastAsia="zh-CN"/>
        </w:rPr>
        <w:tab/>
        <w:t>132</w:t>
      </w:r>
    </w:p>
    <w:p w:rsidR="00692915" w:rsidRDefault="00692915" w:rsidP="009A1C1B">
      <w:pPr>
        <w:pStyle w:val="Header"/>
        <w:tabs>
          <w:tab w:val="clear" w:pos="992"/>
          <w:tab w:val="clear" w:pos="5772"/>
          <w:tab w:val="clear" w:pos="6634"/>
          <w:tab w:val="clear" w:pos="7144"/>
          <w:tab w:val="clear" w:pos="7655"/>
          <w:tab w:val="clear" w:pos="8165"/>
          <w:tab w:val="left" w:pos="1134"/>
          <w:tab w:val="left" w:pos="1690"/>
          <w:tab w:val="left" w:leader="dot" w:pos="7410"/>
          <w:tab w:val="center" w:pos="8060"/>
          <w:tab w:val="right" w:pos="9298"/>
        </w:tabs>
        <w:spacing w:line="312" w:lineRule="auto"/>
        <w:ind w:firstLine="31680"/>
        <w:rPr>
          <w:rFonts w:eastAsia="SimSun" w:hint="eastAsia"/>
          <w:bCs/>
          <w:color w:val="000000"/>
          <w:lang w:eastAsia="zh-CN"/>
        </w:rPr>
      </w:pPr>
      <w:r>
        <w:rPr>
          <w:rFonts w:eastAsia="SimSun"/>
          <w:bCs/>
          <w:color w:val="000000"/>
          <w:lang w:eastAsia="zh-CN"/>
        </w:rPr>
        <w:tab/>
        <w:t>5.</w:t>
      </w:r>
      <w:r>
        <w:rPr>
          <w:rFonts w:eastAsia="SimSun"/>
          <w:bCs/>
          <w:color w:val="000000"/>
          <w:lang w:eastAsia="zh-CN"/>
        </w:rPr>
        <w:tab/>
      </w:r>
      <w:r>
        <w:rPr>
          <w:rFonts w:eastAsia="SimSun" w:hint="eastAsia"/>
          <w:bCs/>
          <w:color w:val="000000"/>
          <w:lang w:eastAsia="zh-CN"/>
        </w:rPr>
        <w:t>艾滋病毒</w:t>
      </w:r>
      <w:r>
        <w:rPr>
          <w:rFonts w:eastAsia="SimSun" w:hint="eastAsia"/>
          <w:bCs/>
          <w:color w:val="000000"/>
          <w:lang w:eastAsia="zh-CN"/>
        </w:rPr>
        <w:t>/</w:t>
      </w:r>
      <w:r>
        <w:rPr>
          <w:rFonts w:eastAsia="SimSun" w:hint="eastAsia"/>
          <w:bCs/>
          <w:color w:val="000000"/>
          <w:lang w:eastAsia="zh-CN"/>
        </w:rPr>
        <w:t>艾滋病</w:t>
      </w:r>
      <w:r>
        <w:rPr>
          <w:rFonts w:eastAsia="SimSun"/>
          <w:bCs/>
          <w:color w:val="000000"/>
          <w:lang w:eastAsia="zh-CN"/>
        </w:rPr>
        <w:t xml:space="preserve"> </w:t>
      </w:r>
      <w:r>
        <w:rPr>
          <w:rFonts w:eastAsia="SimSun"/>
          <w:bCs/>
          <w:color w:val="000000"/>
          <w:lang w:eastAsia="zh-CN"/>
        </w:rPr>
        <w:tab/>
      </w:r>
      <w:r>
        <w:rPr>
          <w:rFonts w:eastAsia="SimSun"/>
          <w:bCs/>
          <w:color w:val="000000"/>
          <w:lang w:eastAsia="zh-CN"/>
        </w:rPr>
        <w:tab/>
      </w:r>
      <w:r>
        <w:rPr>
          <w:rFonts w:eastAsia="SimSun" w:hint="eastAsia"/>
          <w:bCs/>
          <w:color w:val="000000"/>
          <w:lang w:eastAsia="zh-CN"/>
        </w:rPr>
        <w:t>565-574</w:t>
      </w:r>
      <w:r>
        <w:rPr>
          <w:rFonts w:eastAsia="SimSun" w:hint="eastAsia"/>
          <w:bCs/>
          <w:color w:val="000000"/>
          <w:lang w:eastAsia="zh-CN"/>
        </w:rPr>
        <w:tab/>
        <w:t>134</w:t>
      </w:r>
    </w:p>
    <w:p w:rsidR="00692915" w:rsidRDefault="00692915" w:rsidP="009A1C1B">
      <w:pPr>
        <w:pStyle w:val="Header"/>
        <w:tabs>
          <w:tab w:val="clear" w:pos="992"/>
          <w:tab w:val="clear" w:pos="5772"/>
          <w:tab w:val="clear" w:pos="6634"/>
          <w:tab w:val="clear" w:pos="7144"/>
          <w:tab w:val="clear" w:pos="7655"/>
          <w:tab w:val="clear" w:pos="8165"/>
          <w:tab w:val="left" w:pos="1134"/>
          <w:tab w:val="left" w:pos="1690"/>
          <w:tab w:val="left" w:leader="dot" w:pos="7410"/>
          <w:tab w:val="center" w:pos="8060"/>
          <w:tab w:val="right" w:pos="9298"/>
        </w:tabs>
        <w:spacing w:line="312" w:lineRule="auto"/>
        <w:ind w:firstLine="31680"/>
        <w:rPr>
          <w:rFonts w:eastAsia="SimSun" w:hint="eastAsia"/>
          <w:bCs/>
          <w:color w:val="000000"/>
          <w:lang w:eastAsia="zh-CN"/>
        </w:rPr>
      </w:pPr>
      <w:r>
        <w:rPr>
          <w:rFonts w:eastAsia="SimSun"/>
          <w:bCs/>
          <w:color w:val="000000"/>
          <w:lang w:eastAsia="zh-CN"/>
        </w:rPr>
        <w:tab/>
        <w:t>6.</w:t>
      </w:r>
      <w:r>
        <w:rPr>
          <w:rFonts w:eastAsia="SimSun"/>
          <w:bCs/>
          <w:color w:val="000000"/>
          <w:lang w:eastAsia="zh-CN"/>
        </w:rPr>
        <w:tab/>
      </w:r>
      <w:r>
        <w:rPr>
          <w:rFonts w:eastAsia="SimSun" w:hint="eastAsia"/>
          <w:bCs/>
          <w:color w:val="000000"/>
          <w:lang w:eastAsia="zh-CN"/>
        </w:rPr>
        <w:t>卫生政策</w:t>
      </w:r>
      <w:r>
        <w:rPr>
          <w:rFonts w:eastAsia="SimSun"/>
          <w:bCs/>
          <w:color w:val="000000"/>
          <w:lang w:eastAsia="zh-CN"/>
        </w:rPr>
        <w:t xml:space="preserve"> </w:t>
      </w:r>
      <w:r>
        <w:rPr>
          <w:rFonts w:eastAsia="SimSun"/>
          <w:bCs/>
          <w:color w:val="000000"/>
          <w:lang w:eastAsia="zh-CN"/>
        </w:rPr>
        <w:tab/>
      </w:r>
      <w:r>
        <w:rPr>
          <w:rFonts w:eastAsia="SimSun"/>
          <w:bCs/>
          <w:color w:val="000000"/>
          <w:lang w:eastAsia="zh-CN"/>
        </w:rPr>
        <w:tab/>
      </w:r>
      <w:r>
        <w:rPr>
          <w:rFonts w:eastAsia="SimSun" w:hint="eastAsia"/>
          <w:bCs/>
          <w:color w:val="000000"/>
          <w:lang w:eastAsia="zh-CN"/>
        </w:rPr>
        <w:t>575-593</w:t>
      </w:r>
      <w:r>
        <w:rPr>
          <w:rFonts w:eastAsia="SimSun" w:hint="eastAsia"/>
          <w:bCs/>
          <w:color w:val="000000"/>
          <w:lang w:eastAsia="zh-CN"/>
        </w:rPr>
        <w:tab/>
        <w:t>137</w:t>
      </w:r>
    </w:p>
    <w:p w:rsidR="00692915" w:rsidRDefault="00692915" w:rsidP="009A1C1B">
      <w:pPr>
        <w:pStyle w:val="Header"/>
        <w:tabs>
          <w:tab w:val="clear" w:pos="992"/>
          <w:tab w:val="clear" w:pos="5772"/>
          <w:tab w:val="clear" w:pos="6634"/>
          <w:tab w:val="clear" w:pos="7144"/>
          <w:tab w:val="clear" w:pos="7655"/>
          <w:tab w:val="clear" w:pos="8165"/>
          <w:tab w:val="left" w:pos="1134"/>
          <w:tab w:val="left" w:pos="1690"/>
          <w:tab w:val="left" w:leader="dot" w:pos="7410"/>
          <w:tab w:val="center" w:pos="8060"/>
          <w:tab w:val="right" w:pos="9298"/>
        </w:tabs>
        <w:spacing w:line="312" w:lineRule="auto"/>
        <w:ind w:firstLine="31680"/>
        <w:rPr>
          <w:rFonts w:eastAsia="SimSun" w:hint="eastAsia"/>
          <w:bCs/>
          <w:color w:val="000000"/>
          <w:lang w:eastAsia="zh-CN"/>
        </w:rPr>
      </w:pPr>
      <w:r>
        <w:rPr>
          <w:rFonts w:eastAsia="SimSun"/>
          <w:bCs/>
          <w:color w:val="000000"/>
          <w:lang w:eastAsia="zh-CN"/>
        </w:rPr>
        <w:tab/>
        <w:t>7.</w:t>
      </w:r>
      <w:r>
        <w:rPr>
          <w:rFonts w:eastAsia="SimSun"/>
          <w:bCs/>
          <w:color w:val="000000"/>
          <w:lang w:eastAsia="zh-CN"/>
        </w:rPr>
        <w:tab/>
      </w:r>
      <w:r>
        <w:rPr>
          <w:rFonts w:eastAsia="SimSun" w:hint="eastAsia"/>
          <w:bCs/>
          <w:color w:val="000000"/>
          <w:lang w:eastAsia="zh-CN"/>
        </w:rPr>
        <w:t>就业</w:t>
      </w:r>
      <w:r>
        <w:rPr>
          <w:rFonts w:eastAsia="SimSun"/>
          <w:bCs/>
          <w:color w:val="000000"/>
          <w:lang w:eastAsia="zh-CN"/>
        </w:rPr>
        <w:t xml:space="preserve"> </w:t>
      </w:r>
      <w:r>
        <w:rPr>
          <w:rFonts w:eastAsia="SimSun"/>
          <w:bCs/>
          <w:color w:val="000000"/>
          <w:lang w:eastAsia="zh-CN"/>
        </w:rPr>
        <w:tab/>
      </w:r>
      <w:r>
        <w:rPr>
          <w:rFonts w:eastAsia="SimSun"/>
          <w:bCs/>
          <w:color w:val="000000"/>
          <w:lang w:eastAsia="zh-CN"/>
        </w:rPr>
        <w:tab/>
      </w:r>
      <w:r>
        <w:rPr>
          <w:rFonts w:eastAsia="SimSun" w:hint="eastAsia"/>
          <w:bCs/>
          <w:color w:val="000000"/>
          <w:lang w:eastAsia="zh-CN"/>
        </w:rPr>
        <w:t>594-609</w:t>
      </w:r>
      <w:r>
        <w:rPr>
          <w:rFonts w:eastAsia="SimSun" w:hint="eastAsia"/>
          <w:bCs/>
          <w:color w:val="000000"/>
          <w:lang w:eastAsia="zh-CN"/>
        </w:rPr>
        <w:tab/>
        <w:t>141</w:t>
      </w:r>
    </w:p>
    <w:p w:rsidR="00692915" w:rsidRDefault="00692915" w:rsidP="009A1C1B">
      <w:pPr>
        <w:pStyle w:val="Header"/>
        <w:tabs>
          <w:tab w:val="clear" w:pos="992"/>
          <w:tab w:val="clear" w:pos="5772"/>
          <w:tab w:val="clear" w:pos="6634"/>
          <w:tab w:val="clear" w:pos="7144"/>
          <w:tab w:val="clear" w:pos="7655"/>
          <w:tab w:val="clear" w:pos="8165"/>
          <w:tab w:val="left" w:pos="1134"/>
          <w:tab w:val="left" w:pos="1690"/>
          <w:tab w:val="left" w:leader="dot" w:pos="7410"/>
          <w:tab w:val="center" w:pos="8060"/>
          <w:tab w:val="right" w:pos="9298"/>
        </w:tabs>
        <w:spacing w:line="312" w:lineRule="auto"/>
        <w:ind w:firstLine="31680"/>
        <w:rPr>
          <w:rFonts w:eastAsia="SimSun" w:hint="eastAsia"/>
          <w:bCs/>
          <w:color w:val="000000"/>
          <w:lang w:eastAsia="zh-CN"/>
        </w:rPr>
      </w:pPr>
      <w:r>
        <w:rPr>
          <w:rFonts w:eastAsia="SimSun"/>
          <w:bCs/>
          <w:color w:val="000000"/>
          <w:lang w:eastAsia="zh-CN"/>
        </w:rPr>
        <w:tab/>
        <w:t>8.</w:t>
      </w:r>
      <w:r>
        <w:rPr>
          <w:rFonts w:eastAsia="SimSun"/>
          <w:bCs/>
          <w:color w:val="000000"/>
          <w:lang w:eastAsia="zh-CN"/>
        </w:rPr>
        <w:tab/>
      </w:r>
      <w:r>
        <w:rPr>
          <w:rFonts w:eastAsia="SimSun" w:hint="eastAsia"/>
          <w:bCs/>
          <w:color w:val="000000"/>
          <w:lang w:eastAsia="zh-CN"/>
        </w:rPr>
        <w:t>就业机会平等</w:t>
      </w:r>
      <w:r>
        <w:rPr>
          <w:rFonts w:eastAsia="SimSun"/>
          <w:bCs/>
          <w:color w:val="000000"/>
          <w:lang w:eastAsia="zh-CN"/>
        </w:rPr>
        <w:t xml:space="preserve"> </w:t>
      </w:r>
      <w:r>
        <w:rPr>
          <w:rFonts w:eastAsia="SimSun"/>
          <w:bCs/>
          <w:color w:val="000000"/>
          <w:lang w:eastAsia="zh-CN"/>
        </w:rPr>
        <w:tab/>
      </w:r>
      <w:r>
        <w:rPr>
          <w:rFonts w:eastAsia="SimSun"/>
          <w:bCs/>
          <w:color w:val="000000"/>
          <w:lang w:eastAsia="zh-CN"/>
        </w:rPr>
        <w:tab/>
      </w:r>
      <w:r>
        <w:rPr>
          <w:rFonts w:eastAsia="SimSun" w:hint="eastAsia"/>
          <w:bCs/>
          <w:color w:val="000000"/>
          <w:lang w:eastAsia="zh-CN"/>
        </w:rPr>
        <w:t>610-615</w:t>
      </w:r>
      <w:r>
        <w:rPr>
          <w:rFonts w:eastAsia="SimSun" w:hint="eastAsia"/>
          <w:bCs/>
          <w:color w:val="000000"/>
          <w:lang w:eastAsia="zh-CN"/>
        </w:rPr>
        <w:tab/>
        <w:t>144</w:t>
      </w:r>
    </w:p>
    <w:p w:rsidR="00692915" w:rsidRDefault="00692915" w:rsidP="009A1C1B">
      <w:pPr>
        <w:pStyle w:val="Header"/>
        <w:tabs>
          <w:tab w:val="clear" w:pos="992"/>
          <w:tab w:val="clear" w:pos="5772"/>
          <w:tab w:val="clear" w:pos="6634"/>
          <w:tab w:val="clear" w:pos="7144"/>
          <w:tab w:val="clear" w:pos="7655"/>
          <w:tab w:val="clear" w:pos="8165"/>
          <w:tab w:val="left" w:pos="1134"/>
          <w:tab w:val="left" w:pos="1690"/>
          <w:tab w:val="left" w:leader="dot" w:pos="7410"/>
          <w:tab w:val="center" w:pos="8060"/>
          <w:tab w:val="right" w:pos="9298"/>
        </w:tabs>
        <w:spacing w:line="312" w:lineRule="auto"/>
        <w:ind w:firstLine="31680"/>
        <w:rPr>
          <w:rFonts w:eastAsia="SimSun" w:hint="eastAsia"/>
          <w:bCs/>
          <w:color w:val="000000"/>
          <w:lang w:eastAsia="zh-CN"/>
        </w:rPr>
      </w:pPr>
      <w:r>
        <w:rPr>
          <w:rFonts w:eastAsia="SimSun"/>
          <w:bCs/>
          <w:color w:val="000000"/>
          <w:lang w:eastAsia="zh-CN"/>
        </w:rPr>
        <w:tab/>
        <w:t>9.</w:t>
      </w:r>
      <w:r>
        <w:rPr>
          <w:rFonts w:eastAsia="SimSun"/>
          <w:bCs/>
          <w:color w:val="000000"/>
          <w:lang w:eastAsia="zh-CN"/>
        </w:rPr>
        <w:tab/>
      </w:r>
      <w:r>
        <w:rPr>
          <w:rFonts w:eastAsia="SimSun" w:hint="eastAsia"/>
          <w:bCs/>
          <w:color w:val="000000"/>
          <w:lang w:eastAsia="zh-CN"/>
        </w:rPr>
        <w:t>就业领域的挑战</w:t>
      </w:r>
      <w:r>
        <w:rPr>
          <w:rFonts w:eastAsia="SimSun"/>
          <w:bCs/>
          <w:color w:val="000000"/>
          <w:lang w:eastAsia="zh-CN"/>
        </w:rPr>
        <w:t xml:space="preserve"> </w:t>
      </w:r>
      <w:r>
        <w:rPr>
          <w:rFonts w:eastAsia="SimSun"/>
          <w:bCs/>
          <w:color w:val="000000"/>
          <w:lang w:eastAsia="zh-CN"/>
        </w:rPr>
        <w:tab/>
      </w:r>
      <w:r>
        <w:rPr>
          <w:rFonts w:eastAsia="SimSun"/>
          <w:bCs/>
          <w:color w:val="000000"/>
          <w:lang w:eastAsia="zh-CN"/>
        </w:rPr>
        <w:tab/>
      </w:r>
      <w:r>
        <w:rPr>
          <w:rFonts w:eastAsia="SimSun" w:hint="eastAsia"/>
          <w:bCs/>
          <w:color w:val="000000"/>
          <w:lang w:eastAsia="zh-CN"/>
        </w:rPr>
        <w:t>616-622</w:t>
      </w:r>
      <w:r>
        <w:rPr>
          <w:rFonts w:eastAsia="SimSun" w:hint="eastAsia"/>
          <w:bCs/>
          <w:color w:val="000000"/>
          <w:lang w:eastAsia="zh-CN"/>
        </w:rPr>
        <w:tab/>
        <w:t>145</w:t>
      </w:r>
    </w:p>
    <w:p w:rsidR="00692915" w:rsidRDefault="00692915" w:rsidP="009A1C1B">
      <w:pPr>
        <w:pStyle w:val="Header"/>
        <w:tabs>
          <w:tab w:val="clear" w:pos="992"/>
          <w:tab w:val="clear" w:pos="5772"/>
          <w:tab w:val="clear" w:pos="6634"/>
          <w:tab w:val="clear" w:pos="7144"/>
          <w:tab w:val="clear" w:pos="7655"/>
          <w:tab w:val="clear" w:pos="8165"/>
          <w:tab w:val="left" w:pos="1134"/>
          <w:tab w:val="left" w:pos="1690"/>
          <w:tab w:val="left" w:leader="dot" w:pos="7410"/>
          <w:tab w:val="center" w:pos="8060"/>
          <w:tab w:val="right" w:pos="9298"/>
        </w:tabs>
        <w:spacing w:line="312" w:lineRule="auto"/>
        <w:ind w:firstLine="31680"/>
        <w:rPr>
          <w:rFonts w:eastAsia="SimSun" w:hint="eastAsia"/>
          <w:bCs/>
          <w:color w:val="000000"/>
          <w:lang w:eastAsia="zh-CN"/>
        </w:rPr>
      </w:pPr>
      <w:r>
        <w:rPr>
          <w:rFonts w:eastAsia="SimSun"/>
          <w:bCs/>
          <w:color w:val="000000"/>
          <w:lang w:eastAsia="zh-CN"/>
        </w:rPr>
        <w:tab/>
        <w:t>10.</w:t>
      </w:r>
      <w:r>
        <w:rPr>
          <w:rFonts w:eastAsia="SimSun"/>
          <w:bCs/>
          <w:color w:val="000000"/>
          <w:lang w:eastAsia="zh-CN"/>
        </w:rPr>
        <w:tab/>
      </w:r>
      <w:r>
        <w:rPr>
          <w:rFonts w:eastAsia="SimSun" w:hint="eastAsia"/>
          <w:bCs/>
          <w:color w:val="000000"/>
          <w:lang w:eastAsia="zh-CN"/>
        </w:rPr>
        <w:t>教育</w:t>
      </w:r>
      <w:r>
        <w:rPr>
          <w:rFonts w:eastAsia="SimSun"/>
          <w:bCs/>
          <w:color w:val="000000"/>
          <w:lang w:eastAsia="zh-CN"/>
        </w:rPr>
        <w:t xml:space="preserve"> </w:t>
      </w:r>
      <w:r>
        <w:rPr>
          <w:rFonts w:eastAsia="SimSun"/>
          <w:bCs/>
          <w:color w:val="000000"/>
          <w:lang w:eastAsia="zh-CN"/>
        </w:rPr>
        <w:tab/>
      </w:r>
      <w:r>
        <w:rPr>
          <w:rFonts w:eastAsia="SimSun"/>
          <w:bCs/>
          <w:color w:val="000000"/>
          <w:lang w:eastAsia="zh-CN"/>
        </w:rPr>
        <w:tab/>
      </w:r>
      <w:r>
        <w:rPr>
          <w:rFonts w:eastAsia="SimSun" w:hint="eastAsia"/>
          <w:bCs/>
          <w:color w:val="000000"/>
          <w:lang w:eastAsia="zh-CN"/>
        </w:rPr>
        <w:t>623-652</w:t>
      </w:r>
      <w:r>
        <w:rPr>
          <w:rFonts w:eastAsia="SimSun" w:hint="eastAsia"/>
          <w:bCs/>
          <w:color w:val="000000"/>
          <w:lang w:eastAsia="zh-CN"/>
        </w:rPr>
        <w:tab/>
        <w:t>146</w:t>
      </w:r>
    </w:p>
    <w:p w:rsidR="00692915" w:rsidRDefault="00692915" w:rsidP="009A1C1B">
      <w:pPr>
        <w:tabs>
          <w:tab w:val="left" w:pos="567"/>
          <w:tab w:val="left" w:pos="1134"/>
          <w:tab w:val="left" w:leader="dot" w:pos="7410"/>
          <w:tab w:val="center" w:pos="8060"/>
          <w:tab w:val="right" w:pos="9298"/>
        </w:tabs>
        <w:spacing w:line="312" w:lineRule="auto"/>
        <w:ind w:firstLine="31680"/>
        <w:rPr>
          <w:rFonts w:hint="eastAsia"/>
          <w:bCs/>
          <w:color w:val="000000"/>
        </w:rPr>
      </w:pPr>
      <w:r>
        <w:rPr>
          <w:bCs/>
          <w:color w:val="000000"/>
        </w:rPr>
        <w:tab/>
        <w:t>E.</w:t>
      </w:r>
      <w:r>
        <w:rPr>
          <w:bCs/>
          <w:color w:val="000000"/>
        </w:rPr>
        <w:tab/>
      </w:r>
      <w:r>
        <w:rPr>
          <w:rFonts w:hint="eastAsia"/>
          <w:bCs/>
          <w:color w:val="000000"/>
        </w:rPr>
        <w:t>婚姻与家庭生活</w:t>
      </w:r>
      <w:r>
        <w:rPr>
          <w:bCs/>
          <w:color w:val="000000"/>
        </w:rPr>
        <w:t xml:space="preserve"> </w:t>
      </w:r>
      <w:r>
        <w:rPr>
          <w:bCs/>
          <w:color w:val="000000"/>
        </w:rPr>
        <w:tab/>
      </w:r>
      <w:r>
        <w:rPr>
          <w:rFonts w:hint="eastAsia"/>
          <w:bCs/>
          <w:color w:val="000000"/>
        </w:rPr>
        <w:tab/>
        <w:t>653-707</w:t>
      </w:r>
      <w:r>
        <w:rPr>
          <w:rFonts w:hint="eastAsia"/>
          <w:bCs/>
          <w:color w:val="000000"/>
        </w:rPr>
        <w:tab/>
        <w:t>153</w:t>
      </w:r>
    </w:p>
    <w:p w:rsidR="00692915" w:rsidRDefault="00692915" w:rsidP="009A1C1B">
      <w:pPr>
        <w:pStyle w:val="Header"/>
        <w:tabs>
          <w:tab w:val="clear" w:pos="992"/>
          <w:tab w:val="clear" w:pos="5772"/>
          <w:tab w:val="clear" w:pos="6634"/>
          <w:tab w:val="clear" w:pos="7144"/>
          <w:tab w:val="clear" w:pos="7655"/>
          <w:tab w:val="clear" w:pos="8165"/>
          <w:tab w:val="left" w:pos="1134"/>
          <w:tab w:val="left" w:pos="1690"/>
          <w:tab w:val="left" w:leader="dot" w:pos="7410"/>
          <w:tab w:val="center" w:pos="8060"/>
          <w:tab w:val="right" w:pos="9298"/>
        </w:tabs>
        <w:spacing w:line="312" w:lineRule="auto"/>
        <w:ind w:firstLine="31680"/>
        <w:rPr>
          <w:rFonts w:eastAsia="SimSun" w:hint="eastAsia"/>
          <w:bCs/>
          <w:color w:val="000000"/>
          <w:lang w:eastAsia="zh-CN"/>
        </w:rPr>
      </w:pPr>
      <w:r>
        <w:rPr>
          <w:rFonts w:eastAsia="SimSun"/>
          <w:bCs/>
          <w:color w:val="000000"/>
          <w:lang w:eastAsia="zh-CN"/>
        </w:rPr>
        <w:tab/>
        <w:t>1.</w:t>
      </w:r>
      <w:r>
        <w:rPr>
          <w:rFonts w:eastAsia="SimSun"/>
          <w:bCs/>
          <w:color w:val="000000"/>
          <w:lang w:eastAsia="zh-CN"/>
        </w:rPr>
        <w:tab/>
      </w:r>
      <w:r>
        <w:rPr>
          <w:rFonts w:eastAsia="SimSun" w:hint="eastAsia"/>
          <w:bCs/>
          <w:color w:val="000000"/>
          <w:lang w:eastAsia="zh-CN"/>
        </w:rPr>
        <w:t>婚姻</w:t>
      </w:r>
      <w:r>
        <w:rPr>
          <w:rFonts w:eastAsia="SimSun"/>
          <w:bCs/>
          <w:color w:val="000000"/>
          <w:lang w:eastAsia="zh-CN"/>
        </w:rPr>
        <w:t xml:space="preserve"> </w:t>
      </w:r>
      <w:r>
        <w:rPr>
          <w:rFonts w:eastAsia="SimSun"/>
          <w:bCs/>
          <w:color w:val="000000"/>
          <w:lang w:eastAsia="zh-CN"/>
        </w:rPr>
        <w:tab/>
      </w:r>
      <w:r>
        <w:rPr>
          <w:rFonts w:eastAsia="SimSun"/>
          <w:bCs/>
          <w:color w:val="000000"/>
          <w:lang w:eastAsia="zh-CN"/>
        </w:rPr>
        <w:tab/>
      </w:r>
      <w:r>
        <w:rPr>
          <w:rFonts w:eastAsia="SimSun" w:hint="eastAsia"/>
          <w:bCs/>
          <w:color w:val="000000"/>
          <w:lang w:eastAsia="zh-CN"/>
        </w:rPr>
        <w:t>661-686</w:t>
      </w:r>
      <w:r>
        <w:rPr>
          <w:rFonts w:eastAsia="SimSun" w:hint="eastAsia"/>
          <w:bCs/>
          <w:color w:val="000000"/>
          <w:lang w:eastAsia="zh-CN"/>
        </w:rPr>
        <w:tab/>
        <w:t>156</w:t>
      </w:r>
    </w:p>
    <w:p w:rsidR="00692915" w:rsidRDefault="00692915" w:rsidP="009A1C1B">
      <w:pPr>
        <w:spacing w:after="240"/>
        <w:ind w:firstLine="31680"/>
        <w:jc w:val="center"/>
        <w:rPr>
          <w:rFonts w:eastAsia="KaiTi_GB2312" w:hint="eastAsia"/>
          <w:color w:val="000000"/>
          <w:sz w:val="28"/>
        </w:rPr>
      </w:pPr>
      <w:r>
        <w:rPr>
          <w:bCs/>
          <w:color w:val="000000"/>
        </w:rPr>
        <w:tab/>
      </w:r>
      <w:r>
        <w:rPr>
          <w:rFonts w:eastAsia="KaiTi_GB2312" w:hint="eastAsia"/>
          <w:b/>
          <w:color w:val="000000"/>
          <w:sz w:val="28"/>
        </w:rPr>
        <w:t>目</w:t>
      </w:r>
      <w:r>
        <w:rPr>
          <w:rFonts w:eastAsia="KaiTi_GB2312" w:hint="eastAsia"/>
          <w:b/>
          <w:color w:val="000000"/>
          <w:sz w:val="28"/>
        </w:rPr>
        <w:t xml:space="preserve"> </w:t>
      </w:r>
      <w:r>
        <w:rPr>
          <w:rFonts w:eastAsia="KaiTi_GB2312" w:hint="eastAsia"/>
          <w:b/>
          <w:color w:val="000000"/>
          <w:sz w:val="28"/>
        </w:rPr>
        <w:t>录（续）</w:t>
      </w:r>
    </w:p>
    <w:p w:rsidR="00692915" w:rsidRDefault="00692915" w:rsidP="009A1C1B">
      <w:pPr>
        <w:tabs>
          <w:tab w:val="left" w:pos="567"/>
          <w:tab w:val="left" w:pos="7470"/>
          <w:tab w:val="center" w:pos="8060"/>
          <w:tab w:val="right" w:pos="9298"/>
        </w:tabs>
        <w:ind w:firstLine="31680"/>
        <w:rPr>
          <w:rFonts w:ascii="KaiTi_GB2312" w:eastAsia="KaiTi_GB2312" w:hint="eastAsia"/>
          <w:iCs/>
          <w:color w:val="000000"/>
        </w:rPr>
      </w:pPr>
      <w:r>
        <w:rPr>
          <w:rFonts w:ascii="KaiTi_GB2312" w:eastAsia="KaiTi_GB2312" w:hint="eastAsia"/>
          <w:iCs/>
          <w:color w:val="000000"/>
        </w:rPr>
        <w:tab/>
      </w:r>
      <w:r>
        <w:rPr>
          <w:rFonts w:ascii="KaiTi_GB2312" w:eastAsia="KaiTi_GB2312" w:hint="eastAsia"/>
          <w:iCs/>
          <w:color w:val="000000"/>
        </w:rPr>
        <w:tab/>
      </w:r>
      <w:r>
        <w:rPr>
          <w:rFonts w:ascii="KaiTi_GB2312" w:eastAsia="KaiTi_GB2312" w:hint="eastAsia"/>
          <w:iCs/>
          <w:color w:val="000000"/>
        </w:rPr>
        <w:tab/>
      </w:r>
      <w:r>
        <w:rPr>
          <w:rFonts w:ascii="KaiTi_GB2312" w:eastAsia="KaiTi_GB2312" w:hint="eastAsia"/>
          <w:iCs/>
          <w:color w:val="000000"/>
          <w:u w:val="single"/>
        </w:rPr>
        <w:t>段次</w:t>
      </w:r>
      <w:r>
        <w:rPr>
          <w:rFonts w:ascii="KaiTi_GB2312" w:eastAsia="KaiTi_GB2312" w:hint="eastAsia"/>
          <w:iCs/>
          <w:color w:val="000000"/>
        </w:rPr>
        <w:t xml:space="preserve"> </w:t>
      </w:r>
      <w:r>
        <w:rPr>
          <w:rFonts w:ascii="KaiTi_GB2312" w:eastAsia="KaiTi_GB2312" w:hint="eastAsia"/>
          <w:iCs/>
          <w:color w:val="000000"/>
        </w:rPr>
        <w:tab/>
      </w:r>
      <w:r>
        <w:rPr>
          <w:rFonts w:ascii="KaiTi_GB2312" w:eastAsia="KaiTi_GB2312" w:hint="eastAsia"/>
          <w:iCs/>
          <w:color w:val="000000"/>
          <w:u w:val="single"/>
        </w:rPr>
        <w:t>页次</w:t>
      </w:r>
    </w:p>
    <w:p w:rsidR="00692915" w:rsidRDefault="00692915" w:rsidP="009A1C1B">
      <w:pPr>
        <w:pStyle w:val="Header"/>
        <w:tabs>
          <w:tab w:val="clear" w:pos="992"/>
          <w:tab w:val="clear" w:pos="5772"/>
          <w:tab w:val="clear" w:pos="6634"/>
          <w:tab w:val="clear" w:pos="7144"/>
          <w:tab w:val="clear" w:pos="7655"/>
          <w:tab w:val="clear" w:pos="8165"/>
          <w:tab w:val="left" w:pos="1134"/>
          <w:tab w:val="left" w:pos="1690"/>
          <w:tab w:val="left" w:leader="dot" w:pos="7410"/>
          <w:tab w:val="center" w:pos="8060"/>
          <w:tab w:val="right" w:pos="9298"/>
        </w:tabs>
        <w:spacing w:line="336" w:lineRule="auto"/>
        <w:ind w:firstLine="31680"/>
        <w:rPr>
          <w:rFonts w:eastAsia="SimSun" w:hint="eastAsia"/>
          <w:bCs/>
          <w:color w:val="000000"/>
          <w:lang w:eastAsia="zh-CN"/>
        </w:rPr>
      </w:pPr>
      <w:r>
        <w:rPr>
          <w:rFonts w:eastAsia="SimSun" w:hint="eastAsia"/>
          <w:bCs/>
          <w:color w:val="000000"/>
          <w:lang w:eastAsia="zh-CN"/>
        </w:rPr>
        <w:tab/>
      </w:r>
      <w:r>
        <w:rPr>
          <w:rFonts w:eastAsia="SimSun"/>
          <w:bCs/>
          <w:color w:val="000000"/>
          <w:lang w:eastAsia="zh-CN"/>
        </w:rPr>
        <w:t>2.</w:t>
      </w:r>
      <w:r>
        <w:rPr>
          <w:rFonts w:eastAsia="SimSun"/>
          <w:bCs/>
          <w:color w:val="000000"/>
          <w:lang w:eastAsia="zh-CN"/>
        </w:rPr>
        <w:tab/>
      </w:r>
      <w:r>
        <w:rPr>
          <w:rFonts w:eastAsia="SimSun" w:hint="eastAsia"/>
          <w:bCs/>
          <w:color w:val="000000"/>
          <w:lang w:eastAsia="zh-CN"/>
        </w:rPr>
        <w:t>拥有财产的能力</w:t>
      </w:r>
      <w:r>
        <w:rPr>
          <w:rFonts w:eastAsia="SimSun"/>
          <w:bCs/>
          <w:color w:val="000000"/>
          <w:lang w:eastAsia="zh-CN"/>
        </w:rPr>
        <w:t xml:space="preserve"> </w:t>
      </w:r>
      <w:r>
        <w:rPr>
          <w:rFonts w:eastAsia="SimSun"/>
          <w:bCs/>
          <w:color w:val="000000"/>
          <w:lang w:eastAsia="zh-CN"/>
        </w:rPr>
        <w:tab/>
      </w:r>
      <w:r>
        <w:rPr>
          <w:rFonts w:eastAsia="SimSun"/>
          <w:bCs/>
          <w:color w:val="000000"/>
          <w:lang w:eastAsia="zh-CN"/>
        </w:rPr>
        <w:tab/>
      </w:r>
      <w:r>
        <w:rPr>
          <w:rFonts w:eastAsia="SimSun" w:hint="eastAsia"/>
          <w:bCs/>
          <w:color w:val="000000"/>
          <w:lang w:eastAsia="zh-CN"/>
        </w:rPr>
        <w:t>687-688</w:t>
      </w:r>
      <w:r>
        <w:rPr>
          <w:rFonts w:eastAsia="SimSun" w:hint="eastAsia"/>
          <w:bCs/>
          <w:color w:val="000000"/>
          <w:lang w:eastAsia="zh-CN"/>
        </w:rPr>
        <w:tab/>
        <w:t>163</w:t>
      </w:r>
    </w:p>
    <w:p w:rsidR="00692915" w:rsidRDefault="00692915" w:rsidP="009A1C1B">
      <w:pPr>
        <w:pStyle w:val="Header"/>
        <w:tabs>
          <w:tab w:val="clear" w:pos="992"/>
          <w:tab w:val="clear" w:pos="5772"/>
          <w:tab w:val="clear" w:pos="6634"/>
          <w:tab w:val="clear" w:pos="7144"/>
          <w:tab w:val="clear" w:pos="7655"/>
          <w:tab w:val="clear" w:pos="8165"/>
          <w:tab w:val="left" w:pos="1134"/>
          <w:tab w:val="left" w:pos="1690"/>
          <w:tab w:val="left" w:leader="dot" w:pos="7410"/>
          <w:tab w:val="center" w:pos="8060"/>
          <w:tab w:val="right" w:pos="9298"/>
        </w:tabs>
        <w:spacing w:line="336" w:lineRule="auto"/>
        <w:ind w:firstLine="31680"/>
        <w:rPr>
          <w:rFonts w:eastAsia="SimSun" w:hint="eastAsia"/>
          <w:bCs/>
          <w:color w:val="000000"/>
          <w:lang w:eastAsia="zh-CN"/>
        </w:rPr>
      </w:pPr>
      <w:r>
        <w:rPr>
          <w:rFonts w:eastAsia="SimSun"/>
          <w:bCs/>
          <w:color w:val="000000"/>
          <w:lang w:eastAsia="zh-CN"/>
        </w:rPr>
        <w:tab/>
        <w:t>3.</w:t>
      </w:r>
      <w:r>
        <w:rPr>
          <w:rFonts w:eastAsia="SimSun"/>
          <w:bCs/>
          <w:color w:val="000000"/>
          <w:lang w:eastAsia="zh-CN"/>
        </w:rPr>
        <w:tab/>
      </w:r>
      <w:r>
        <w:rPr>
          <w:rFonts w:eastAsia="SimSun" w:hint="eastAsia"/>
          <w:bCs/>
          <w:color w:val="000000"/>
          <w:lang w:eastAsia="zh-CN"/>
        </w:rPr>
        <w:t>儿童保育</w:t>
      </w:r>
      <w:r>
        <w:rPr>
          <w:rFonts w:eastAsia="SimSun"/>
          <w:bCs/>
          <w:color w:val="000000"/>
          <w:lang w:eastAsia="zh-CN"/>
        </w:rPr>
        <w:t xml:space="preserve"> </w:t>
      </w:r>
      <w:r>
        <w:rPr>
          <w:rFonts w:eastAsia="SimSun"/>
          <w:bCs/>
          <w:color w:val="000000"/>
          <w:lang w:eastAsia="zh-CN"/>
        </w:rPr>
        <w:tab/>
      </w:r>
      <w:r>
        <w:rPr>
          <w:rFonts w:eastAsia="SimSun"/>
          <w:bCs/>
          <w:color w:val="000000"/>
          <w:lang w:eastAsia="zh-CN"/>
        </w:rPr>
        <w:tab/>
      </w:r>
      <w:r>
        <w:rPr>
          <w:rFonts w:eastAsia="SimSun" w:hint="eastAsia"/>
          <w:bCs/>
          <w:color w:val="000000"/>
          <w:lang w:eastAsia="zh-CN"/>
        </w:rPr>
        <w:t>689-707</w:t>
      </w:r>
      <w:r>
        <w:rPr>
          <w:rFonts w:eastAsia="SimSun" w:hint="eastAsia"/>
          <w:bCs/>
          <w:color w:val="000000"/>
          <w:lang w:eastAsia="zh-CN"/>
        </w:rPr>
        <w:tab/>
        <w:t>163</w:t>
      </w:r>
    </w:p>
    <w:p w:rsidR="00692915" w:rsidRDefault="00692915" w:rsidP="009A1C1B">
      <w:pPr>
        <w:tabs>
          <w:tab w:val="left" w:pos="567"/>
          <w:tab w:val="left" w:pos="1134"/>
          <w:tab w:val="left" w:leader="dot" w:pos="7410"/>
          <w:tab w:val="center" w:pos="8060"/>
          <w:tab w:val="right" w:pos="9298"/>
        </w:tabs>
        <w:ind w:firstLine="31680"/>
        <w:rPr>
          <w:rFonts w:hint="eastAsia"/>
          <w:bCs/>
          <w:color w:val="000000"/>
        </w:rPr>
      </w:pPr>
      <w:r>
        <w:rPr>
          <w:bCs/>
          <w:color w:val="000000"/>
        </w:rPr>
        <w:tab/>
        <w:t>F.</w:t>
      </w:r>
      <w:r>
        <w:rPr>
          <w:bCs/>
          <w:color w:val="000000"/>
        </w:rPr>
        <w:tab/>
      </w:r>
      <w:r>
        <w:rPr>
          <w:rFonts w:hint="eastAsia"/>
          <w:bCs/>
          <w:color w:val="000000"/>
        </w:rPr>
        <w:t>有效的补救措施</w:t>
      </w:r>
      <w:r>
        <w:rPr>
          <w:bCs/>
          <w:color w:val="000000"/>
        </w:rPr>
        <w:tab/>
      </w:r>
      <w:r>
        <w:rPr>
          <w:rFonts w:hint="eastAsia"/>
          <w:bCs/>
          <w:color w:val="000000"/>
        </w:rPr>
        <w:tab/>
        <w:t>708-722</w:t>
      </w:r>
      <w:r>
        <w:rPr>
          <w:rFonts w:hint="eastAsia"/>
          <w:bCs/>
          <w:color w:val="000000"/>
        </w:rPr>
        <w:tab/>
        <w:t>168</w:t>
      </w:r>
    </w:p>
    <w:p w:rsidR="00692915" w:rsidRDefault="00692915" w:rsidP="009A1C1B">
      <w:pPr>
        <w:pStyle w:val="Heading1"/>
        <w:ind w:firstLine="31680"/>
        <w:rPr>
          <w:rFonts w:eastAsia="SimHei" w:hint="eastAsia"/>
          <w:b w:val="0"/>
          <w:caps/>
          <w:color w:val="000000"/>
        </w:rPr>
      </w:pPr>
      <w:r>
        <w:rPr>
          <w:rFonts w:eastAsia="SimHei" w:hint="eastAsia"/>
          <w:b w:val="0"/>
          <w:caps/>
          <w:color w:val="000000"/>
        </w:rPr>
        <w:t>附</w:t>
      </w:r>
      <w:r>
        <w:rPr>
          <w:rFonts w:eastAsia="SimHei" w:hint="eastAsia"/>
          <w:b w:val="0"/>
          <w:caps/>
          <w:color w:val="000000"/>
        </w:rPr>
        <w:t xml:space="preserve"> </w:t>
      </w:r>
      <w:r>
        <w:rPr>
          <w:rFonts w:eastAsia="SimHei" w:hint="eastAsia"/>
          <w:b w:val="0"/>
          <w:caps/>
          <w:color w:val="000000"/>
        </w:rPr>
        <w:t>件</w:t>
      </w:r>
    </w:p>
    <w:p w:rsidR="00692915" w:rsidRDefault="00692915" w:rsidP="009A1C1B">
      <w:pPr>
        <w:tabs>
          <w:tab w:val="left" w:pos="567"/>
          <w:tab w:val="left" w:leader="dot" w:pos="7410"/>
          <w:tab w:val="center" w:pos="8060"/>
          <w:tab w:val="right" w:pos="9298"/>
        </w:tabs>
        <w:ind w:firstLine="31680"/>
        <w:rPr>
          <w:rFonts w:hint="eastAsia"/>
          <w:color w:val="000000"/>
        </w:rPr>
      </w:pPr>
      <w:r>
        <w:rPr>
          <w:rFonts w:hint="eastAsia"/>
          <w:color w:val="000000"/>
        </w:rPr>
        <w:t>一、土地与人民</w:t>
      </w:r>
      <w:r>
        <w:rPr>
          <w:rFonts w:hint="eastAsia"/>
          <w:color w:val="000000"/>
        </w:rPr>
        <w:tab/>
      </w:r>
      <w:r>
        <w:rPr>
          <w:rFonts w:hint="eastAsia"/>
          <w:color w:val="000000"/>
        </w:rPr>
        <w:tab/>
      </w:r>
      <w:r>
        <w:rPr>
          <w:rFonts w:hint="eastAsia"/>
          <w:color w:val="000000"/>
        </w:rPr>
        <w:tab/>
        <w:t>171</w:t>
      </w:r>
    </w:p>
    <w:p w:rsidR="00692915" w:rsidRDefault="00692915" w:rsidP="009A1C1B">
      <w:pPr>
        <w:tabs>
          <w:tab w:val="left" w:pos="567"/>
          <w:tab w:val="left" w:pos="1134"/>
          <w:tab w:val="left" w:leader="dot" w:pos="7410"/>
          <w:tab w:val="center" w:pos="8060"/>
          <w:tab w:val="right" w:pos="9298"/>
        </w:tabs>
        <w:ind w:firstLine="31680"/>
        <w:rPr>
          <w:bCs/>
          <w:color w:val="000000"/>
        </w:rPr>
      </w:pPr>
      <w:r>
        <w:rPr>
          <w:bCs/>
          <w:color w:val="000000"/>
        </w:rPr>
        <w:tab/>
      </w:r>
      <w:r>
        <w:rPr>
          <w:rFonts w:hint="eastAsia"/>
          <w:bCs/>
          <w:color w:val="000000"/>
        </w:rPr>
        <w:t>社会、经济与文化统计</w:t>
      </w:r>
      <w:r>
        <w:rPr>
          <w:rFonts w:hint="eastAsia"/>
          <w:bCs/>
          <w:color w:val="000000"/>
        </w:rPr>
        <w:tab/>
      </w:r>
      <w:r>
        <w:rPr>
          <w:rFonts w:hint="eastAsia"/>
          <w:bCs/>
          <w:color w:val="000000"/>
        </w:rPr>
        <w:tab/>
      </w:r>
      <w:r>
        <w:rPr>
          <w:rFonts w:hint="eastAsia"/>
          <w:bCs/>
          <w:color w:val="000000"/>
        </w:rPr>
        <w:tab/>
        <w:t>195</w:t>
      </w:r>
    </w:p>
    <w:p w:rsidR="00692915" w:rsidRDefault="00692915" w:rsidP="009A1C1B">
      <w:pPr>
        <w:tabs>
          <w:tab w:val="left" w:pos="567"/>
          <w:tab w:val="left" w:pos="1134"/>
          <w:tab w:val="left" w:leader="dot" w:pos="7410"/>
          <w:tab w:val="center" w:pos="8060"/>
          <w:tab w:val="right" w:pos="9298"/>
        </w:tabs>
        <w:ind w:firstLine="31680"/>
        <w:rPr>
          <w:rFonts w:hint="eastAsia"/>
          <w:bCs/>
          <w:color w:val="000000"/>
        </w:rPr>
      </w:pPr>
      <w:r>
        <w:rPr>
          <w:bCs/>
          <w:color w:val="000000"/>
        </w:rPr>
        <w:tab/>
      </w:r>
      <w:r>
        <w:rPr>
          <w:rFonts w:hint="eastAsia"/>
          <w:bCs/>
          <w:color w:val="000000"/>
        </w:rPr>
        <w:t>政治制度与司法统计的管理</w:t>
      </w:r>
      <w:r>
        <w:rPr>
          <w:bCs/>
          <w:color w:val="000000"/>
        </w:rPr>
        <w:tab/>
      </w:r>
      <w:r>
        <w:rPr>
          <w:bCs/>
          <w:color w:val="000000"/>
        </w:rPr>
        <w:tab/>
      </w:r>
      <w:r>
        <w:rPr>
          <w:rFonts w:hint="eastAsia"/>
          <w:bCs/>
          <w:color w:val="000000"/>
        </w:rPr>
        <w:tab/>
        <w:t>205</w:t>
      </w:r>
    </w:p>
    <w:p w:rsidR="00692915" w:rsidRDefault="00692915" w:rsidP="009A1C1B">
      <w:pPr>
        <w:tabs>
          <w:tab w:val="left" w:pos="55"/>
          <w:tab w:val="left" w:leader="dot" w:pos="7410"/>
          <w:tab w:val="center" w:pos="8060"/>
          <w:tab w:val="right" w:pos="9298"/>
        </w:tabs>
        <w:ind w:firstLine="31680"/>
        <w:rPr>
          <w:rFonts w:hint="eastAsia"/>
          <w:color w:val="000000"/>
        </w:rPr>
      </w:pPr>
      <w:r>
        <w:rPr>
          <w:rFonts w:hint="eastAsia"/>
          <w:color w:val="000000"/>
        </w:rPr>
        <w:t>二、按国家机关划分的政府支出情况</w:t>
      </w:r>
      <w:r>
        <w:rPr>
          <w:color w:val="000000"/>
        </w:rPr>
        <w:t xml:space="preserve"> </w:t>
      </w:r>
      <w:r>
        <w:rPr>
          <w:color w:val="000000"/>
        </w:rPr>
        <w:tab/>
      </w:r>
      <w:r>
        <w:rPr>
          <w:color w:val="000000"/>
        </w:rPr>
        <w:tab/>
      </w:r>
      <w:r>
        <w:rPr>
          <w:rFonts w:hint="eastAsia"/>
          <w:color w:val="000000"/>
        </w:rPr>
        <w:tab/>
        <w:t>210</w:t>
      </w:r>
    </w:p>
    <w:p w:rsidR="00692915" w:rsidRDefault="00692915" w:rsidP="009A1C1B">
      <w:pPr>
        <w:tabs>
          <w:tab w:val="left" w:pos="55"/>
          <w:tab w:val="left" w:leader="dot" w:pos="7410"/>
          <w:tab w:val="center" w:pos="8060"/>
          <w:tab w:val="right" w:pos="9298"/>
        </w:tabs>
        <w:ind w:firstLine="31680"/>
        <w:rPr>
          <w:rFonts w:hint="eastAsia"/>
          <w:color w:val="000000"/>
        </w:rPr>
      </w:pPr>
      <w:r>
        <w:rPr>
          <w:rFonts w:hint="eastAsia"/>
          <w:color w:val="000000"/>
        </w:rPr>
        <w:t>三、东帝汶参加的核心人权条约一览表</w:t>
      </w:r>
      <w:r>
        <w:rPr>
          <w:color w:val="000000"/>
        </w:rPr>
        <w:tab/>
      </w:r>
      <w:r>
        <w:rPr>
          <w:color w:val="000000"/>
        </w:rPr>
        <w:tab/>
      </w:r>
      <w:r>
        <w:rPr>
          <w:rFonts w:hint="eastAsia"/>
          <w:color w:val="000000"/>
        </w:rPr>
        <w:tab/>
        <w:t>212</w:t>
      </w:r>
    </w:p>
    <w:p w:rsidR="00692915" w:rsidRDefault="00692915" w:rsidP="009A1C1B">
      <w:pPr>
        <w:tabs>
          <w:tab w:val="left" w:pos="55"/>
          <w:tab w:val="left" w:leader="dot" w:pos="7410"/>
          <w:tab w:val="center" w:pos="8060"/>
          <w:tab w:val="right" w:pos="9298"/>
        </w:tabs>
        <w:ind w:firstLine="31680"/>
        <w:rPr>
          <w:rFonts w:hint="eastAsia"/>
          <w:color w:val="000000"/>
        </w:rPr>
      </w:pPr>
      <w:r>
        <w:rPr>
          <w:rFonts w:hint="eastAsia"/>
          <w:color w:val="000000"/>
        </w:rPr>
        <w:t>四、东帝汶参加的其他人权文书及相关文书</w:t>
      </w:r>
      <w:r>
        <w:rPr>
          <w:color w:val="000000"/>
        </w:rPr>
        <w:t xml:space="preserve"> </w:t>
      </w:r>
      <w:r>
        <w:rPr>
          <w:color w:val="000000"/>
        </w:rPr>
        <w:tab/>
      </w:r>
      <w:r>
        <w:rPr>
          <w:color w:val="000000"/>
        </w:rPr>
        <w:tab/>
      </w:r>
      <w:r>
        <w:rPr>
          <w:rFonts w:hint="eastAsia"/>
          <w:color w:val="000000"/>
        </w:rPr>
        <w:tab/>
        <w:t>213</w:t>
      </w:r>
    </w:p>
    <w:p w:rsidR="00692915" w:rsidRDefault="00692915" w:rsidP="009A1C1B">
      <w:pPr>
        <w:ind w:firstLine="31680"/>
        <w:rPr>
          <w:color w:val="000000"/>
        </w:rPr>
      </w:pPr>
    </w:p>
    <w:p w:rsidR="00692915" w:rsidRDefault="00692915" w:rsidP="009A1C1B">
      <w:pPr>
        <w:ind w:firstLine="31680"/>
        <w:rPr>
          <w:color w:val="000000"/>
        </w:rPr>
      </w:pPr>
    </w:p>
    <w:p w:rsidR="00692915" w:rsidRDefault="00692915" w:rsidP="009A1C1B">
      <w:pPr>
        <w:ind w:firstLine="31680"/>
        <w:rPr>
          <w:color w:val="000000"/>
        </w:rPr>
      </w:pPr>
    </w:p>
    <w:p w:rsidR="00692915" w:rsidRDefault="00692915" w:rsidP="009A1C1B">
      <w:pPr>
        <w:ind w:firstLine="31680"/>
        <w:rPr>
          <w:color w:val="000000"/>
        </w:rPr>
      </w:pPr>
    </w:p>
    <w:p w:rsidR="00692915" w:rsidRDefault="00692915">
      <w:pPr>
        <w:pStyle w:val="Heading2"/>
        <w:ind w:firstLine="600"/>
        <w:rPr>
          <w:rFonts w:hint="eastAsia"/>
          <w:color w:val="000000"/>
        </w:rPr>
      </w:pPr>
      <w:r>
        <w:rPr>
          <w:color w:val="000000"/>
        </w:rPr>
        <w:br w:type="page"/>
      </w:r>
      <w:r>
        <w:rPr>
          <w:rFonts w:hint="eastAsia"/>
          <w:color w:val="000000"/>
        </w:rPr>
        <w:t>缩略语</w:t>
      </w:r>
    </w:p>
    <w:p w:rsidR="00692915" w:rsidRDefault="00692915">
      <w:pPr>
        <w:tabs>
          <w:tab w:val="left" w:pos="1560"/>
        </w:tabs>
        <w:ind w:firstLineChars="0" w:firstLine="0"/>
        <w:rPr>
          <w:color w:val="000000"/>
        </w:rPr>
      </w:pPr>
      <w:r>
        <w:rPr>
          <w:color w:val="000000"/>
        </w:rPr>
        <w:t>AAP</w:t>
      </w:r>
      <w:r>
        <w:rPr>
          <w:color w:val="000000"/>
        </w:rPr>
        <w:tab/>
      </w:r>
      <w:r>
        <w:rPr>
          <w:rFonts w:hint="eastAsia"/>
          <w:color w:val="000000"/>
        </w:rPr>
        <w:t>年度行动计划</w:t>
      </w:r>
    </w:p>
    <w:p w:rsidR="00692915" w:rsidRDefault="00692915">
      <w:pPr>
        <w:tabs>
          <w:tab w:val="left" w:pos="1560"/>
        </w:tabs>
        <w:ind w:firstLineChars="0" w:firstLine="0"/>
        <w:rPr>
          <w:color w:val="000000"/>
        </w:rPr>
      </w:pPr>
      <w:r>
        <w:rPr>
          <w:color w:val="000000"/>
        </w:rPr>
        <w:t>CAVR</w:t>
      </w:r>
      <w:r>
        <w:rPr>
          <w:color w:val="000000"/>
        </w:rPr>
        <w:tab/>
      </w:r>
      <w:r>
        <w:rPr>
          <w:rFonts w:hint="eastAsia"/>
          <w:color w:val="000000"/>
        </w:rPr>
        <w:t>接纳、真相与和解委员会</w:t>
      </w:r>
    </w:p>
    <w:p w:rsidR="00692915" w:rsidRDefault="00692915">
      <w:pPr>
        <w:tabs>
          <w:tab w:val="left" w:pos="1560"/>
        </w:tabs>
        <w:ind w:firstLineChars="0" w:firstLine="0"/>
        <w:rPr>
          <w:rFonts w:hint="eastAsia"/>
          <w:color w:val="000000"/>
        </w:rPr>
      </w:pPr>
      <w:r>
        <w:rPr>
          <w:color w:val="000000"/>
        </w:rPr>
        <w:t>CAT</w:t>
      </w:r>
      <w:r>
        <w:rPr>
          <w:color w:val="000000"/>
        </w:rPr>
        <w:tab/>
      </w:r>
      <w:r>
        <w:rPr>
          <w:rFonts w:hint="eastAsia"/>
          <w:color w:val="000000"/>
        </w:rPr>
        <w:t>《禁止酷刑和其他残忍、不人道或有辱人格的待遇或处罚公约》</w:t>
      </w:r>
    </w:p>
    <w:p w:rsidR="00692915" w:rsidRDefault="00692915">
      <w:pPr>
        <w:tabs>
          <w:tab w:val="left" w:pos="1560"/>
        </w:tabs>
        <w:ind w:firstLineChars="0" w:firstLine="0"/>
        <w:rPr>
          <w:color w:val="000000"/>
        </w:rPr>
      </w:pPr>
      <w:r>
        <w:rPr>
          <w:color w:val="000000"/>
        </w:rPr>
        <w:t>CAAC</w:t>
      </w:r>
      <w:r>
        <w:rPr>
          <w:color w:val="000000"/>
        </w:rPr>
        <w:tab/>
      </w:r>
      <w:r>
        <w:rPr>
          <w:rFonts w:hint="eastAsia"/>
          <w:color w:val="000000"/>
        </w:rPr>
        <w:t>前战斗人员事务委员会</w:t>
      </w:r>
    </w:p>
    <w:p w:rsidR="00692915" w:rsidRDefault="00692915">
      <w:pPr>
        <w:tabs>
          <w:tab w:val="left" w:pos="1560"/>
        </w:tabs>
        <w:ind w:firstLineChars="0" w:firstLine="0"/>
        <w:rPr>
          <w:color w:val="000000"/>
        </w:rPr>
      </w:pPr>
      <w:r>
        <w:rPr>
          <w:color w:val="000000"/>
        </w:rPr>
        <w:t>CAVF</w:t>
      </w:r>
      <w:r>
        <w:rPr>
          <w:color w:val="000000"/>
        </w:rPr>
        <w:tab/>
      </w:r>
      <w:r>
        <w:rPr>
          <w:rFonts w:hint="eastAsia"/>
          <w:color w:val="000000"/>
        </w:rPr>
        <w:t>东帝汶民族解放组织武装部队退伍人员事务委员会</w:t>
      </w:r>
    </w:p>
    <w:p w:rsidR="00692915" w:rsidRDefault="00692915">
      <w:pPr>
        <w:tabs>
          <w:tab w:val="left" w:pos="1560"/>
        </w:tabs>
        <w:ind w:firstLineChars="0" w:firstLine="0"/>
        <w:rPr>
          <w:rFonts w:hint="eastAsia"/>
          <w:color w:val="000000"/>
        </w:rPr>
      </w:pPr>
      <w:r>
        <w:rPr>
          <w:color w:val="000000"/>
        </w:rPr>
        <w:t>CCD</w:t>
      </w:r>
      <w:r>
        <w:rPr>
          <w:color w:val="000000"/>
        </w:rPr>
        <w:tab/>
      </w:r>
      <w:r>
        <w:rPr>
          <w:rFonts w:hint="eastAsia"/>
          <w:color w:val="000000"/>
        </w:rPr>
        <w:t>共同核心文件</w:t>
      </w:r>
    </w:p>
    <w:p w:rsidR="00692915" w:rsidRDefault="00692915">
      <w:pPr>
        <w:tabs>
          <w:tab w:val="left" w:pos="1560"/>
        </w:tabs>
        <w:ind w:firstLineChars="0" w:firstLine="0"/>
        <w:rPr>
          <w:rFonts w:hint="eastAsia"/>
          <w:color w:val="000000"/>
        </w:rPr>
      </w:pPr>
      <w:r>
        <w:rPr>
          <w:color w:val="000000"/>
        </w:rPr>
        <w:t>CEDAW</w:t>
      </w:r>
      <w:r>
        <w:rPr>
          <w:color w:val="000000"/>
        </w:rPr>
        <w:tab/>
      </w:r>
      <w:r>
        <w:rPr>
          <w:rFonts w:hint="eastAsia"/>
          <w:color w:val="000000"/>
        </w:rPr>
        <w:t>《消除对妇女一切形式歧视公约》</w:t>
      </w:r>
      <w:r>
        <w:rPr>
          <w:rFonts w:hint="eastAsia"/>
          <w:color w:val="000000"/>
        </w:rPr>
        <w:t xml:space="preserve"> </w:t>
      </w:r>
    </w:p>
    <w:p w:rsidR="00692915" w:rsidRDefault="00692915">
      <w:pPr>
        <w:tabs>
          <w:tab w:val="left" w:pos="1560"/>
        </w:tabs>
        <w:ind w:firstLineChars="0" w:firstLine="0"/>
        <w:rPr>
          <w:color w:val="000000"/>
        </w:rPr>
      </w:pPr>
      <w:r>
        <w:rPr>
          <w:color w:val="000000"/>
        </w:rPr>
        <w:t>CERD</w:t>
      </w:r>
      <w:r>
        <w:rPr>
          <w:color w:val="000000"/>
        </w:rPr>
        <w:tab/>
      </w:r>
      <w:r>
        <w:rPr>
          <w:rFonts w:hint="eastAsia"/>
          <w:color w:val="000000"/>
        </w:rPr>
        <w:t>《消除一切形式种族歧视国际公约》</w:t>
      </w:r>
    </w:p>
    <w:p w:rsidR="00692915" w:rsidRDefault="00692915">
      <w:pPr>
        <w:tabs>
          <w:tab w:val="left" w:pos="1560"/>
        </w:tabs>
        <w:ind w:firstLineChars="0" w:firstLine="0"/>
        <w:rPr>
          <w:color w:val="000000"/>
        </w:rPr>
      </w:pPr>
      <w:r>
        <w:rPr>
          <w:color w:val="000000"/>
        </w:rPr>
        <w:t>CMW</w:t>
      </w:r>
      <w:r>
        <w:rPr>
          <w:color w:val="000000"/>
        </w:rPr>
        <w:tab/>
      </w:r>
      <w:r>
        <w:rPr>
          <w:rFonts w:hint="eastAsia"/>
          <w:color w:val="000000"/>
        </w:rPr>
        <w:t>《保护所有移徙工人及其家庭成员权利国际公约》</w:t>
      </w:r>
    </w:p>
    <w:p w:rsidR="00692915" w:rsidRDefault="00692915">
      <w:pPr>
        <w:tabs>
          <w:tab w:val="left" w:pos="1560"/>
        </w:tabs>
        <w:ind w:firstLineChars="0" w:firstLine="0"/>
        <w:rPr>
          <w:color w:val="000000"/>
        </w:rPr>
      </w:pPr>
      <w:r>
        <w:rPr>
          <w:color w:val="000000"/>
        </w:rPr>
        <w:t>CNE</w:t>
      </w:r>
      <w:r>
        <w:rPr>
          <w:color w:val="000000"/>
        </w:rPr>
        <w:tab/>
      </w:r>
      <w:r>
        <w:rPr>
          <w:rFonts w:hint="eastAsia"/>
          <w:color w:val="000000"/>
        </w:rPr>
        <w:t>全国选举委员会</w:t>
      </w:r>
    </w:p>
    <w:p w:rsidR="00692915" w:rsidRDefault="00692915">
      <w:pPr>
        <w:tabs>
          <w:tab w:val="left" w:pos="1560"/>
        </w:tabs>
        <w:ind w:firstLineChars="0" w:firstLine="0"/>
        <w:rPr>
          <w:color w:val="000000"/>
        </w:rPr>
      </w:pPr>
      <w:r>
        <w:rPr>
          <w:color w:val="000000"/>
        </w:rPr>
        <w:t>CNRT</w:t>
      </w:r>
      <w:r>
        <w:rPr>
          <w:color w:val="000000"/>
        </w:rPr>
        <w:tab/>
      </w:r>
      <w:r>
        <w:rPr>
          <w:rFonts w:hint="eastAsia"/>
          <w:color w:val="000000"/>
        </w:rPr>
        <w:t>帝汶抵抗运动全国委员会</w:t>
      </w:r>
    </w:p>
    <w:p w:rsidR="00692915" w:rsidRDefault="00692915">
      <w:pPr>
        <w:tabs>
          <w:tab w:val="left" w:pos="1560"/>
        </w:tabs>
        <w:ind w:firstLineChars="0" w:firstLine="0"/>
        <w:rPr>
          <w:rFonts w:hint="eastAsia"/>
          <w:color w:val="000000"/>
        </w:rPr>
      </w:pPr>
      <w:r>
        <w:rPr>
          <w:color w:val="000000"/>
        </w:rPr>
        <w:t>CRC</w:t>
      </w:r>
      <w:r>
        <w:rPr>
          <w:color w:val="000000"/>
        </w:rPr>
        <w:tab/>
      </w:r>
      <w:r>
        <w:rPr>
          <w:rFonts w:hint="eastAsia"/>
          <w:color w:val="000000"/>
        </w:rPr>
        <w:t>《儿童权利公约》</w:t>
      </w:r>
    </w:p>
    <w:p w:rsidR="00692915" w:rsidRDefault="00692915">
      <w:pPr>
        <w:tabs>
          <w:tab w:val="left" w:pos="1560"/>
        </w:tabs>
        <w:ind w:firstLineChars="0" w:firstLine="0"/>
        <w:rPr>
          <w:color w:val="000000"/>
        </w:rPr>
      </w:pPr>
      <w:r>
        <w:rPr>
          <w:color w:val="000000"/>
        </w:rPr>
        <w:t>CRDTL</w:t>
      </w:r>
      <w:r>
        <w:rPr>
          <w:color w:val="000000"/>
        </w:rPr>
        <w:tab/>
      </w:r>
      <w:r>
        <w:rPr>
          <w:rFonts w:hint="eastAsia"/>
          <w:color w:val="000000"/>
        </w:rPr>
        <w:t>东帝汶民主共和国宪法</w:t>
      </w:r>
    </w:p>
    <w:p w:rsidR="00692915" w:rsidRDefault="00692915">
      <w:pPr>
        <w:tabs>
          <w:tab w:val="left" w:pos="1560"/>
        </w:tabs>
        <w:ind w:firstLineChars="0" w:firstLine="0"/>
        <w:rPr>
          <w:color w:val="000000"/>
        </w:rPr>
      </w:pPr>
      <w:r>
        <w:rPr>
          <w:color w:val="000000"/>
        </w:rPr>
        <w:t>CTF</w:t>
      </w:r>
      <w:r>
        <w:rPr>
          <w:color w:val="000000"/>
        </w:rPr>
        <w:tab/>
      </w:r>
      <w:r>
        <w:rPr>
          <w:rFonts w:hint="eastAsia"/>
          <w:color w:val="000000"/>
        </w:rPr>
        <w:t>真相与友谊委员会</w:t>
      </w:r>
    </w:p>
    <w:p w:rsidR="00692915" w:rsidRDefault="00692915">
      <w:pPr>
        <w:tabs>
          <w:tab w:val="left" w:pos="1560"/>
        </w:tabs>
        <w:ind w:firstLineChars="0" w:firstLine="0"/>
        <w:rPr>
          <w:color w:val="000000"/>
        </w:rPr>
      </w:pPr>
      <w:r>
        <w:rPr>
          <w:color w:val="000000"/>
        </w:rPr>
        <w:t>DHS</w:t>
      </w:r>
      <w:r>
        <w:rPr>
          <w:color w:val="000000"/>
        </w:rPr>
        <w:tab/>
      </w:r>
      <w:r>
        <w:rPr>
          <w:rFonts w:hint="eastAsia"/>
          <w:color w:val="000000"/>
        </w:rPr>
        <w:t>人口与健康调查</w:t>
      </w:r>
    </w:p>
    <w:p w:rsidR="00692915" w:rsidRDefault="00692915">
      <w:pPr>
        <w:tabs>
          <w:tab w:val="left" w:pos="1560"/>
        </w:tabs>
        <w:ind w:firstLineChars="0" w:firstLine="0"/>
        <w:rPr>
          <w:color w:val="000000"/>
        </w:rPr>
      </w:pPr>
      <w:r>
        <w:rPr>
          <w:color w:val="000000"/>
        </w:rPr>
        <w:t>Falintil</w:t>
      </w:r>
      <w:r>
        <w:rPr>
          <w:color w:val="000000"/>
        </w:rPr>
        <w:tab/>
      </w:r>
      <w:r>
        <w:rPr>
          <w:rFonts w:hint="eastAsia"/>
          <w:color w:val="000000"/>
        </w:rPr>
        <w:t>东帝汶民族解放组织武装部队</w:t>
      </w:r>
    </w:p>
    <w:p w:rsidR="00692915" w:rsidRDefault="00692915">
      <w:pPr>
        <w:tabs>
          <w:tab w:val="left" w:pos="1560"/>
        </w:tabs>
        <w:ind w:firstLineChars="0" w:firstLine="0"/>
        <w:rPr>
          <w:color w:val="000000"/>
        </w:rPr>
      </w:pPr>
      <w:r>
        <w:rPr>
          <w:color w:val="000000"/>
        </w:rPr>
        <w:t>FAO</w:t>
      </w:r>
      <w:r>
        <w:rPr>
          <w:color w:val="000000"/>
        </w:rPr>
        <w:tab/>
      </w:r>
      <w:r>
        <w:rPr>
          <w:rFonts w:hint="eastAsia"/>
          <w:color w:val="000000"/>
        </w:rPr>
        <w:t>联合国粮食及农业组织</w:t>
      </w:r>
      <w:r>
        <w:rPr>
          <w:rFonts w:hint="eastAsia"/>
          <w:color w:val="000000"/>
        </w:rPr>
        <w:t xml:space="preserve"> </w:t>
      </w:r>
    </w:p>
    <w:p w:rsidR="00692915" w:rsidRDefault="00692915">
      <w:pPr>
        <w:tabs>
          <w:tab w:val="left" w:pos="1560"/>
        </w:tabs>
        <w:ind w:firstLineChars="0" w:firstLine="0"/>
        <w:rPr>
          <w:color w:val="000000"/>
        </w:rPr>
      </w:pPr>
      <w:r>
        <w:rPr>
          <w:color w:val="000000"/>
        </w:rPr>
        <w:t>F-FDTL</w:t>
      </w:r>
      <w:r>
        <w:rPr>
          <w:color w:val="000000"/>
        </w:rPr>
        <w:tab/>
      </w:r>
      <w:r>
        <w:rPr>
          <w:rFonts w:hint="eastAsia"/>
          <w:color w:val="000000"/>
        </w:rPr>
        <w:t>东帝汶武装部队</w:t>
      </w:r>
    </w:p>
    <w:p w:rsidR="00692915" w:rsidRDefault="00692915">
      <w:pPr>
        <w:tabs>
          <w:tab w:val="left" w:pos="1560"/>
        </w:tabs>
        <w:ind w:firstLineChars="0" w:firstLine="0"/>
        <w:rPr>
          <w:color w:val="000000"/>
        </w:rPr>
      </w:pPr>
      <w:r>
        <w:rPr>
          <w:color w:val="000000"/>
        </w:rPr>
        <w:t>FRETILIN</w:t>
      </w:r>
      <w:r>
        <w:rPr>
          <w:color w:val="000000"/>
        </w:rPr>
        <w:tab/>
      </w:r>
      <w:r>
        <w:rPr>
          <w:rFonts w:hint="eastAsia"/>
          <w:color w:val="000000"/>
        </w:rPr>
        <w:t>东帝汶独立革命阵线</w:t>
      </w:r>
      <w:r>
        <w:rPr>
          <w:rFonts w:hint="eastAsia"/>
          <w:color w:val="000000"/>
        </w:rPr>
        <w:t xml:space="preserve"> </w:t>
      </w:r>
    </w:p>
    <w:p w:rsidR="00692915" w:rsidRDefault="00692915">
      <w:pPr>
        <w:tabs>
          <w:tab w:val="left" w:pos="1560"/>
        </w:tabs>
        <w:ind w:firstLineChars="0" w:firstLine="0"/>
        <w:rPr>
          <w:color w:val="000000"/>
        </w:rPr>
      </w:pPr>
      <w:r>
        <w:rPr>
          <w:color w:val="000000"/>
        </w:rPr>
        <w:t>GADH</w:t>
      </w:r>
      <w:r>
        <w:rPr>
          <w:color w:val="000000"/>
        </w:rPr>
        <w:tab/>
      </w:r>
      <w:r>
        <w:rPr>
          <w:rFonts w:hint="eastAsia"/>
          <w:color w:val="000000"/>
        </w:rPr>
        <w:t>人权事务总理顾问办公室</w:t>
      </w:r>
    </w:p>
    <w:p w:rsidR="00692915" w:rsidRDefault="00692915">
      <w:pPr>
        <w:tabs>
          <w:tab w:val="left" w:pos="1560"/>
        </w:tabs>
        <w:ind w:firstLineChars="0" w:firstLine="0"/>
        <w:rPr>
          <w:rFonts w:hint="eastAsia"/>
          <w:color w:val="000000"/>
        </w:rPr>
      </w:pPr>
      <w:r>
        <w:rPr>
          <w:color w:val="000000"/>
        </w:rPr>
        <w:t>HRU</w:t>
      </w:r>
      <w:r>
        <w:rPr>
          <w:color w:val="000000"/>
        </w:rPr>
        <w:tab/>
      </w:r>
      <w:r>
        <w:rPr>
          <w:rFonts w:hint="eastAsia"/>
          <w:color w:val="000000"/>
        </w:rPr>
        <w:t>人权股</w:t>
      </w:r>
    </w:p>
    <w:p w:rsidR="00692915" w:rsidRDefault="00692915">
      <w:pPr>
        <w:tabs>
          <w:tab w:val="left" w:pos="1560"/>
        </w:tabs>
        <w:ind w:firstLineChars="0" w:firstLine="0"/>
        <w:rPr>
          <w:rFonts w:hint="eastAsia"/>
          <w:color w:val="000000"/>
        </w:rPr>
      </w:pPr>
      <w:r>
        <w:rPr>
          <w:color w:val="000000"/>
        </w:rPr>
        <w:t>ICCPR</w:t>
      </w:r>
      <w:r>
        <w:rPr>
          <w:color w:val="000000"/>
        </w:rPr>
        <w:tab/>
      </w:r>
      <w:r>
        <w:rPr>
          <w:rFonts w:hint="eastAsia"/>
          <w:color w:val="000000"/>
        </w:rPr>
        <w:t>《公民及政治权利国际公约》</w:t>
      </w:r>
      <w:r>
        <w:rPr>
          <w:rFonts w:hint="eastAsia"/>
          <w:color w:val="000000"/>
        </w:rPr>
        <w:t xml:space="preserve"> </w:t>
      </w:r>
    </w:p>
    <w:p w:rsidR="00692915" w:rsidRDefault="00692915">
      <w:pPr>
        <w:tabs>
          <w:tab w:val="left" w:pos="1560"/>
        </w:tabs>
        <w:ind w:firstLineChars="0" w:firstLine="0"/>
        <w:rPr>
          <w:color w:val="000000"/>
        </w:rPr>
      </w:pPr>
      <w:r>
        <w:rPr>
          <w:color w:val="000000"/>
        </w:rPr>
        <w:t>ICESCR</w:t>
      </w:r>
      <w:r>
        <w:rPr>
          <w:color w:val="000000"/>
        </w:rPr>
        <w:tab/>
      </w:r>
      <w:r>
        <w:rPr>
          <w:rFonts w:hint="eastAsia"/>
          <w:color w:val="000000"/>
        </w:rPr>
        <w:t>《经济、社会、文化权利国际公约》</w:t>
      </w:r>
    </w:p>
    <w:p w:rsidR="00692915" w:rsidRDefault="00692915">
      <w:pPr>
        <w:tabs>
          <w:tab w:val="left" w:pos="1560"/>
        </w:tabs>
        <w:ind w:firstLineChars="0" w:firstLine="0"/>
        <w:rPr>
          <w:color w:val="000000"/>
        </w:rPr>
      </w:pPr>
      <w:r>
        <w:rPr>
          <w:color w:val="000000"/>
        </w:rPr>
        <w:t>ILO</w:t>
      </w:r>
      <w:r>
        <w:rPr>
          <w:color w:val="000000"/>
        </w:rPr>
        <w:tab/>
      </w:r>
      <w:r>
        <w:rPr>
          <w:rFonts w:hint="eastAsia"/>
          <w:color w:val="000000"/>
        </w:rPr>
        <w:t>国际劳工组织</w:t>
      </w:r>
      <w:r>
        <w:rPr>
          <w:rFonts w:hint="eastAsia"/>
          <w:color w:val="000000"/>
        </w:rPr>
        <w:t xml:space="preserve"> </w:t>
      </w:r>
    </w:p>
    <w:p w:rsidR="00692915" w:rsidRDefault="00692915">
      <w:pPr>
        <w:tabs>
          <w:tab w:val="left" w:pos="1560"/>
        </w:tabs>
        <w:ind w:firstLineChars="0" w:firstLine="0"/>
        <w:rPr>
          <w:color w:val="000000"/>
        </w:rPr>
      </w:pPr>
      <w:r>
        <w:rPr>
          <w:color w:val="000000"/>
        </w:rPr>
        <w:t>IOM</w:t>
      </w:r>
      <w:r>
        <w:rPr>
          <w:color w:val="000000"/>
        </w:rPr>
        <w:tab/>
      </w:r>
      <w:r>
        <w:rPr>
          <w:rFonts w:hint="eastAsia"/>
          <w:color w:val="000000"/>
        </w:rPr>
        <w:t>国际移民组织</w:t>
      </w:r>
    </w:p>
    <w:p w:rsidR="00692915" w:rsidRDefault="00692915">
      <w:pPr>
        <w:tabs>
          <w:tab w:val="left" w:pos="1560"/>
        </w:tabs>
        <w:ind w:firstLineChars="0" w:firstLine="0"/>
        <w:rPr>
          <w:color w:val="000000"/>
        </w:rPr>
      </w:pPr>
      <w:r>
        <w:rPr>
          <w:color w:val="000000"/>
        </w:rPr>
        <w:t>IRC</w:t>
      </w:r>
      <w:r>
        <w:rPr>
          <w:color w:val="000000"/>
        </w:rPr>
        <w:tab/>
      </w:r>
      <w:r>
        <w:rPr>
          <w:rFonts w:hint="eastAsia"/>
          <w:color w:val="000000"/>
        </w:rPr>
        <w:t>国际援救委员会</w:t>
      </w:r>
    </w:p>
    <w:p w:rsidR="00692915" w:rsidRDefault="00692915">
      <w:pPr>
        <w:tabs>
          <w:tab w:val="left" w:pos="1560"/>
        </w:tabs>
        <w:ind w:firstLineChars="0" w:firstLine="0"/>
        <w:rPr>
          <w:rFonts w:hint="eastAsia"/>
          <w:color w:val="000000"/>
        </w:rPr>
      </w:pPr>
      <w:r>
        <w:rPr>
          <w:color w:val="000000"/>
        </w:rPr>
        <w:t>JSMP</w:t>
      </w:r>
      <w:r>
        <w:rPr>
          <w:color w:val="000000"/>
        </w:rPr>
        <w:tab/>
      </w:r>
      <w:r>
        <w:rPr>
          <w:rFonts w:hint="eastAsia"/>
          <w:color w:val="000000"/>
        </w:rPr>
        <w:t>司法系统监测方案</w:t>
      </w:r>
    </w:p>
    <w:p w:rsidR="00692915" w:rsidRDefault="00692915">
      <w:pPr>
        <w:tabs>
          <w:tab w:val="left" w:pos="1560"/>
        </w:tabs>
        <w:ind w:firstLineChars="0" w:firstLine="0"/>
        <w:rPr>
          <w:color w:val="000000"/>
        </w:rPr>
      </w:pPr>
      <w:r>
        <w:rPr>
          <w:color w:val="000000"/>
        </w:rPr>
        <w:t>JTC</w:t>
      </w:r>
      <w:r>
        <w:rPr>
          <w:color w:val="000000"/>
        </w:rPr>
        <w:tab/>
      </w:r>
      <w:r>
        <w:rPr>
          <w:rFonts w:hint="eastAsia"/>
          <w:color w:val="000000"/>
        </w:rPr>
        <w:t>司法培训中心</w:t>
      </w:r>
    </w:p>
    <w:p w:rsidR="00692915" w:rsidRDefault="00692915">
      <w:pPr>
        <w:tabs>
          <w:tab w:val="left" w:pos="1560"/>
        </w:tabs>
        <w:ind w:firstLineChars="0" w:firstLine="0"/>
        <w:rPr>
          <w:rFonts w:hint="eastAsia"/>
          <w:color w:val="000000"/>
        </w:rPr>
      </w:pPr>
      <w:r>
        <w:rPr>
          <w:color w:val="000000"/>
        </w:rPr>
        <w:t>MDG</w:t>
      </w:r>
      <w:r>
        <w:rPr>
          <w:color w:val="000000"/>
        </w:rPr>
        <w:tab/>
      </w:r>
      <w:r>
        <w:rPr>
          <w:rFonts w:hint="eastAsia"/>
          <w:color w:val="000000"/>
        </w:rPr>
        <w:t>千年发展目标</w:t>
      </w:r>
    </w:p>
    <w:p w:rsidR="00692915" w:rsidRDefault="00692915">
      <w:pPr>
        <w:tabs>
          <w:tab w:val="left" w:pos="1560"/>
        </w:tabs>
        <w:ind w:firstLineChars="0" w:firstLine="0"/>
        <w:rPr>
          <w:color w:val="000000"/>
        </w:rPr>
      </w:pPr>
      <w:r>
        <w:rPr>
          <w:color w:val="000000"/>
        </w:rPr>
        <w:t>MICS</w:t>
      </w:r>
      <w:r>
        <w:rPr>
          <w:color w:val="000000"/>
        </w:rPr>
        <w:tab/>
      </w:r>
      <w:r>
        <w:rPr>
          <w:rFonts w:hint="eastAsia"/>
          <w:color w:val="000000"/>
        </w:rPr>
        <w:t>多指标类集调查</w:t>
      </w:r>
    </w:p>
    <w:p w:rsidR="00692915" w:rsidRDefault="00692915">
      <w:pPr>
        <w:tabs>
          <w:tab w:val="left" w:pos="1560"/>
        </w:tabs>
        <w:ind w:firstLineChars="0" w:firstLine="0"/>
        <w:rPr>
          <w:color w:val="000000"/>
        </w:rPr>
      </w:pPr>
      <w:r>
        <w:rPr>
          <w:color w:val="000000"/>
        </w:rPr>
        <w:t>NDP</w:t>
      </w:r>
      <w:r>
        <w:rPr>
          <w:color w:val="000000"/>
        </w:rPr>
        <w:tab/>
      </w:r>
      <w:r>
        <w:rPr>
          <w:rFonts w:hint="eastAsia"/>
          <w:color w:val="000000"/>
        </w:rPr>
        <w:t>国家发展计划</w:t>
      </w:r>
    </w:p>
    <w:p w:rsidR="00692915" w:rsidRDefault="00692915">
      <w:pPr>
        <w:tabs>
          <w:tab w:val="left" w:pos="1560"/>
        </w:tabs>
        <w:ind w:firstLineChars="0" w:firstLine="0"/>
        <w:rPr>
          <w:color w:val="000000"/>
        </w:rPr>
      </w:pPr>
      <w:r>
        <w:rPr>
          <w:color w:val="000000"/>
        </w:rPr>
        <w:t>NDPEAC</w:t>
      </w:r>
      <w:r>
        <w:rPr>
          <w:color w:val="000000"/>
        </w:rPr>
        <w:tab/>
      </w:r>
      <w:r>
        <w:rPr>
          <w:rFonts w:hint="eastAsia"/>
          <w:color w:val="000000"/>
        </w:rPr>
        <w:t>国家外部援助规划和协调管理局</w:t>
      </w:r>
    </w:p>
    <w:p w:rsidR="00692915" w:rsidRDefault="00692915">
      <w:pPr>
        <w:tabs>
          <w:tab w:val="left" w:pos="1560"/>
        </w:tabs>
        <w:ind w:firstLineChars="0" w:firstLine="0"/>
        <w:rPr>
          <w:rFonts w:hint="eastAsia"/>
          <w:color w:val="000000"/>
        </w:rPr>
      </w:pPr>
      <w:r>
        <w:rPr>
          <w:color w:val="000000"/>
        </w:rPr>
        <w:t>NDSS</w:t>
      </w:r>
      <w:r>
        <w:rPr>
          <w:color w:val="000000"/>
        </w:rPr>
        <w:tab/>
      </w:r>
      <w:r>
        <w:rPr>
          <w:rFonts w:hint="eastAsia"/>
          <w:color w:val="000000"/>
        </w:rPr>
        <w:t>国家社会服务司</w:t>
      </w:r>
    </w:p>
    <w:p w:rsidR="00692915" w:rsidRDefault="00692915">
      <w:pPr>
        <w:tabs>
          <w:tab w:val="left" w:pos="1560"/>
        </w:tabs>
        <w:ind w:firstLineChars="0" w:firstLine="0"/>
        <w:rPr>
          <w:color w:val="000000"/>
        </w:rPr>
      </w:pPr>
      <w:r>
        <w:rPr>
          <w:color w:val="000000"/>
        </w:rPr>
        <w:t>NGO</w:t>
      </w:r>
      <w:r>
        <w:rPr>
          <w:color w:val="000000"/>
        </w:rPr>
        <w:tab/>
      </w:r>
      <w:r>
        <w:rPr>
          <w:rFonts w:hint="eastAsia"/>
          <w:color w:val="000000"/>
        </w:rPr>
        <w:t>非政府组织</w:t>
      </w:r>
    </w:p>
    <w:p w:rsidR="00692915" w:rsidRDefault="00692915">
      <w:pPr>
        <w:tabs>
          <w:tab w:val="left" w:pos="1560"/>
        </w:tabs>
        <w:ind w:firstLineChars="0" w:firstLine="0"/>
        <w:rPr>
          <w:rFonts w:hint="eastAsia"/>
          <w:color w:val="000000"/>
        </w:rPr>
      </w:pPr>
      <w:r>
        <w:rPr>
          <w:color w:val="000000"/>
        </w:rPr>
        <w:t>NHRAP</w:t>
      </w:r>
      <w:r>
        <w:rPr>
          <w:color w:val="000000"/>
        </w:rPr>
        <w:tab/>
      </w:r>
      <w:r>
        <w:rPr>
          <w:rFonts w:hint="eastAsia"/>
          <w:color w:val="000000"/>
        </w:rPr>
        <w:t>国家人权行动计划</w:t>
      </w:r>
    </w:p>
    <w:p w:rsidR="00692915" w:rsidRDefault="00692915">
      <w:pPr>
        <w:tabs>
          <w:tab w:val="left" w:pos="1560"/>
        </w:tabs>
        <w:ind w:firstLineChars="0" w:firstLine="0"/>
        <w:rPr>
          <w:color w:val="000000"/>
        </w:rPr>
      </w:pPr>
      <w:r>
        <w:rPr>
          <w:color w:val="000000"/>
        </w:rPr>
        <w:t>OHCHR</w:t>
      </w:r>
      <w:r>
        <w:rPr>
          <w:color w:val="000000"/>
        </w:rPr>
        <w:tab/>
      </w:r>
      <w:r>
        <w:rPr>
          <w:rFonts w:hint="eastAsia"/>
          <w:color w:val="000000"/>
        </w:rPr>
        <w:t>联合国人权事务高级专员办事处</w:t>
      </w:r>
      <w:r>
        <w:rPr>
          <w:rFonts w:hint="eastAsia"/>
          <w:color w:val="000000"/>
        </w:rPr>
        <w:t xml:space="preserve"> </w:t>
      </w:r>
    </w:p>
    <w:p w:rsidR="00692915" w:rsidRDefault="00692915">
      <w:pPr>
        <w:tabs>
          <w:tab w:val="left" w:pos="1560"/>
        </w:tabs>
        <w:ind w:firstLineChars="0" w:firstLine="0"/>
        <w:rPr>
          <w:color w:val="000000"/>
        </w:rPr>
      </w:pPr>
      <w:r>
        <w:rPr>
          <w:color w:val="000000"/>
        </w:rPr>
        <w:t>OPE</w:t>
      </w:r>
      <w:r>
        <w:rPr>
          <w:color w:val="000000"/>
        </w:rPr>
        <w:tab/>
      </w:r>
      <w:r>
        <w:rPr>
          <w:rFonts w:hint="eastAsia"/>
          <w:color w:val="000000"/>
        </w:rPr>
        <w:t>促进平等事务总理顾问办公室</w:t>
      </w:r>
    </w:p>
    <w:p w:rsidR="00692915" w:rsidRDefault="00692915">
      <w:pPr>
        <w:tabs>
          <w:tab w:val="left" w:pos="1560"/>
        </w:tabs>
        <w:ind w:firstLineChars="0" w:firstLine="0"/>
        <w:rPr>
          <w:color w:val="000000"/>
        </w:rPr>
      </w:pPr>
      <w:r>
        <w:rPr>
          <w:color w:val="000000"/>
        </w:rPr>
        <w:t>PEO</w:t>
      </w:r>
      <w:r>
        <w:rPr>
          <w:color w:val="000000"/>
        </w:rPr>
        <w:tab/>
      </w:r>
      <w:r>
        <w:rPr>
          <w:rFonts w:hint="eastAsia"/>
          <w:color w:val="000000"/>
        </w:rPr>
        <w:t>职业道德操守办公室</w:t>
      </w:r>
    </w:p>
    <w:p w:rsidR="00692915" w:rsidRDefault="00692915">
      <w:pPr>
        <w:tabs>
          <w:tab w:val="left" w:pos="1560"/>
        </w:tabs>
        <w:ind w:firstLineChars="0" w:firstLine="0"/>
        <w:rPr>
          <w:color w:val="000000"/>
        </w:rPr>
      </w:pPr>
      <w:r>
        <w:rPr>
          <w:color w:val="000000"/>
        </w:rPr>
        <w:t>PNTL</w:t>
      </w:r>
      <w:r>
        <w:rPr>
          <w:color w:val="000000"/>
        </w:rPr>
        <w:tab/>
      </w:r>
      <w:r>
        <w:rPr>
          <w:rFonts w:hint="eastAsia"/>
          <w:color w:val="000000"/>
        </w:rPr>
        <w:t>东帝汶国家警察</w:t>
      </w:r>
    </w:p>
    <w:p w:rsidR="00692915" w:rsidRDefault="00692915">
      <w:pPr>
        <w:tabs>
          <w:tab w:val="left" w:pos="1560"/>
        </w:tabs>
        <w:ind w:firstLineChars="0" w:firstLine="0"/>
        <w:rPr>
          <w:color w:val="000000"/>
        </w:rPr>
      </w:pPr>
      <w:r>
        <w:rPr>
          <w:color w:val="000000"/>
        </w:rPr>
        <w:t>RDTL</w:t>
      </w:r>
      <w:r>
        <w:rPr>
          <w:color w:val="000000"/>
        </w:rPr>
        <w:tab/>
      </w:r>
      <w:r>
        <w:rPr>
          <w:rFonts w:hint="eastAsia"/>
          <w:color w:val="000000"/>
        </w:rPr>
        <w:t>东帝汶民主共和国</w:t>
      </w:r>
    </w:p>
    <w:p w:rsidR="00692915" w:rsidRDefault="00692915">
      <w:pPr>
        <w:tabs>
          <w:tab w:val="left" w:pos="1560"/>
        </w:tabs>
        <w:ind w:firstLineChars="0" w:firstLine="0"/>
        <w:rPr>
          <w:color w:val="000000"/>
        </w:rPr>
      </w:pPr>
      <w:r>
        <w:rPr>
          <w:color w:val="000000"/>
        </w:rPr>
        <w:t>SCJ</w:t>
      </w:r>
      <w:r>
        <w:rPr>
          <w:color w:val="000000"/>
        </w:rPr>
        <w:tab/>
      </w:r>
      <w:r>
        <w:rPr>
          <w:rFonts w:hint="eastAsia"/>
          <w:color w:val="000000"/>
        </w:rPr>
        <w:t>最高司法理事会</w:t>
      </w:r>
    </w:p>
    <w:p w:rsidR="00692915" w:rsidRDefault="00692915">
      <w:pPr>
        <w:tabs>
          <w:tab w:val="left" w:pos="1560"/>
        </w:tabs>
        <w:ind w:firstLineChars="0" w:firstLine="0"/>
        <w:rPr>
          <w:color w:val="000000"/>
        </w:rPr>
      </w:pPr>
      <w:r>
        <w:rPr>
          <w:color w:val="000000"/>
        </w:rPr>
        <w:t>SIP</w:t>
      </w:r>
      <w:r>
        <w:rPr>
          <w:color w:val="000000"/>
        </w:rPr>
        <w:tab/>
      </w:r>
      <w:r>
        <w:rPr>
          <w:rFonts w:hint="eastAsia"/>
          <w:color w:val="000000"/>
        </w:rPr>
        <w:t>部门投资方案</w:t>
      </w:r>
    </w:p>
    <w:p w:rsidR="00692915" w:rsidRDefault="00692915">
      <w:pPr>
        <w:tabs>
          <w:tab w:val="left" w:pos="1560"/>
        </w:tabs>
        <w:ind w:firstLineChars="0" w:firstLine="0"/>
        <w:rPr>
          <w:color w:val="000000"/>
        </w:rPr>
      </w:pPr>
      <w:r>
        <w:rPr>
          <w:color w:val="000000"/>
        </w:rPr>
        <w:t>STI</w:t>
      </w:r>
      <w:r>
        <w:rPr>
          <w:color w:val="000000"/>
        </w:rPr>
        <w:tab/>
      </w:r>
      <w:r>
        <w:rPr>
          <w:rFonts w:hint="eastAsia"/>
          <w:color w:val="000000"/>
        </w:rPr>
        <w:t>性传播感染</w:t>
      </w:r>
    </w:p>
    <w:p w:rsidR="00692915" w:rsidRDefault="00692915">
      <w:pPr>
        <w:tabs>
          <w:tab w:val="left" w:pos="1560"/>
        </w:tabs>
        <w:ind w:firstLineChars="0" w:firstLine="0"/>
        <w:rPr>
          <w:color w:val="000000"/>
        </w:rPr>
      </w:pPr>
      <w:r>
        <w:rPr>
          <w:color w:val="000000"/>
        </w:rPr>
        <w:t>TOT</w:t>
      </w:r>
      <w:r>
        <w:rPr>
          <w:color w:val="000000"/>
        </w:rPr>
        <w:tab/>
      </w:r>
      <w:r>
        <w:rPr>
          <w:rFonts w:hint="eastAsia"/>
          <w:color w:val="000000"/>
        </w:rPr>
        <w:t>训练培训员</w:t>
      </w:r>
    </w:p>
    <w:p w:rsidR="00692915" w:rsidRDefault="00692915">
      <w:pPr>
        <w:tabs>
          <w:tab w:val="left" w:pos="1560"/>
        </w:tabs>
        <w:ind w:firstLineChars="0" w:firstLine="0"/>
        <w:rPr>
          <w:color w:val="000000"/>
        </w:rPr>
      </w:pPr>
      <w:r>
        <w:rPr>
          <w:color w:val="000000"/>
        </w:rPr>
        <w:t>UNDP</w:t>
      </w:r>
      <w:r>
        <w:rPr>
          <w:color w:val="000000"/>
        </w:rPr>
        <w:tab/>
      </w:r>
      <w:r>
        <w:rPr>
          <w:rFonts w:hint="eastAsia"/>
          <w:color w:val="000000"/>
        </w:rPr>
        <w:t>联合国开发计划署</w:t>
      </w:r>
      <w:r>
        <w:rPr>
          <w:rFonts w:hint="eastAsia"/>
          <w:color w:val="000000"/>
        </w:rPr>
        <w:t xml:space="preserve"> </w:t>
      </w:r>
    </w:p>
    <w:p w:rsidR="00692915" w:rsidRDefault="00692915">
      <w:pPr>
        <w:tabs>
          <w:tab w:val="left" w:pos="1560"/>
        </w:tabs>
        <w:ind w:firstLineChars="0" w:firstLine="0"/>
        <w:rPr>
          <w:color w:val="000000"/>
        </w:rPr>
      </w:pPr>
      <w:r>
        <w:rPr>
          <w:color w:val="000000"/>
        </w:rPr>
        <w:t>UNFPA</w:t>
      </w:r>
      <w:r>
        <w:rPr>
          <w:color w:val="000000"/>
        </w:rPr>
        <w:tab/>
      </w:r>
      <w:r>
        <w:rPr>
          <w:rFonts w:hint="eastAsia"/>
          <w:color w:val="000000"/>
        </w:rPr>
        <w:t>联合国人口基金</w:t>
      </w:r>
      <w:r>
        <w:rPr>
          <w:rFonts w:hint="eastAsia"/>
          <w:color w:val="000000"/>
        </w:rPr>
        <w:t xml:space="preserve"> </w:t>
      </w:r>
    </w:p>
    <w:p w:rsidR="00692915" w:rsidRDefault="00692915">
      <w:pPr>
        <w:tabs>
          <w:tab w:val="left" w:pos="1560"/>
        </w:tabs>
        <w:ind w:firstLineChars="0" w:firstLine="0"/>
        <w:rPr>
          <w:color w:val="000000"/>
        </w:rPr>
      </w:pPr>
      <w:r>
        <w:rPr>
          <w:color w:val="000000"/>
        </w:rPr>
        <w:t>UNHCR</w:t>
      </w:r>
      <w:r>
        <w:rPr>
          <w:color w:val="000000"/>
        </w:rPr>
        <w:tab/>
      </w:r>
      <w:r>
        <w:rPr>
          <w:rFonts w:hint="eastAsia"/>
          <w:color w:val="000000"/>
        </w:rPr>
        <w:t>联合国难民事务高级专员办事处</w:t>
      </w:r>
      <w:r>
        <w:rPr>
          <w:rFonts w:hint="eastAsia"/>
          <w:color w:val="000000"/>
        </w:rPr>
        <w:t xml:space="preserve"> </w:t>
      </w:r>
    </w:p>
    <w:p w:rsidR="00692915" w:rsidRDefault="00692915">
      <w:pPr>
        <w:tabs>
          <w:tab w:val="left" w:pos="1560"/>
        </w:tabs>
        <w:ind w:firstLineChars="0" w:firstLine="0"/>
        <w:rPr>
          <w:color w:val="000000"/>
        </w:rPr>
      </w:pPr>
      <w:r>
        <w:rPr>
          <w:color w:val="000000"/>
        </w:rPr>
        <w:t>UNICEF</w:t>
      </w:r>
      <w:r>
        <w:rPr>
          <w:color w:val="000000"/>
        </w:rPr>
        <w:tab/>
      </w:r>
      <w:r>
        <w:rPr>
          <w:rFonts w:hint="eastAsia"/>
          <w:color w:val="000000"/>
        </w:rPr>
        <w:t>联合国儿童基金会</w:t>
      </w:r>
      <w:r>
        <w:rPr>
          <w:rFonts w:hint="eastAsia"/>
          <w:color w:val="000000"/>
        </w:rPr>
        <w:t xml:space="preserve"> </w:t>
      </w:r>
    </w:p>
    <w:p w:rsidR="00692915" w:rsidRDefault="00692915">
      <w:pPr>
        <w:tabs>
          <w:tab w:val="left" w:pos="1560"/>
        </w:tabs>
        <w:ind w:firstLineChars="0" w:firstLine="0"/>
        <w:rPr>
          <w:color w:val="000000"/>
        </w:rPr>
      </w:pPr>
      <w:r>
        <w:rPr>
          <w:color w:val="000000"/>
        </w:rPr>
        <w:t>UNIFEM</w:t>
      </w:r>
      <w:r>
        <w:rPr>
          <w:color w:val="000000"/>
        </w:rPr>
        <w:tab/>
      </w:r>
      <w:r>
        <w:rPr>
          <w:rFonts w:hint="eastAsia"/>
          <w:color w:val="000000"/>
        </w:rPr>
        <w:t>联合国妇女发展基金</w:t>
      </w:r>
      <w:r>
        <w:rPr>
          <w:rFonts w:hint="eastAsia"/>
          <w:color w:val="000000"/>
        </w:rPr>
        <w:t xml:space="preserve"> </w:t>
      </w:r>
    </w:p>
    <w:p w:rsidR="00692915" w:rsidRDefault="00692915">
      <w:pPr>
        <w:tabs>
          <w:tab w:val="left" w:pos="1560"/>
        </w:tabs>
        <w:ind w:firstLineChars="0" w:firstLine="0"/>
        <w:rPr>
          <w:color w:val="000000"/>
        </w:rPr>
      </w:pPr>
      <w:r>
        <w:rPr>
          <w:color w:val="000000"/>
        </w:rPr>
        <w:t>UNMISET</w:t>
      </w:r>
      <w:r>
        <w:rPr>
          <w:color w:val="000000"/>
        </w:rPr>
        <w:tab/>
      </w:r>
      <w:r>
        <w:rPr>
          <w:rFonts w:hint="eastAsia"/>
          <w:color w:val="000000"/>
        </w:rPr>
        <w:t>联合国东帝汶支助团</w:t>
      </w:r>
      <w:r>
        <w:rPr>
          <w:rFonts w:hint="eastAsia"/>
          <w:color w:val="000000"/>
        </w:rPr>
        <w:t xml:space="preserve"> </w:t>
      </w:r>
    </w:p>
    <w:p w:rsidR="00692915" w:rsidRDefault="00692915">
      <w:pPr>
        <w:tabs>
          <w:tab w:val="left" w:pos="1560"/>
        </w:tabs>
        <w:ind w:firstLineChars="0" w:firstLine="0"/>
        <w:rPr>
          <w:color w:val="000000"/>
        </w:rPr>
      </w:pPr>
      <w:r>
        <w:rPr>
          <w:color w:val="000000"/>
        </w:rPr>
        <w:t>UNOTIL</w:t>
      </w:r>
      <w:r>
        <w:rPr>
          <w:color w:val="000000"/>
        </w:rPr>
        <w:tab/>
      </w:r>
      <w:r>
        <w:rPr>
          <w:rFonts w:hint="eastAsia"/>
          <w:color w:val="000000"/>
        </w:rPr>
        <w:t>联合国东帝汶办事处</w:t>
      </w:r>
    </w:p>
    <w:p w:rsidR="00692915" w:rsidRDefault="00692915">
      <w:pPr>
        <w:tabs>
          <w:tab w:val="left" w:pos="1560"/>
        </w:tabs>
        <w:ind w:firstLineChars="0" w:firstLine="0"/>
        <w:rPr>
          <w:color w:val="000000"/>
        </w:rPr>
      </w:pPr>
      <w:r>
        <w:rPr>
          <w:color w:val="000000"/>
        </w:rPr>
        <w:t>UNTAET</w:t>
      </w:r>
      <w:r>
        <w:rPr>
          <w:color w:val="000000"/>
        </w:rPr>
        <w:tab/>
      </w:r>
      <w:r>
        <w:rPr>
          <w:rFonts w:hint="eastAsia"/>
          <w:color w:val="000000"/>
        </w:rPr>
        <w:t>联合国东帝汶过渡行政当局</w:t>
      </w:r>
      <w:r>
        <w:rPr>
          <w:rFonts w:hint="eastAsia"/>
          <w:color w:val="000000"/>
        </w:rPr>
        <w:t xml:space="preserve">  </w:t>
      </w:r>
    </w:p>
    <w:p w:rsidR="00692915" w:rsidRDefault="00692915">
      <w:pPr>
        <w:tabs>
          <w:tab w:val="left" w:pos="1560"/>
        </w:tabs>
        <w:ind w:firstLineChars="0" w:firstLine="0"/>
        <w:rPr>
          <w:color w:val="000000"/>
        </w:rPr>
      </w:pPr>
      <w:r>
        <w:rPr>
          <w:color w:val="000000"/>
        </w:rPr>
        <w:t>VPU</w:t>
      </w:r>
      <w:r>
        <w:rPr>
          <w:color w:val="000000"/>
        </w:rPr>
        <w:tab/>
      </w:r>
      <w:r>
        <w:rPr>
          <w:rFonts w:hint="eastAsia"/>
          <w:color w:val="000000"/>
        </w:rPr>
        <w:t>保护弱势人员股</w:t>
      </w:r>
    </w:p>
    <w:p w:rsidR="00692915" w:rsidRDefault="00692915">
      <w:pPr>
        <w:tabs>
          <w:tab w:val="left" w:pos="1560"/>
        </w:tabs>
        <w:ind w:firstLineChars="0" w:firstLine="0"/>
        <w:rPr>
          <w:color w:val="000000"/>
        </w:rPr>
      </w:pPr>
      <w:r>
        <w:rPr>
          <w:color w:val="000000"/>
        </w:rPr>
        <w:t>WFP</w:t>
      </w:r>
      <w:r>
        <w:rPr>
          <w:color w:val="000000"/>
        </w:rPr>
        <w:tab/>
      </w:r>
      <w:r>
        <w:rPr>
          <w:rFonts w:hint="eastAsia"/>
          <w:color w:val="000000"/>
        </w:rPr>
        <w:t>世界粮食计划署</w:t>
      </w:r>
      <w:r>
        <w:rPr>
          <w:rFonts w:hint="eastAsia"/>
          <w:color w:val="000000"/>
        </w:rPr>
        <w:t xml:space="preserve"> </w:t>
      </w:r>
    </w:p>
    <w:p w:rsidR="00692915" w:rsidRDefault="00692915" w:rsidP="009A1C1B">
      <w:pPr>
        <w:pStyle w:val="Header"/>
        <w:tabs>
          <w:tab w:val="left" w:pos="1440"/>
        </w:tabs>
        <w:spacing w:after="120"/>
        <w:ind w:firstLine="31680"/>
        <w:rPr>
          <w:color w:val="000000"/>
          <w:lang w:eastAsia="zh-CN"/>
        </w:rPr>
      </w:pPr>
    </w:p>
    <w:p w:rsidR="00692915" w:rsidRDefault="00692915">
      <w:pPr>
        <w:pStyle w:val="Heading1"/>
        <w:spacing w:after="240" w:line="336" w:lineRule="auto"/>
        <w:ind w:firstLineChars="0" w:firstLine="0"/>
        <w:rPr>
          <w:rFonts w:eastAsia="SimHei" w:hint="eastAsia"/>
          <w:b w:val="0"/>
          <w:bCs/>
          <w:color w:val="000000"/>
        </w:rPr>
      </w:pPr>
      <w:bookmarkStart w:id="6" w:name="_Toc134777660"/>
      <w:bookmarkStart w:id="7" w:name="_Toc134777888"/>
      <w:bookmarkStart w:id="8" w:name="_Toc135829875"/>
      <w:bookmarkStart w:id="9" w:name="_Toc135833882"/>
      <w:bookmarkStart w:id="10" w:name="_Toc135834099"/>
      <w:bookmarkStart w:id="11" w:name="_Toc150514886"/>
      <w:bookmarkStart w:id="12" w:name="_Toc150684787"/>
      <w:r>
        <w:rPr>
          <w:color w:val="000000"/>
        </w:rPr>
        <w:br w:type="page"/>
      </w:r>
      <w:bookmarkEnd w:id="6"/>
      <w:bookmarkEnd w:id="7"/>
      <w:bookmarkEnd w:id="8"/>
      <w:bookmarkEnd w:id="9"/>
      <w:bookmarkEnd w:id="10"/>
      <w:bookmarkEnd w:id="11"/>
      <w:bookmarkEnd w:id="12"/>
      <w:r>
        <w:rPr>
          <w:rFonts w:eastAsia="SimHei" w:hint="eastAsia"/>
          <w:b w:val="0"/>
          <w:bCs/>
          <w:color w:val="000000"/>
        </w:rPr>
        <w:t>一、有关东帝汶的一般事实及统计资料</w:t>
      </w:r>
    </w:p>
    <w:p w:rsidR="00692915" w:rsidRDefault="00692915">
      <w:pPr>
        <w:pStyle w:val="Heading2"/>
        <w:rPr>
          <w:rFonts w:hint="eastAsia"/>
          <w:bCs/>
          <w:color w:val="000000"/>
          <w:sz w:val="24"/>
          <w:szCs w:val="24"/>
        </w:rPr>
      </w:pPr>
      <w:bookmarkStart w:id="13" w:name="_Toc150514891"/>
      <w:bookmarkStart w:id="14" w:name="_Toc150684792"/>
      <w:r>
        <w:rPr>
          <w:bCs/>
          <w:color w:val="000000"/>
          <w:sz w:val="24"/>
          <w:szCs w:val="24"/>
        </w:rPr>
        <w:t>A.</w:t>
      </w:r>
      <w:r>
        <w:rPr>
          <w:bCs/>
          <w:color w:val="000000"/>
          <w:sz w:val="24"/>
          <w:szCs w:val="24"/>
        </w:rPr>
        <w:tab/>
      </w:r>
      <w:bookmarkEnd w:id="13"/>
      <w:bookmarkEnd w:id="14"/>
      <w:r>
        <w:rPr>
          <w:rFonts w:hint="eastAsia"/>
          <w:bCs/>
          <w:color w:val="000000"/>
          <w:sz w:val="24"/>
          <w:szCs w:val="24"/>
          <w:u w:val="single"/>
        </w:rPr>
        <w:t>人口、经济、社会和文化特征</w:t>
      </w:r>
    </w:p>
    <w:p w:rsidR="00692915" w:rsidRDefault="00692915">
      <w:pPr>
        <w:pStyle w:val="Heading2"/>
        <w:jc w:val="both"/>
        <w:rPr>
          <w:rFonts w:hint="eastAsia"/>
          <w:color w:val="000000"/>
          <w:sz w:val="24"/>
        </w:rPr>
      </w:pPr>
      <w:bookmarkStart w:id="15" w:name="_Toc150514892"/>
      <w:bookmarkStart w:id="16" w:name="_Toc150684793"/>
      <w:r>
        <w:rPr>
          <w:color w:val="000000"/>
          <w:sz w:val="24"/>
        </w:rPr>
        <w:t xml:space="preserve">1.  </w:t>
      </w:r>
      <w:bookmarkEnd w:id="15"/>
      <w:bookmarkEnd w:id="16"/>
      <w:r>
        <w:rPr>
          <w:rFonts w:hint="eastAsia"/>
          <w:color w:val="000000"/>
          <w:sz w:val="24"/>
          <w:u w:val="single"/>
        </w:rPr>
        <w:t>人口概况</w:t>
      </w:r>
    </w:p>
    <w:p w:rsidR="00692915" w:rsidRDefault="00692915" w:rsidP="009A1C1B">
      <w:pPr>
        <w:ind w:firstLine="31680"/>
        <w:rPr>
          <w:rFonts w:hint="eastAsia"/>
          <w:color w:val="000000"/>
        </w:rPr>
      </w:pPr>
      <w:r>
        <w:rPr>
          <w:color w:val="000000"/>
        </w:rPr>
        <w:t>1.</w:t>
      </w:r>
      <w:r>
        <w:rPr>
          <w:color w:val="000000"/>
        </w:rPr>
        <w:tab/>
      </w:r>
      <w:r>
        <w:rPr>
          <w:rFonts w:hint="eastAsia"/>
          <w:color w:val="000000"/>
        </w:rPr>
        <w:t>尽管东帝汶已取得重大成就，但仍是世界上最贫困国家之一。</w:t>
      </w:r>
      <w:r>
        <w:rPr>
          <w:rFonts w:hint="eastAsia"/>
          <w:color w:val="000000"/>
        </w:rPr>
        <w:t>2001</w:t>
      </w:r>
      <w:r>
        <w:rPr>
          <w:rFonts w:hint="eastAsia"/>
          <w:color w:val="000000"/>
        </w:rPr>
        <w:t>年，其</w:t>
      </w:r>
      <w:r>
        <w:rPr>
          <w:rFonts w:hint="eastAsia"/>
          <w:color w:val="000000"/>
        </w:rPr>
        <w:t>40%</w:t>
      </w:r>
      <w:r>
        <w:rPr>
          <w:rFonts w:hint="eastAsia"/>
          <w:color w:val="000000"/>
        </w:rPr>
        <w:t>人口的每日生活费不足</w:t>
      </w:r>
      <w:r>
        <w:rPr>
          <w:rFonts w:hint="eastAsia"/>
          <w:color w:val="000000"/>
        </w:rPr>
        <w:t>1</w:t>
      </w:r>
      <w:r>
        <w:rPr>
          <w:rFonts w:hint="eastAsia"/>
          <w:color w:val="000000"/>
        </w:rPr>
        <w:t>美元，</w:t>
      </w:r>
      <w:r>
        <w:rPr>
          <w:rFonts w:hint="eastAsia"/>
          <w:color w:val="000000"/>
        </w:rPr>
        <w:t>20%</w:t>
      </w:r>
      <w:r>
        <w:rPr>
          <w:rFonts w:hint="eastAsia"/>
          <w:color w:val="000000"/>
        </w:rPr>
        <w:t>人口的收入低于国家贫困线。在一些家庭较大、教育水平较低或收入以农业为主的住户中，贫困程度更为严重。不平等问题很突出，城乡差别尤其明显，不平等问题从东部到西部逐渐加重。</w:t>
      </w:r>
    </w:p>
    <w:p w:rsidR="00692915" w:rsidRDefault="00692915" w:rsidP="009A1C1B">
      <w:pPr>
        <w:ind w:firstLine="31680"/>
        <w:rPr>
          <w:rFonts w:hint="eastAsia"/>
          <w:color w:val="000000"/>
        </w:rPr>
      </w:pPr>
      <w:r>
        <w:rPr>
          <w:color w:val="000000"/>
        </w:rPr>
        <w:t>2.</w:t>
      </w:r>
      <w:r>
        <w:rPr>
          <w:color w:val="000000"/>
        </w:rPr>
        <w:tab/>
      </w:r>
      <w:r>
        <w:rPr>
          <w:rFonts w:hint="eastAsia"/>
          <w:color w:val="000000"/>
        </w:rPr>
        <w:t>东帝汶是个小国，人口将近</w:t>
      </w:r>
      <w:r>
        <w:rPr>
          <w:rFonts w:hint="eastAsia"/>
          <w:color w:val="000000"/>
        </w:rPr>
        <w:t>100</w:t>
      </w:r>
      <w:r>
        <w:rPr>
          <w:rFonts w:hint="eastAsia"/>
          <w:color w:val="000000"/>
        </w:rPr>
        <w:t>万，但人口增长很快，生育率可能位居全球之首。平均预期寿命较短，婴儿死亡率很高，帝力区以外的其他地方尤其如此。医疗服务的利用率低下，学校留级和辍学率很高。</w:t>
      </w:r>
    </w:p>
    <w:p w:rsidR="00692915" w:rsidRDefault="00692915" w:rsidP="009A1C1B">
      <w:pPr>
        <w:spacing w:after="240"/>
        <w:ind w:firstLine="31680"/>
        <w:rPr>
          <w:rFonts w:hint="eastAsia"/>
          <w:color w:val="000000"/>
        </w:rPr>
      </w:pPr>
      <w:r>
        <w:rPr>
          <w:color w:val="000000"/>
        </w:rPr>
        <w:t>3.</w:t>
      </w:r>
      <w:r>
        <w:rPr>
          <w:color w:val="000000"/>
        </w:rPr>
        <w:tab/>
      </w:r>
      <w:r>
        <w:rPr>
          <w:rFonts w:hint="eastAsia"/>
          <w:color w:val="000000"/>
        </w:rPr>
        <w:t>基础设施、机构和管理能力有限，私人部门受到许多法律及其他限制，面临的成本很高。石油生产的增加以及石油价格的上涨使财政支出得以增长，但石油部门大规模增加就业机会的可能性不大，非石油活动的发展将成为增加就业机会的关键。城市贫困人口，尤其是青年的失业压力日益加大，农村贫困人口的粮食缺乏保障，社会和经济基础设施匮乏。国家经济增长很慢，但人口增长很快，在中期内，贫困问题很可能加剧。</w:t>
      </w:r>
    </w:p>
    <w:p w:rsidR="00692915" w:rsidRDefault="00692915">
      <w:pPr>
        <w:pStyle w:val="Heading2"/>
        <w:jc w:val="both"/>
        <w:rPr>
          <w:rFonts w:hint="eastAsia"/>
          <w:color w:val="000000"/>
          <w:sz w:val="24"/>
        </w:rPr>
      </w:pPr>
      <w:bookmarkStart w:id="17" w:name="_Toc150514893"/>
      <w:bookmarkStart w:id="18" w:name="_Toc150684794"/>
      <w:r>
        <w:rPr>
          <w:color w:val="000000"/>
          <w:sz w:val="24"/>
        </w:rPr>
        <w:t xml:space="preserve">2.  </w:t>
      </w:r>
      <w:bookmarkEnd w:id="17"/>
      <w:bookmarkEnd w:id="18"/>
      <w:r>
        <w:rPr>
          <w:rFonts w:hint="eastAsia"/>
          <w:color w:val="000000"/>
          <w:sz w:val="24"/>
          <w:u w:val="single"/>
        </w:rPr>
        <w:t>数据整理</w:t>
      </w:r>
    </w:p>
    <w:p w:rsidR="00692915" w:rsidRDefault="00692915" w:rsidP="009A1C1B">
      <w:pPr>
        <w:ind w:firstLine="31680"/>
        <w:rPr>
          <w:rFonts w:hint="eastAsia"/>
          <w:color w:val="000000"/>
        </w:rPr>
      </w:pPr>
      <w:r>
        <w:rPr>
          <w:color w:val="000000"/>
        </w:rPr>
        <w:t>4.</w:t>
      </w:r>
      <w:r>
        <w:rPr>
          <w:color w:val="000000"/>
        </w:rPr>
        <w:tab/>
      </w:r>
      <w:r>
        <w:rPr>
          <w:rFonts w:hint="eastAsia"/>
          <w:color w:val="000000"/>
        </w:rPr>
        <w:t>为编写政府的初步人权条约报告，需要对数据进行整理，但难度很大，结果令人失望。自</w:t>
      </w:r>
      <w:r>
        <w:rPr>
          <w:rFonts w:hint="eastAsia"/>
          <w:color w:val="000000"/>
        </w:rPr>
        <w:t>2004</w:t>
      </w:r>
      <w:r>
        <w:rPr>
          <w:rFonts w:hint="eastAsia"/>
          <w:color w:val="000000"/>
        </w:rPr>
        <w:t>年人口普查后，可用的数据日益增多，但更具体的人权数据和指标有限。报告小组发现，有些数据即使可用，也缺乏一致性和可靠性，即使是同一指标，不同来源的数据也各不相同。本报告将努力对相互矛盾的统计数据进行调整，但调整的难度很大，因此，读者在解释相关的数据时应慎重。</w:t>
      </w:r>
    </w:p>
    <w:p w:rsidR="00692915" w:rsidRDefault="00692915" w:rsidP="009A1C1B">
      <w:pPr>
        <w:ind w:firstLine="31680"/>
        <w:rPr>
          <w:rFonts w:hint="eastAsia"/>
          <w:color w:val="000000"/>
        </w:rPr>
      </w:pPr>
      <w:r>
        <w:rPr>
          <w:color w:val="000000"/>
        </w:rPr>
        <w:t>5.</w:t>
      </w:r>
      <w:r>
        <w:rPr>
          <w:color w:val="000000"/>
        </w:rPr>
        <w:tab/>
      </w:r>
      <w:r>
        <w:rPr>
          <w:rFonts w:hint="eastAsia"/>
          <w:color w:val="000000"/>
        </w:rPr>
        <w:t>国家统计局（</w:t>
      </w:r>
      <w:r>
        <w:rPr>
          <w:color w:val="000000"/>
        </w:rPr>
        <w:t>NSO</w:t>
      </w:r>
      <w:r>
        <w:rPr>
          <w:rFonts w:hint="eastAsia"/>
          <w:color w:val="000000"/>
        </w:rPr>
        <w:t>）的基本任务是为政府收集数据，但其技术能力有限。正式职员的人数很少，而具有统计学资历的人员更是少之又少。该机构没有用以独立收集数据的预算，主要依靠资助方提供经济技术支持，迄今为止的很多数据收集工作都是由国际机构发起和支持的。所有国际数据收集做法都将能力建设作为一项重要内容。</w:t>
      </w:r>
    </w:p>
    <w:p w:rsidR="00692915" w:rsidRDefault="00692915" w:rsidP="009A1C1B">
      <w:pPr>
        <w:spacing w:after="240"/>
        <w:ind w:firstLine="31680"/>
        <w:rPr>
          <w:rFonts w:hint="eastAsia"/>
          <w:color w:val="000000"/>
        </w:rPr>
      </w:pPr>
      <w:r>
        <w:rPr>
          <w:color w:val="000000"/>
        </w:rPr>
        <w:t>6.</w:t>
      </w:r>
      <w:r>
        <w:rPr>
          <w:color w:val="000000"/>
        </w:rPr>
        <w:tab/>
      </w:r>
      <w:r>
        <w:rPr>
          <w:rFonts w:hint="eastAsia"/>
          <w:color w:val="000000"/>
        </w:rPr>
        <w:t>规划与财政部为国家发展规划确定了一个监测框架，其核心是减贫。该框架要求在确保准确的基础上定期整理和评估统计数据，有鉴于此，规划与财政部与联合国机构正在一起努力开发和实施一个“发展信息系统”，以便对所有发展领域的统计数据进行分类。在过渡期间，对于许多重要的发展层面，尤其是较弱势人群（包括儿童、残疾人和老人），还无法提供与之相关的可靠数据。</w:t>
      </w:r>
    </w:p>
    <w:p w:rsidR="00692915" w:rsidRDefault="00692915">
      <w:pPr>
        <w:pStyle w:val="Heading2"/>
        <w:rPr>
          <w:rFonts w:hint="eastAsia"/>
          <w:color w:val="000000"/>
          <w:sz w:val="24"/>
        </w:rPr>
      </w:pPr>
      <w:bookmarkStart w:id="19" w:name="_Toc150514894"/>
      <w:bookmarkStart w:id="20" w:name="_Toc150684795"/>
      <w:r>
        <w:rPr>
          <w:color w:val="000000"/>
          <w:sz w:val="24"/>
        </w:rPr>
        <w:t xml:space="preserve">B.  </w:t>
      </w:r>
      <w:bookmarkEnd w:id="19"/>
      <w:bookmarkEnd w:id="20"/>
      <w:r>
        <w:rPr>
          <w:rFonts w:hint="eastAsia"/>
          <w:color w:val="000000"/>
          <w:sz w:val="24"/>
          <w:u w:val="single"/>
        </w:rPr>
        <w:t>总体宪法、政治和法律体系</w:t>
      </w:r>
    </w:p>
    <w:p w:rsidR="00692915" w:rsidRDefault="00692915">
      <w:pPr>
        <w:pStyle w:val="Heading2"/>
        <w:jc w:val="both"/>
        <w:rPr>
          <w:rFonts w:hint="eastAsia"/>
          <w:color w:val="000000"/>
          <w:sz w:val="24"/>
        </w:rPr>
      </w:pPr>
      <w:bookmarkStart w:id="21" w:name="_Toc150514895"/>
      <w:bookmarkStart w:id="22" w:name="_Toc150684796"/>
      <w:r>
        <w:rPr>
          <w:color w:val="000000"/>
          <w:sz w:val="24"/>
        </w:rPr>
        <w:t xml:space="preserve">1.  </w:t>
      </w:r>
      <w:bookmarkEnd w:id="21"/>
      <w:bookmarkEnd w:id="22"/>
      <w:r>
        <w:rPr>
          <w:rFonts w:hint="eastAsia"/>
          <w:color w:val="000000"/>
          <w:sz w:val="24"/>
          <w:u w:val="single"/>
        </w:rPr>
        <w:t>政治史</w:t>
      </w:r>
    </w:p>
    <w:p w:rsidR="00692915" w:rsidRDefault="00692915" w:rsidP="009A1C1B">
      <w:pPr>
        <w:spacing w:after="240"/>
        <w:ind w:firstLine="31680"/>
        <w:rPr>
          <w:rFonts w:hint="eastAsia"/>
          <w:color w:val="000000"/>
        </w:rPr>
      </w:pPr>
      <w:r>
        <w:rPr>
          <w:color w:val="000000"/>
        </w:rPr>
        <w:t>7.</w:t>
      </w:r>
      <w:r>
        <w:rPr>
          <w:color w:val="000000"/>
        </w:rPr>
        <w:tab/>
      </w:r>
      <w:r>
        <w:rPr>
          <w:rFonts w:hint="eastAsia"/>
          <w:color w:val="000000"/>
        </w:rPr>
        <w:t>作为一个新独立国家，东帝汶面临很多挑战，如果不了解该国的独特历史，将难以了解这些挑战的艰巨性。东帝汶的历史曲折而复杂，长达数个世纪的殖民统治和占领带来了无处不在的影响，事实上，东帝汶的宪法、政治和法律体系正是这一历史的高度反映。</w:t>
      </w:r>
    </w:p>
    <w:p w:rsidR="00692915" w:rsidRDefault="00692915">
      <w:pPr>
        <w:pStyle w:val="Heading3"/>
        <w:jc w:val="both"/>
        <w:rPr>
          <w:rFonts w:eastAsia="KaiTi_GB2312" w:hint="eastAsia"/>
          <w:color w:val="000000"/>
          <w:u w:val="none"/>
        </w:rPr>
      </w:pPr>
      <w:r>
        <w:rPr>
          <w:rFonts w:eastAsia="KaiTi_GB2312" w:hint="eastAsia"/>
          <w:color w:val="000000"/>
          <w:u w:val="none"/>
        </w:rPr>
        <w:t>葡萄牙殖民统治</w:t>
      </w:r>
    </w:p>
    <w:p w:rsidR="00692915" w:rsidRDefault="00692915" w:rsidP="009A1C1B">
      <w:pPr>
        <w:ind w:firstLine="31680"/>
        <w:rPr>
          <w:rFonts w:hint="eastAsia"/>
          <w:color w:val="000000"/>
        </w:rPr>
      </w:pPr>
      <w:r>
        <w:rPr>
          <w:color w:val="000000"/>
        </w:rPr>
        <w:t>8.</w:t>
      </w:r>
      <w:r>
        <w:rPr>
          <w:color w:val="000000"/>
        </w:rPr>
        <w:tab/>
      </w:r>
      <w:r>
        <w:rPr>
          <w:rFonts w:hint="eastAsia"/>
          <w:color w:val="000000"/>
        </w:rPr>
        <w:t>1515</w:t>
      </w:r>
      <w:r>
        <w:rPr>
          <w:rFonts w:hint="eastAsia"/>
          <w:color w:val="000000"/>
        </w:rPr>
        <w:t>年，葡萄牙商人来到帝汶岛，从此开始了对东帝汶长达</w:t>
      </w:r>
      <w:r>
        <w:rPr>
          <w:rFonts w:hint="eastAsia"/>
          <w:color w:val="000000"/>
        </w:rPr>
        <w:t>4</w:t>
      </w:r>
      <w:r>
        <w:rPr>
          <w:rFonts w:hint="eastAsia"/>
          <w:color w:val="000000"/>
        </w:rPr>
        <w:t>个世纪的殖民统治。葡萄牙人的到来引起了帝汶人的强烈抵抗，全岛境内反抗烽火此起彼伏。反抗者频繁袭击葡萄牙人定居点，</w:t>
      </w:r>
      <w:r>
        <w:rPr>
          <w:rFonts w:hint="eastAsia"/>
          <w:color w:val="000000"/>
        </w:rPr>
        <w:t>19</w:t>
      </w:r>
      <w:r>
        <w:rPr>
          <w:rFonts w:hint="eastAsia"/>
          <w:color w:val="000000"/>
        </w:rPr>
        <w:t>世纪中叶前往帝汶岛旅行的英国人士华莱士由此得出结论认为：“帝汶将长期处于目前这种持续反抗和无政府的状态。”</w:t>
      </w:r>
      <w:r>
        <w:rPr>
          <w:rStyle w:val="FootnoteReference"/>
          <w:color w:val="000000"/>
        </w:rPr>
        <w:t xml:space="preserve"> </w:t>
      </w:r>
      <w:r>
        <w:rPr>
          <w:rStyle w:val="FootnoteReference"/>
          <w:color w:val="000000"/>
        </w:rPr>
        <w:footnoteReference w:id="2"/>
      </w:r>
      <w:r>
        <w:rPr>
          <w:rFonts w:hint="eastAsia"/>
          <w:color w:val="000000"/>
        </w:rPr>
        <w:t>这些都是一些零星的局部反抗，通常不会在全岛蔓延，但正是这些反抗导致了</w:t>
      </w:r>
      <w:r>
        <w:rPr>
          <w:rFonts w:hint="eastAsia"/>
          <w:color w:val="000000"/>
        </w:rPr>
        <w:t>1970</w:t>
      </w:r>
      <w:r>
        <w:rPr>
          <w:rFonts w:hint="eastAsia"/>
          <w:color w:val="000000"/>
        </w:rPr>
        <w:t>年代的民族解放运动。</w:t>
      </w:r>
      <w:r>
        <w:rPr>
          <w:rStyle w:val="FootnoteReference"/>
          <w:color w:val="000000"/>
        </w:rPr>
        <w:footnoteReference w:id="3"/>
      </w:r>
    </w:p>
    <w:p w:rsidR="00692915" w:rsidRDefault="00692915" w:rsidP="009A1C1B">
      <w:pPr>
        <w:ind w:firstLine="31680"/>
        <w:rPr>
          <w:rFonts w:hint="eastAsia"/>
          <w:color w:val="000000"/>
        </w:rPr>
      </w:pPr>
      <w:r>
        <w:rPr>
          <w:color w:val="000000"/>
        </w:rPr>
        <w:t>9.</w:t>
      </w:r>
      <w:r>
        <w:rPr>
          <w:color w:val="000000"/>
        </w:rPr>
        <w:tab/>
      </w:r>
      <w:r>
        <w:rPr>
          <w:rFonts w:hint="eastAsia"/>
          <w:color w:val="000000"/>
        </w:rPr>
        <w:t>葡萄牙殖民政权为维护其在该地区的统治，对当地反抗力量采取了威胁和高压手段，并驱逐了反抗力量领导人。除上述手段外，在此期间，殖民统治者还采取各种手段进行剥削。</w:t>
      </w:r>
      <w:r>
        <w:rPr>
          <w:rFonts w:hint="eastAsia"/>
          <w:color w:val="000000"/>
        </w:rPr>
        <w:t>1960</w:t>
      </w:r>
      <w:r>
        <w:rPr>
          <w:rFonts w:hint="eastAsia"/>
          <w:color w:val="000000"/>
        </w:rPr>
        <w:t>年代，许多国家纷纷对其控制的领地解除殖民统治时，葡萄牙政府依然采取高压政策，维持其殖民统治，包括对东帝汶的统治。他们禁止人们开展政治活动，继续驱逐对殖民统治持批评态度的人，将他们放逐到葡萄牙在非洲的其他殖民地，这种情况一直持续到</w:t>
      </w:r>
      <w:r>
        <w:rPr>
          <w:rFonts w:hint="eastAsia"/>
          <w:color w:val="000000"/>
        </w:rPr>
        <w:t>1970</w:t>
      </w:r>
      <w:r>
        <w:rPr>
          <w:rFonts w:hint="eastAsia"/>
          <w:color w:val="000000"/>
        </w:rPr>
        <w:t>年代初。</w:t>
      </w:r>
    </w:p>
    <w:p w:rsidR="00692915" w:rsidRDefault="00692915" w:rsidP="009A1C1B">
      <w:pPr>
        <w:spacing w:after="240"/>
        <w:ind w:firstLine="31680"/>
        <w:rPr>
          <w:rFonts w:hint="eastAsia"/>
          <w:color w:val="000000"/>
        </w:rPr>
      </w:pPr>
      <w:r>
        <w:rPr>
          <w:rFonts w:hint="eastAsia"/>
          <w:color w:val="000000"/>
        </w:rPr>
        <w:t>10</w:t>
      </w:r>
      <w:r>
        <w:rPr>
          <w:color w:val="000000"/>
        </w:rPr>
        <w:t>.</w:t>
      </w:r>
      <w:r>
        <w:rPr>
          <w:color w:val="000000"/>
        </w:rPr>
        <w:tab/>
      </w:r>
      <w:r>
        <w:rPr>
          <w:rFonts w:hint="eastAsia"/>
          <w:color w:val="000000"/>
        </w:rPr>
        <w:t>在经济上，葡萄牙殖民统治下的东帝汶成为一个不受重视和落后的地区。矿藏和渔业资源未得到任何开发，这是葡萄牙管理无能的表现。每个帝汶成年男子都要交人头税，各乡（</w:t>
      </w:r>
      <w:r>
        <w:rPr>
          <w:i/>
          <w:iCs/>
          <w:color w:val="000000"/>
        </w:rPr>
        <w:t>suco</w:t>
      </w:r>
      <w:r>
        <w:rPr>
          <w:rFonts w:hint="eastAsia"/>
          <w:color w:val="000000"/>
        </w:rPr>
        <w:t>）</w:t>
      </w:r>
      <w:r>
        <w:rPr>
          <w:rStyle w:val="FootnoteReference"/>
          <w:color w:val="000000"/>
        </w:rPr>
        <w:footnoteReference w:id="4"/>
      </w:r>
      <w:r>
        <w:rPr>
          <w:rFonts w:hint="eastAsia"/>
          <w:color w:val="000000"/>
        </w:rPr>
        <w:t>要提供从事体力活的男劳动力。如果不缴纳人头税，通常要遭受严酷体罚，然后被迫前往葡萄牙政府占有的咖啡种植园和其他地方做苦力。</w:t>
      </w:r>
    </w:p>
    <w:p w:rsidR="00692915" w:rsidRDefault="00692915">
      <w:pPr>
        <w:pStyle w:val="Heading3"/>
        <w:jc w:val="both"/>
        <w:rPr>
          <w:rFonts w:eastAsia="KaiTi_GB2312" w:hint="eastAsia"/>
          <w:color w:val="000000"/>
          <w:u w:val="none"/>
        </w:rPr>
      </w:pPr>
      <w:r>
        <w:rPr>
          <w:rFonts w:eastAsia="KaiTi_GB2312" w:hint="eastAsia"/>
          <w:color w:val="000000"/>
          <w:u w:val="none"/>
        </w:rPr>
        <w:t>解除殖民统治</w:t>
      </w:r>
    </w:p>
    <w:p w:rsidR="00692915" w:rsidRDefault="00692915" w:rsidP="009A1C1B">
      <w:pPr>
        <w:ind w:firstLine="31680"/>
        <w:rPr>
          <w:rFonts w:hint="eastAsia"/>
          <w:color w:val="000000"/>
        </w:rPr>
      </w:pPr>
      <w:r>
        <w:rPr>
          <w:color w:val="000000"/>
        </w:rPr>
        <w:t>11.</w:t>
      </w:r>
      <w:r>
        <w:rPr>
          <w:color w:val="000000"/>
        </w:rPr>
        <w:tab/>
      </w:r>
      <w:r>
        <w:rPr>
          <w:rFonts w:hint="eastAsia"/>
          <w:color w:val="000000"/>
        </w:rPr>
        <w:t>1960</w:t>
      </w:r>
      <w:r>
        <w:rPr>
          <w:rFonts w:hint="eastAsia"/>
          <w:color w:val="000000"/>
        </w:rPr>
        <w:t>年代初，葡萄牙政府开始在东帝汶扩大教育规模，造就了一批受过教育的本地精英，</w:t>
      </w:r>
      <w:r>
        <w:rPr>
          <w:rFonts w:hint="eastAsia"/>
          <w:color w:val="000000"/>
        </w:rPr>
        <w:t>1960</w:t>
      </w:r>
      <w:r>
        <w:rPr>
          <w:rFonts w:hint="eastAsia"/>
          <w:color w:val="000000"/>
        </w:rPr>
        <w:t>年代末，帝汶的这些精英继续发起反殖民统治的民族主义运动。但在进行教育政策改革的同时，并没有针对殖民地的归属问题进行政治改革。</w:t>
      </w:r>
      <w:r>
        <w:rPr>
          <w:rFonts w:hint="eastAsia"/>
          <w:color w:val="000000"/>
        </w:rPr>
        <w:t>1974</w:t>
      </w:r>
      <w:r>
        <w:rPr>
          <w:rFonts w:hint="eastAsia"/>
          <w:color w:val="000000"/>
        </w:rPr>
        <w:t>年，葡萄牙国内的“武装部队运动（</w:t>
      </w:r>
      <w:r>
        <w:rPr>
          <w:color w:val="000000"/>
        </w:rPr>
        <w:t>MFA</w:t>
      </w:r>
      <w:r>
        <w:rPr>
          <w:rFonts w:hint="eastAsia"/>
          <w:color w:val="000000"/>
        </w:rPr>
        <w:t>）”发起了一次“</w:t>
      </w:r>
      <w:r>
        <w:rPr>
          <w:rFonts w:ascii="" w:hAnsi="" w:hint="eastAsia"/>
          <w:color w:val="000000"/>
          <w:szCs w:val="18"/>
        </w:rPr>
        <w:t>石竹花革命</w:t>
      </w:r>
      <w:r>
        <w:rPr>
          <w:rFonts w:hint="eastAsia"/>
          <w:color w:val="000000"/>
        </w:rPr>
        <w:t>”，并于</w:t>
      </w:r>
      <w:r>
        <w:rPr>
          <w:rFonts w:hint="eastAsia"/>
          <w:color w:val="000000"/>
        </w:rPr>
        <w:t>1974</w:t>
      </w:r>
      <w:r>
        <w:rPr>
          <w:rFonts w:hint="eastAsia"/>
          <w:color w:val="000000"/>
        </w:rPr>
        <w:t>年</w:t>
      </w:r>
      <w:r>
        <w:rPr>
          <w:rFonts w:hint="eastAsia"/>
          <w:color w:val="000000"/>
        </w:rPr>
        <w:t>4</w:t>
      </w:r>
      <w:r>
        <w:rPr>
          <w:rFonts w:hint="eastAsia"/>
          <w:color w:val="000000"/>
        </w:rPr>
        <w:t>月</w:t>
      </w:r>
      <w:r>
        <w:rPr>
          <w:rFonts w:hint="eastAsia"/>
          <w:color w:val="000000"/>
        </w:rPr>
        <w:t>25</w:t>
      </w:r>
      <w:r>
        <w:rPr>
          <w:rFonts w:hint="eastAsia"/>
          <w:color w:val="000000"/>
        </w:rPr>
        <w:t>日推翻了</w:t>
      </w:r>
      <w:r>
        <w:rPr>
          <w:rFonts w:ascii="Arial" w:hAnsi="Arial" w:cs="Arial" w:hint="eastAsia"/>
          <w:color w:val="000000"/>
        </w:rPr>
        <w:t>卡埃塔诺政权，政治气候自此开始发生了新变化。</w:t>
      </w:r>
    </w:p>
    <w:p w:rsidR="00692915" w:rsidRDefault="00692915" w:rsidP="009A1C1B">
      <w:pPr>
        <w:ind w:firstLine="31680"/>
        <w:rPr>
          <w:rFonts w:hint="eastAsia"/>
          <w:color w:val="000000"/>
        </w:rPr>
      </w:pPr>
      <w:r>
        <w:rPr>
          <w:color w:val="000000"/>
        </w:rPr>
        <w:t>12.</w:t>
      </w:r>
      <w:r>
        <w:rPr>
          <w:color w:val="000000"/>
        </w:rPr>
        <w:tab/>
      </w:r>
      <w:r>
        <w:rPr>
          <w:rFonts w:hint="eastAsia"/>
          <w:color w:val="000000"/>
        </w:rPr>
        <w:t>葡萄牙新政府很快就重申了政府对联合国大会</w:t>
      </w:r>
      <w:r>
        <w:rPr>
          <w:rFonts w:hint="eastAsia"/>
          <w:color w:val="000000"/>
        </w:rPr>
        <w:t>1960</w:t>
      </w:r>
      <w:r>
        <w:rPr>
          <w:rFonts w:hint="eastAsia"/>
          <w:color w:val="000000"/>
        </w:rPr>
        <w:t>年</w:t>
      </w:r>
      <w:r>
        <w:rPr>
          <w:rFonts w:hint="eastAsia"/>
          <w:color w:val="000000"/>
        </w:rPr>
        <w:t>12</w:t>
      </w:r>
      <w:r>
        <w:rPr>
          <w:rFonts w:hint="eastAsia"/>
          <w:color w:val="000000"/>
        </w:rPr>
        <w:t>月</w:t>
      </w:r>
      <w:r>
        <w:rPr>
          <w:rFonts w:hint="eastAsia"/>
          <w:color w:val="000000"/>
        </w:rPr>
        <w:t>14</w:t>
      </w:r>
      <w:r>
        <w:rPr>
          <w:rFonts w:hint="eastAsia"/>
          <w:color w:val="000000"/>
        </w:rPr>
        <w:t>日第</w:t>
      </w:r>
      <w:r>
        <w:rPr>
          <w:color w:val="000000"/>
        </w:rPr>
        <w:t>1514</w:t>
      </w:r>
      <w:r>
        <w:rPr>
          <w:color w:val="000000"/>
        </w:rPr>
        <w:t>（</w:t>
      </w:r>
      <w:r>
        <w:rPr>
          <w:color w:val="000000"/>
        </w:rPr>
        <w:t>XV</w:t>
      </w:r>
      <w:r>
        <w:rPr>
          <w:color w:val="000000"/>
        </w:rPr>
        <w:t>）</w:t>
      </w:r>
      <w:r>
        <w:rPr>
          <w:rFonts w:hint="eastAsia"/>
          <w:color w:val="000000"/>
        </w:rPr>
        <w:t>号决议的承诺，宣布将独立还给殖民地国家和人民，非殖民地化进程由此拉开了序幕。</w:t>
      </w:r>
    </w:p>
    <w:p w:rsidR="00692915" w:rsidRDefault="00692915" w:rsidP="009A1C1B">
      <w:pPr>
        <w:ind w:firstLine="31680"/>
        <w:rPr>
          <w:rFonts w:hint="eastAsia"/>
          <w:color w:val="000000"/>
        </w:rPr>
      </w:pPr>
      <w:r>
        <w:rPr>
          <w:color w:val="000000"/>
        </w:rPr>
        <w:t>13.</w:t>
      </w:r>
      <w:r>
        <w:rPr>
          <w:color w:val="000000"/>
        </w:rPr>
        <w:tab/>
      </w:r>
      <w:r>
        <w:rPr>
          <w:rFonts w:hint="eastAsia"/>
          <w:color w:val="000000"/>
        </w:rPr>
        <w:t>东帝汶局势很快发生变化，当时共有三大阵营的宣言：与葡萄牙联合、独立、与印度尼西亚合并，围绕这三大宣言，各政党纷纷成立起来。</w:t>
      </w:r>
      <w:r>
        <w:rPr>
          <w:rFonts w:hint="eastAsia"/>
          <w:color w:val="000000"/>
        </w:rPr>
        <w:t>1974</w:t>
      </w:r>
      <w:r>
        <w:rPr>
          <w:rFonts w:hint="eastAsia"/>
          <w:color w:val="000000"/>
        </w:rPr>
        <w:t>年</w:t>
      </w:r>
      <w:r>
        <w:rPr>
          <w:rFonts w:hint="eastAsia"/>
          <w:color w:val="000000"/>
        </w:rPr>
        <w:t>5</w:t>
      </w:r>
      <w:r>
        <w:rPr>
          <w:rFonts w:hint="eastAsia"/>
          <w:color w:val="000000"/>
        </w:rPr>
        <w:t>月最大的帝汶民主联盟（</w:t>
      </w:r>
      <w:r>
        <w:rPr>
          <w:rFonts w:hint="eastAsia"/>
          <w:color w:val="000000"/>
        </w:rPr>
        <w:t>UDT</w:t>
      </w:r>
      <w:r>
        <w:rPr>
          <w:rFonts w:hint="eastAsia"/>
          <w:color w:val="000000"/>
        </w:rPr>
        <w:t>）</w:t>
      </w:r>
      <w:r>
        <w:rPr>
          <w:rStyle w:val="FootnoteReference"/>
          <w:color w:val="000000"/>
        </w:rPr>
        <w:footnoteReference w:id="5"/>
      </w:r>
      <w:r>
        <w:rPr>
          <w:rFonts w:hint="eastAsia"/>
          <w:color w:val="000000"/>
        </w:rPr>
        <w:t>和帝汶社会民主协会（</w:t>
      </w:r>
      <w:r>
        <w:rPr>
          <w:rFonts w:hint="eastAsia"/>
          <w:color w:val="000000"/>
        </w:rPr>
        <w:t>ASDT</w:t>
      </w:r>
      <w:r>
        <w:rPr>
          <w:rFonts w:hint="eastAsia"/>
          <w:color w:val="000000"/>
        </w:rPr>
        <w:t>）（后改为东帝汶独立革命阵线（</w:t>
      </w:r>
      <w:r>
        <w:rPr>
          <w:color w:val="000000"/>
        </w:rPr>
        <w:t>Fretilin</w:t>
      </w:r>
      <w:r>
        <w:rPr>
          <w:rFonts w:hint="eastAsia"/>
          <w:color w:val="000000"/>
        </w:rPr>
        <w:t>））</w:t>
      </w:r>
      <w:r>
        <w:rPr>
          <w:rStyle w:val="FootnoteReference"/>
          <w:color w:val="000000"/>
        </w:rPr>
        <w:footnoteReference w:id="6"/>
      </w:r>
      <w:r>
        <w:rPr>
          <w:rFonts w:hint="eastAsia"/>
          <w:color w:val="000000"/>
        </w:rPr>
        <w:t>成立，并于同年后期结盟。随后其他一些小的政党也纷纷成立，包括</w:t>
      </w:r>
      <w:r>
        <w:rPr>
          <w:color w:val="000000"/>
        </w:rPr>
        <w:t>帝汶人民民主协会</w:t>
      </w:r>
      <w:r>
        <w:rPr>
          <w:rFonts w:hint="eastAsia"/>
          <w:color w:val="000000"/>
        </w:rPr>
        <w:t>（</w:t>
      </w:r>
      <w:r>
        <w:rPr>
          <w:color w:val="000000"/>
        </w:rPr>
        <w:t>APODETI</w:t>
      </w:r>
      <w:r>
        <w:rPr>
          <w:rFonts w:hint="eastAsia"/>
          <w:color w:val="000000"/>
        </w:rPr>
        <w:t>）</w:t>
      </w:r>
      <w:r>
        <w:rPr>
          <w:rStyle w:val="FootnoteReference"/>
          <w:color w:val="000000"/>
        </w:rPr>
        <w:footnoteReference w:id="7"/>
      </w:r>
      <w:r>
        <w:rPr>
          <w:rFonts w:hint="eastAsia"/>
          <w:color w:val="000000"/>
        </w:rPr>
        <w:t>、英雄党（</w:t>
      </w:r>
      <w:r>
        <w:rPr>
          <w:color w:val="000000"/>
        </w:rPr>
        <w:t>KOTA</w:t>
      </w:r>
      <w:r>
        <w:rPr>
          <w:rFonts w:hint="eastAsia"/>
          <w:color w:val="000000"/>
        </w:rPr>
        <w:t>）</w:t>
      </w:r>
      <w:r>
        <w:rPr>
          <w:rStyle w:val="FootnoteReference"/>
          <w:color w:val="000000"/>
        </w:rPr>
        <w:footnoteReference w:id="8"/>
      </w:r>
      <w:r>
        <w:rPr>
          <w:rFonts w:hint="eastAsia"/>
          <w:color w:val="000000"/>
        </w:rPr>
        <w:t>、帝汶工党以及东帝汶与澳大利亚融合民主协会</w:t>
      </w:r>
      <w:r>
        <w:rPr>
          <w:color w:val="000000"/>
        </w:rPr>
        <w:t>（</w:t>
      </w:r>
      <w:r>
        <w:rPr>
          <w:color w:val="000000"/>
        </w:rPr>
        <w:t>ADILTA</w:t>
      </w:r>
      <w:r>
        <w:rPr>
          <w:rFonts w:hint="eastAsia"/>
          <w:color w:val="000000"/>
        </w:rPr>
        <w:t>）。</w:t>
      </w:r>
    </w:p>
    <w:p w:rsidR="00692915" w:rsidRDefault="00692915" w:rsidP="009A1C1B">
      <w:pPr>
        <w:ind w:firstLine="31680"/>
        <w:rPr>
          <w:rFonts w:hint="eastAsia"/>
          <w:color w:val="000000"/>
        </w:rPr>
      </w:pPr>
      <w:r>
        <w:rPr>
          <w:color w:val="000000"/>
        </w:rPr>
        <w:t>14.</w:t>
      </w:r>
      <w:r>
        <w:rPr>
          <w:color w:val="000000"/>
        </w:rPr>
        <w:tab/>
      </w:r>
      <w:r>
        <w:rPr>
          <w:rFonts w:hint="eastAsia"/>
          <w:color w:val="000000"/>
        </w:rPr>
        <w:t>1974</w:t>
      </w:r>
      <w:r>
        <w:rPr>
          <w:rFonts w:hint="eastAsia"/>
          <w:color w:val="000000"/>
        </w:rPr>
        <w:t>年</w:t>
      </w:r>
      <w:r>
        <w:rPr>
          <w:rFonts w:hint="eastAsia"/>
          <w:color w:val="000000"/>
        </w:rPr>
        <w:t>7</w:t>
      </w:r>
      <w:r>
        <w:rPr>
          <w:rFonts w:hint="eastAsia"/>
          <w:color w:val="000000"/>
        </w:rPr>
        <w:t>月葡萄牙政府颁布了一部新《宪法》，承认葡萄牙殖民地的自决权，包括选择独立的权利。一年之后，也就是</w:t>
      </w:r>
      <w:r>
        <w:rPr>
          <w:rFonts w:hint="eastAsia"/>
          <w:color w:val="000000"/>
        </w:rPr>
        <w:t>1975</w:t>
      </w:r>
      <w:r>
        <w:rPr>
          <w:rFonts w:hint="eastAsia"/>
          <w:color w:val="000000"/>
        </w:rPr>
        <w:t>年，葡萄牙政府通过了一项法律，允许东帝汶成立过渡政府为东帝汶全民选举做准备，以便最终于</w:t>
      </w:r>
      <w:r>
        <w:rPr>
          <w:rFonts w:hint="eastAsia"/>
          <w:color w:val="000000"/>
        </w:rPr>
        <w:t>1978</w:t>
      </w:r>
      <w:r>
        <w:rPr>
          <w:rFonts w:hint="eastAsia"/>
          <w:color w:val="000000"/>
        </w:rPr>
        <w:t>年结束对东帝汶的殖民统治。</w:t>
      </w:r>
    </w:p>
    <w:p w:rsidR="00692915" w:rsidRDefault="00692915" w:rsidP="009A1C1B">
      <w:pPr>
        <w:ind w:firstLine="31680"/>
        <w:rPr>
          <w:color w:val="000000"/>
        </w:rPr>
      </w:pPr>
      <w:r>
        <w:rPr>
          <w:color w:val="000000"/>
        </w:rPr>
        <w:t>15.</w:t>
      </w:r>
      <w:r>
        <w:rPr>
          <w:color w:val="000000"/>
        </w:rPr>
        <w:tab/>
      </w:r>
      <w:r>
        <w:rPr>
          <w:rFonts w:hint="eastAsia"/>
          <w:color w:val="000000"/>
        </w:rPr>
        <w:t>印度尼西亚政府对解除东帝汶殖民统治的反应令人费解。</w:t>
      </w:r>
      <w:r>
        <w:rPr>
          <w:rFonts w:hint="eastAsia"/>
          <w:color w:val="000000"/>
        </w:rPr>
        <w:t>1974</w:t>
      </w:r>
      <w:r>
        <w:rPr>
          <w:rFonts w:hint="eastAsia"/>
          <w:color w:val="000000"/>
        </w:rPr>
        <w:t>年</w:t>
      </w:r>
      <w:r>
        <w:rPr>
          <w:rFonts w:hint="eastAsia"/>
          <w:color w:val="000000"/>
        </w:rPr>
        <w:t>6</w:t>
      </w:r>
      <w:r>
        <w:rPr>
          <w:rFonts w:hint="eastAsia"/>
          <w:color w:val="000000"/>
        </w:rPr>
        <w:t>月，时任印度尼西亚外交部长的亚当·马利克宣称，印尼将尊重帝汶人民的自决权，印度尼西亚不会觊觎东帝汶的领土。然而，一种旨在破坏安定的所谓“巨蜥行动（</w:t>
      </w:r>
      <w:r>
        <w:rPr>
          <w:i/>
          <w:iCs/>
          <w:color w:val="000000"/>
        </w:rPr>
        <w:t>Operasi Komodo</w:t>
      </w:r>
      <w:r>
        <w:rPr>
          <w:rFonts w:hint="eastAsia"/>
          <w:color w:val="000000"/>
        </w:rPr>
        <w:t>）”却在印尼中央情报协调局（</w:t>
      </w:r>
      <w:r>
        <w:rPr>
          <w:rFonts w:hint="eastAsia"/>
          <w:color w:val="000000"/>
        </w:rPr>
        <w:t>BAKIN</w:t>
      </w:r>
      <w:r>
        <w:rPr>
          <w:rFonts w:hint="eastAsia"/>
          <w:color w:val="000000"/>
        </w:rPr>
        <w:t>）</w:t>
      </w:r>
      <w:r>
        <w:rPr>
          <w:rStyle w:val="FootnoteReference"/>
          <w:color w:val="000000"/>
        </w:rPr>
        <w:footnoteReference w:id="9"/>
      </w:r>
      <w:r>
        <w:rPr>
          <w:rFonts w:hint="eastAsia"/>
          <w:color w:val="000000"/>
        </w:rPr>
        <w:t>的领导下赫然展开。“巨蜥行动”通过反共宣传，散布谣言称东帝汶独立革命阵线密谋发动军事政变，成功瓦解了东帝汶独立革命阵线与帝汶民主联盟之间的联合。</w:t>
      </w:r>
    </w:p>
    <w:p w:rsidR="00692915" w:rsidRDefault="00692915" w:rsidP="009A1C1B">
      <w:pPr>
        <w:ind w:firstLine="31680"/>
        <w:rPr>
          <w:rFonts w:hint="eastAsia"/>
          <w:color w:val="000000"/>
        </w:rPr>
      </w:pPr>
      <w:r>
        <w:rPr>
          <w:color w:val="000000"/>
        </w:rPr>
        <w:t>16.</w:t>
      </w:r>
      <w:r>
        <w:rPr>
          <w:color w:val="000000"/>
        </w:rPr>
        <w:tab/>
      </w:r>
      <w:r>
        <w:rPr>
          <w:rFonts w:hint="eastAsia"/>
          <w:color w:val="000000"/>
        </w:rPr>
        <w:t>由于政治上幼稚，再加上受到雅加达宣传的盅惑，帝汶民主联盟于</w:t>
      </w:r>
      <w:r>
        <w:rPr>
          <w:rFonts w:hint="eastAsia"/>
          <w:color w:val="000000"/>
        </w:rPr>
        <w:t>1975</w:t>
      </w:r>
      <w:r>
        <w:rPr>
          <w:rFonts w:hint="eastAsia"/>
          <w:color w:val="000000"/>
        </w:rPr>
        <w:t>年</w:t>
      </w:r>
      <w:r>
        <w:rPr>
          <w:rFonts w:hint="eastAsia"/>
          <w:color w:val="000000"/>
        </w:rPr>
        <w:t>8</w:t>
      </w:r>
      <w:r>
        <w:rPr>
          <w:rFonts w:hint="eastAsia"/>
          <w:color w:val="000000"/>
        </w:rPr>
        <w:t>月</w:t>
      </w:r>
      <w:r>
        <w:rPr>
          <w:rFonts w:hint="eastAsia"/>
          <w:color w:val="000000"/>
        </w:rPr>
        <w:t>11</w:t>
      </w:r>
      <w:r>
        <w:rPr>
          <w:rFonts w:hint="eastAsia"/>
          <w:color w:val="000000"/>
        </w:rPr>
        <w:t>日发动了推翻葡萄牙统治政府的军事政变。</w:t>
      </w:r>
      <w:r>
        <w:rPr>
          <w:rFonts w:hint="eastAsia"/>
          <w:color w:val="000000"/>
        </w:rPr>
        <w:t>1975</w:t>
      </w:r>
      <w:r>
        <w:rPr>
          <w:rFonts w:hint="eastAsia"/>
          <w:color w:val="000000"/>
        </w:rPr>
        <w:t>年</w:t>
      </w:r>
      <w:r>
        <w:rPr>
          <w:rFonts w:hint="eastAsia"/>
          <w:color w:val="000000"/>
        </w:rPr>
        <w:t>8</w:t>
      </w:r>
      <w:r>
        <w:rPr>
          <w:rFonts w:hint="eastAsia"/>
          <w:color w:val="000000"/>
        </w:rPr>
        <w:t>月</w:t>
      </w:r>
      <w:r>
        <w:rPr>
          <w:rFonts w:hint="eastAsia"/>
          <w:color w:val="000000"/>
        </w:rPr>
        <w:t>20</w:t>
      </w:r>
      <w:r>
        <w:rPr>
          <w:rFonts w:hint="eastAsia"/>
          <w:color w:val="000000"/>
        </w:rPr>
        <w:t>日，东帝汶独立革命阵线随即在葡萄牙军队中帝汶军官的支持下实施报复，将国家拖入内战。暴力行为发生之后，葡萄牙驻东帝汶总督和行政官员终止了非殖民化进程，逃往邻近的阿塔马路岛。葡萄牙政府意识到印度尼西亚即将对东帝汶发动侵略，因此拒绝重新参与非殖民化进程。</w:t>
      </w:r>
    </w:p>
    <w:p w:rsidR="00692915" w:rsidRDefault="00692915" w:rsidP="009A1C1B">
      <w:pPr>
        <w:ind w:firstLine="31680"/>
        <w:rPr>
          <w:rFonts w:hint="eastAsia"/>
          <w:color w:val="000000"/>
        </w:rPr>
      </w:pPr>
      <w:r>
        <w:rPr>
          <w:color w:val="000000"/>
        </w:rPr>
        <w:t>17.</w:t>
      </w:r>
      <w:r>
        <w:rPr>
          <w:color w:val="000000"/>
        </w:rPr>
        <w:tab/>
      </w:r>
      <w:r>
        <w:rPr>
          <w:rFonts w:hint="eastAsia"/>
          <w:color w:val="000000"/>
        </w:rPr>
        <w:t>1975</w:t>
      </w:r>
      <w:r>
        <w:rPr>
          <w:rFonts w:hint="eastAsia"/>
          <w:color w:val="000000"/>
        </w:rPr>
        <w:t>年</w:t>
      </w:r>
      <w:r>
        <w:rPr>
          <w:rFonts w:hint="eastAsia"/>
          <w:color w:val="000000"/>
        </w:rPr>
        <w:t>11</w:t>
      </w:r>
      <w:r>
        <w:rPr>
          <w:rFonts w:hint="eastAsia"/>
          <w:color w:val="000000"/>
        </w:rPr>
        <w:t>月</w:t>
      </w:r>
      <w:r>
        <w:rPr>
          <w:rFonts w:hint="eastAsia"/>
          <w:color w:val="000000"/>
        </w:rPr>
        <w:t>28</w:t>
      </w:r>
      <w:r>
        <w:rPr>
          <w:rFonts w:hint="eastAsia"/>
          <w:color w:val="000000"/>
        </w:rPr>
        <w:t>日，东帝汶独立革命阵线单方面宣布东帝汶独立。东帝汶民主共和国首任总统</w:t>
      </w:r>
      <w:r>
        <w:rPr>
          <w:color w:val="000000"/>
        </w:rPr>
        <w:t>弗朗西斯科</w:t>
      </w:r>
      <w:r>
        <w:rPr>
          <w:rFonts w:hint="eastAsia"/>
          <w:color w:val="000000"/>
        </w:rPr>
        <w:t>·</w:t>
      </w:r>
      <w:r>
        <w:rPr>
          <w:color w:val="000000"/>
        </w:rPr>
        <w:t>沙维尔</w:t>
      </w:r>
      <w:r>
        <w:rPr>
          <w:rFonts w:hint="eastAsia"/>
          <w:color w:val="000000"/>
        </w:rPr>
        <w:t>·</w:t>
      </w:r>
      <w:r>
        <w:rPr>
          <w:color w:val="000000"/>
        </w:rPr>
        <w:t>多</w:t>
      </w:r>
      <w:r>
        <w:rPr>
          <w:rFonts w:hint="eastAsia"/>
          <w:color w:val="000000"/>
        </w:rPr>
        <w:t>·</w:t>
      </w:r>
      <w:r>
        <w:rPr>
          <w:color w:val="000000"/>
        </w:rPr>
        <w:t>阿马拉尔</w:t>
      </w:r>
      <w:r>
        <w:rPr>
          <w:rFonts w:hint="eastAsia"/>
          <w:color w:val="000000"/>
        </w:rPr>
        <w:t>在给葡萄牙政府的电报中明确指出，东帝汶宣布独立是必要的，这不仅因为印度尼西亚对东帝汶的入侵，而且因为葡萄牙政府已无意继续非殖民化进程。但是，为了表示东帝汶与葡萄牙之间的团结关系，东帝汶继续悬挂葡萄牙国旗，没有接管中央政府大楼，甚至连葡萄牙总督的黑色奔驰车都没有动。</w:t>
      </w:r>
    </w:p>
    <w:p w:rsidR="00692915" w:rsidRDefault="00692915" w:rsidP="009A1C1B">
      <w:pPr>
        <w:spacing w:after="240"/>
        <w:ind w:firstLine="31680"/>
        <w:rPr>
          <w:rFonts w:hint="eastAsia"/>
          <w:color w:val="000000"/>
        </w:rPr>
      </w:pPr>
      <w:r>
        <w:rPr>
          <w:color w:val="000000"/>
        </w:rPr>
        <w:t>18.</w:t>
      </w:r>
      <w:r>
        <w:rPr>
          <w:color w:val="000000"/>
        </w:rPr>
        <w:tab/>
      </w:r>
      <w:r>
        <w:rPr>
          <w:rFonts w:hint="eastAsia"/>
          <w:color w:val="000000"/>
          <w:spacing w:val="8"/>
        </w:rPr>
        <w:t>在东帝汶独立革命阵线实际控制全国的短暂期间内，虽然仍悬挂葡萄牙国旗，但国家行政机关得以恢复。据当时参观过东帝汶的几个外国代表团称，由东帝汶独立革命阵线组成的行政机关是“负责与温和的”。</w:t>
      </w:r>
      <w:r>
        <w:rPr>
          <w:rStyle w:val="FootnoteReference"/>
          <w:color w:val="000000"/>
          <w:spacing w:val="8"/>
        </w:rPr>
        <w:footnoteReference w:id="10"/>
      </w:r>
      <w:r>
        <w:rPr>
          <w:rFonts w:hint="eastAsia"/>
          <w:color w:val="000000"/>
          <w:spacing w:val="8"/>
        </w:rPr>
        <w:t>其指导方针与政策纲领就是要重建并发展强有力的社会公正原则，确保社会进步，彻底消灭人剥削人的现象。</w:t>
      </w:r>
      <w:r>
        <w:rPr>
          <w:rStyle w:val="FootnoteReference"/>
          <w:color w:val="000000"/>
          <w:spacing w:val="8"/>
        </w:rPr>
        <w:footnoteReference w:id="11"/>
      </w:r>
      <w:r>
        <w:rPr>
          <w:rFonts w:hint="eastAsia"/>
          <w:color w:val="000000"/>
          <w:spacing w:val="8"/>
        </w:rPr>
        <w:t>东</w:t>
      </w:r>
      <w:r>
        <w:rPr>
          <w:rFonts w:hint="eastAsia"/>
          <w:color w:val="000000"/>
        </w:rPr>
        <w:t>帝汶独立革命阵线在全国范围内对农业、文化、教育和卫生服务四个优先领域制订并实施了以人为本的政策，以争取东帝汶人民的真正独立。具体方案包括：成人扫盲、集体农庄、土地改革、建立合作社及卫生中心。</w:t>
      </w:r>
    </w:p>
    <w:p w:rsidR="00692915" w:rsidRDefault="00692915">
      <w:pPr>
        <w:pStyle w:val="Heading3"/>
        <w:jc w:val="both"/>
        <w:rPr>
          <w:rFonts w:eastAsia="KaiTi_GB2312" w:hint="eastAsia"/>
          <w:color w:val="000000"/>
          <w:u w:val="none"/>
        </w:rPr>
      </w:pPr>
      <w:r>
        <w:rPr>
          <w:rFonts w:eastAsia="KaiTi_GB2312" w:hint="eastAsia"/>
          <w:color w:val="000000"/>
          <w:u w:val="none"/>
        </w:rPr>
        <w:t>印度尼西亚入侵与占领</w:t>
      </w:r>
    </w:p>
    <w:p w:rsidR="00692915" w:rsidRDefault="00692915" w:rsidP="009A1C1B">
      <w:pPr>
        <w:spacing w:before="240"/>
        <w:ind w:firstLine="31680"/>
        <w:rPr>
          <w:rFonts w:hint="eastAsia"/>
          <w:color w:val="000000"/>
        </w:rPr>
      </w:pPr>
      <w:r>
        <w:rPr>
          <w:color w:val="000000"/>
        </w:rPr>
        <w:t>19.</w:t>
      </w:r>
      <w:r>
        <w:rPr>
          <w:color w:val="000000"/>
        </w:rPr>
        <w:tab/>
      </w:r>
      <w:r>
        <w:rPr>
          <w:rFonts w:hint="eastAsia"/>
          <w:color w:val="000000"/>
        </w:rPr>
        <w:t>1975</w:t>
      </w:r>
      <w:r>
        <w:rPr>
          <w:rFonts w:hint="eastAsia"/>
          <w:color w:val="000000"/>
        </w:rPr>
        <w:t>年</w:t>
      </w:r>
      <w:r>
        <w:rPr>
          <w:rFonts w:hint="eastAsia"/>
          <w:color w:val="000000"/>
        </w:rPr>
        <w:t>8</w:t>
      </w:r>
      <w:r>
        <w:rPr>
          <w:rFonts w:hint="eastAsia"/>
          <w:color w:val="000000"/>
        </w:rPr>
        <w:t>月，在东帝汶独立革命阵线的打击下，帝汶民主联盟、</w:t>
      </w:r>
      <w:r>
        <w:rPr>
          <w:color w:val="000000"/>
        </w:rPr>
        <w:t>帝汶人民民主协会</w:t>
      </w:r>
      <w:r>
        <w:rPr>
          <w:rFonts w:hint="eastAsia"/>
          <w:color w:val="000000"/>
        </w:rPr>
        <w:t>、英雄党以及工党领袖纷纷逃往印度尼西亚寻求避难，这给印度尼西亚采取军事行动提供了一个极好机会。需要在印尼吃住的流亡政治领袖被迫签署了一份文件，宣布东帝汶与印度尼西亚合并。该宣言于</w:t>
      </w:r>
      <w:r>
        <w:rPr>
          <w:rFonts w:hint="eastAsia"/>
          <w:color w:val="000000"/>
        </w:rPr>
        <w:t>1975</w:t>
      </w:r>
      <w:r>
        <w:rPr>
          <w:rFonts w:hint="eastAsia"/>
          <w:color w:val="000000"/>
        </w:rPr>
        <w:t>年</w:t>
      </w:r>
      <w:r>
        <w:rPr>
          <w:rFonts w:hint="eastAsia"/>
          <w:color w:val="000000"/>
        </w:rPr>
        <w:t>11</w:t>
      </w:r>
      <w:r>
        <w:rPr>
          <w:rFonts w:hint="eastAsia"/>
          <w:color w:val="000000"/>
        </w:rPr>
        <w:t>月</w:t>
      </w:r>
      <w:r>
        <w:rPr>
          <w:rFonts w:hint="eastAsia"/>
          <w:color w:val="000000"/>
        </w:rPr>
        <w:t>30</w:t>
      </w:r>
      <w:r>
        <w:rPr>
          <w:rFonts w:hint="eastAsia"/>
          <w:color w:val="000000"/>
        </w:rPr>
        <w:t>日在巴利博签署，即所谓的《巴利博宣言》。有些签字者后来透露说，该宣言在印度尼西亚巴厘岛起草，他们是在枪口威逼之下在巴厘岛伯尼达风景大饭店（</w:t>
      </w:r>
      <w:r>
        <w:rPr>
          <w:color w:val="000000"/>
        </w:rPr>
        <w:t>Penida View Hotel</w:t>
      </w:r>
      <w:r>
        <w:rPr>
          <w:rFonts w:hint="eastAsia"/>
          <w:color w:val="000000"/>
        </w:rPr>
        <w:t>）签署的。</w:t>
      </w:r>
    </w:p>
    <w:p w:rsidR="00692915" w:rsidRDefault="00692915" w:rsidP="009A1C1B">
      <w:pPr>
        <w:ind w:firstLine="31680"/>
        <w:rPr>
          <w:rFonts w:hint="eastAsia"/>
          <w:color w:val="000000"/>
        </w:rPr>
      </w:pPr>
      <w:r>
        <w:rPr>
          <w:color w:val="000000"/>
        </w:rPr>
        <w:t>20.</w:t>
      </w:r>
      <w:r>
        <w:rPr>
          <w:color w:val="000000"/>
        </w:rPr>
        <w:tab/>
      </w:r>
      <w:r>
        <w:rPr>
          <w:rFonts w:hint="eastAsia"/>
          <w:color w:val="000000"/>
        </w:rPr>
        <w:t>大约在同一时间，印度尼西亚加强了沿东帝汶边界的军事活动，军队策划了全面入侵东帝汶的“莲花行动”。</w:t>
      </w:r>
      <w:r>
        <w:rPr>
          <w:rFonts w:hint="eastAsia"/>
          <w:color w:val="000000"/>
        </w:rPr>
        <w:t>1975</w:t>
      </w:r>
      <w:r>
        <w:rPr>
          <w:rFonts w:hint="eastAsia"/>
          <w:color w:val="000000"/>
        </w:rPr>
        <w:t>年</w:t>
      </w:r>
      <w:r>
        <w:rPr>
          <w:rFonts w:hint="eastAsia"/>
          <w:color w:val="000000"/>
        </w:rPr>
        <w:t>12</w:t>
      </w:r>
      <w:r>
        <w:rPr>
          <w:rFonts w:hint="eastAsia"/>
          <w:color w:val="000000"/>
        </w:rPr>
        <w:t>月</w:t>
      </w:r>
      <w:r>
        <w:rPr>
          <w:rFonts w:hint="eastAsia"/>
          <w:color w:val="000000"/>
        </w:rPr>
        <w:t>7</w:t>
      </w:r>
      <w:r>
        <w:rPr>
          <w:rFonts w:hint="eastAsia"/>
          <w:color w:val="000000"/>
        </w:rPr>
        <w:t>日，印度尼西亚公然违反帝汶人民的意愿，同时从陆上和海上发动了对东帝汶的入侵。</w:t>
      </w:r>
      <w:r>
        <w:rPr>
          <w:rFonts w:hint="eastAsia"/>
          <w:color w:val="000000"/>
        </w:rPr>
        <w:t>1976</w:t>
      </w:r>
      <w:r>
        <w:rPr>
          <w:rFonts w:hint="eastAsia"/>
          <w:color w:val="000000"/>
        </w:rPr>
        <w:t>年</w:t>
      </w:r>
      <w:r>
        <w:rPr>
          <w:rFonts w:hint="eastAsia"/>
          <w:color w:val="000000"/>
        </w:rPr>
        <w:t>5</w:t>
      </w:r>
      <w:r>
        <w:rPr>
          <w:rFonts w:hint="eastAsia"/>
          <w:color w:val="000000"/>
        </w:rPr>
        <w:t>月</w:t>
      </w:r>
      <w:r>
        <w:rPr>
          <w:rFonts w:hint="eastAsia"/>
          <w:color w:val="000000"/>
        </w:rPr>
        <w:t>31</w:t>
      </w:r>
      <w:r>
        <w:rPr>
          <w:rFonts w:hint="eastAsia"/>
          <w:color w:val="000000"/>
        </w:rPr>
        <w:t>日，印度尼西亚政府召开了由</w:t>
      </w:r>
      <w:r>
        <w:rPr>
          <w:rFonts w:hint="eastAsia"/>
          <w:color w:val="000000"/>
        </w:rPr>
        <w:t>28</w:t>
      </w:r>
      <w:r>
        <w:rPr>
          <w:rFonts w:hint="eastAsia"/>
          <w:color w:val="000000"/>
        </w:rPr>
        <w:t>人组成的所谓“省人民代表大会”，这</w:t>
      </w:r>
      <w:r>
        <w:rPr>
          <w:rFonts w:hint="eastAsia"/>
          <w:color w:val="000000"/>
        </w:rPr>
        <w:t>28</w:t>
      </w:r>
      <w:r>
        <w:rPr>
          <w:rFonts w:hint="eastAsia"/>
          <w:color w:val="000000"/>
        </w:rPr>
        <w:t>位代表主要是从主张合并的帝汶</w:t>
      </w:r>
      <w:r>
        <w:rPr>
          <w:color w:val="000000"/>
        </w:rPr>
        <w:t>人民民主协会</w:t>
      </w:r>
      <w:r>
        <w:rPr>
          <w:rFonts w:hint="eastAsia"/>
          <w:color w:val="000000"/>
        </w:rPr>
        <w:t>成员中精选出来的。尽管葡萄牙政府作为管理国从未放弃对东帝汶的权利，但印度尼西亚总统紧接着于</w:t>
      </w:r>
      <w:r>
        <w:rPr>
          <w:rFonts w:hint="eastAsia"/>
          <w:color w:val="000000"/>
        </w:rPr>
        <w:t>1976</w:t>
      </w:r>
      <w:r>
        <w:rPr>
          <w:rFonts w:hint="eastAsia"/>
          <w:color w:val="000000"/>
        </w:rPr>
        <w:t>年</w:t>
      </w:r>
      <w:r>
        <w:rPr>
          <w:rFonts w:hint="eastAsia"/>
          <w:color w:val="000000"/>
        </w:rPr>
        <w:t>7</w:t>
      </w:r>
      <w:r>
        <w:rPr>
          <w:rFonts w:hint="eastAsia"/>
          <w:color w:val="000000"/>
        </w:rPr>
        <w:t>月</w:t>
      </w:r>
      <w:r>
        <w:rPr>
          <w:rFonts w:hint="eastAsia"/>
          <w:color w:val="000000"/>
        </w:rPr>
        <w:t>17</w:t>
      </w:r>
      <w:r>
        <w:rPr>
          <w:rFonts w:hint="eastAsia"/>
          <w:color w:val="000000"/>
        </w:rPr>
        <w:t>日颁布了第</w:t>
      </w:r>
      <w:r>
        <w:rPr>
          <w:rFonts w:hint="eastAsia"/>
          <w:color w:val="000000"/>
        </w:rPr>
        <w:t>7/1976</w:t>
      </w:r>
      <w:r>
        <w:rPr>
          <w:rFonts w:hint="eastAsia"/>
          <w:color w:val="000000"/>
        </w:rPr>
        <w:t>号法律，规定将东帝汶与印度尼西亚合并，成为其第</w:t>
      </w:r>
      <w:r>
        <w:rPr>
          <w:rFonts w:hint="eastAsia"/>
          <w:color w:val="000000"/>
        </w:rPr>
        <w:t>27</w:t>
      </w:r>
      <w:r>
        <w:rPr>
          <w:rFonts w:hint="eastAsia"/>
          <w:color w:val="000000"/>
        </w:rPr>
        <w:t>个省。</w:t>
      </w:r>
    </w:p>
    <w:p w:rsidR="00692915" w:rsidRDefault="00692915" w:rsidP="009A1C1B">
      <w:pPr>
        <w:ind w:firstLine="31680"/>
        <w:rPr>
          <w:rFonts w:hint="eastAsia"/>
          <w:color w:val="000000"/>
        </w:rPr>
      </w:pPr>
      <w:r>
        <w:rPr>
          <w:color w:val="000000"/>
        </w:rPr>
        <w:t>21.</w:t>
      </w:r>
      <w:r>
        <w:rPr>
          <w:color w:val="000000"/>
        </w:rPr>
        <w:tab/>
      </w:r>
      <w:r>
        <w:rPr>
          <w:rFonts w:hint="eastAsia"/>
          <w:color w:val="000000"/>
        </w:rPr>
        <w:t>随着入侵部队向前推进，并控制了主要城镇，东帝汶独立革命阵线领导人及其人员撤退了，并在东帝汶民族解放组织武装部队控制的地区</w:t>
      </w:r>
      <w:r>
        <w:rPr>
          <w:rStyle w:val="FootnoteReference"/>
          <w:color w:val="000000"/>
        </w:rPr>
        <w:footnoteReference w:id="12"/>
      </w:r>
      <w:r>
        <w:rPr>
          <w:rFonts w:hint="eastAsia"/>
          <w:color w:val="000000"/>
        </w:rPr>
        <w:t>建立了支援根据地。在这些根据地，东帝汶独立革命阵线继续实施其管理方案。</w:t>
      </w:r>
    </w:p>
    <w:p w:rsidR="00692915" w:rsidRDefault="00692915" w:rsidP="009A1C1B">
      <w:pPr>
        <w:ind w:firstLine="31680"/>
        <w:rPr>
          <w:rFonts w:hint="eastAsia"/>
          <w:color w:val="000000"/>
        </w:rPr>
      </w:pPr>
      <w:r>
        <w:rPr>
          <w:color w:val="000000"/>
        </w:rPr>
        <w:t>22.</w:t>
      </w:r>
      <w:r>
        <w:rPr>
          <w:color w:val="000000"/>
        </w:rPr>
        <w:tab/>
      </w:r>
      <w:r>
        <w:rPr>
          <w:rFonts w:hint="eastAsia"/>
          <w:color w:val="000000"/>
        </w:rPr>
        <w:t>尽管东帝汶独立革命阵线采取了一些重要举措，但在其宣布独立之后，以及在解放的支援根据地，其执政并不是无可挑剔的。人们指责他们侵犯人权，包括对那些被指控为叛逆的人员或与占领军勾结的人员实施酷刑和草率处决。</w:t>
      </w:r>
    </w:p>
    <w:p w:rsidR="00692915" w:rsidRDefault="00692915" w:rsidP="009A1C1B">
      <w:pPr>
        <w:ind w:firstLine="31680"/>
        <w:rPr>
          <w:color w:val="000000"/>
        </w:rPr>
      </w:pPr>
      <w:r>
        <w:rPr>
          <w:color w:val="000000"/>
        </w:rPr>
        <w:t>23.</w:t>
      </w:r>
      <w:r>
        <w:rPr>
          <w:color w:val="000000"/>
        </w:rPr>
        <w:tab/>
      </w:r>
      <w:r>
        <w:rPr>
          <w:rFonts w:hint="eastAsia"/>
          <w:color w:val="000000"/>
        </w:rPr>
        <w:t>印度尼西亚入侵之后，人权状况迅速恶化。在印度尼西亚的占领下，东帝汶人民的人权受到了全面的严重侵犯：滥杀无辜、强行迁移、失踪、驱逐出境、行动限制、强迫劳动、肆意逮捕和拘留，以及政治指控等。最血腥的暴行包括轰炸马特比安地区，造成了成千上万平民的伤亡；</w:t>
      </w:r>
      <w:r>
        <w:rPr>
          <w:rFonts w:hint="eastAsia"/>
          <w:color w:val="000000"/>
        </w:rPr>
        <w:t>1983</w:t>
      </w:r>
      <w:r>
        <w:rPr>
          <w:rFonts w:hint="eastAsia"/>
          <w:color w:val="000000"/>
        </w:rPr>
        <w:t>年在维克克区进行的克拉拉斯大屠杀，占领军将整个村子的成年男子全部杀掉，只留下妇女和儿童；另外就是</w:t>
      </w:r>
      <w:r>
        <w:rPr>
          <w:rFonts w:hint="eastAsia"/>
          <w:color w:val="000000"/>
        </w:rPr>
        <w:t>1991</w:t>
      </w:r>
      <w:r>
        <w:rPr>
          <w:rFonts w:hint="eastAsia"/>
          <w:color w:val="000000"/>
        </w:rPr>
        <w:t>年在帝力进行的克鲁兹大屠杀。</w:t>
      </w:r>
    </w:p>
    <w:p w:rsidR="00692915" w:rsidRDefault="00692915" w:rsidP="009A1C1B">
      <w:pPr>
        <w:ind w:firstLine="31680"/>
        <w:rPr>
          <w:rFonts w:hint="eastAsia"/>
          <w:color w:val="000000"/>
        </w:rPr>
      </w:pPr>
      <w:r>
        <w:rPr>
          <w:color w:val="000000"/>
        </w:rPr>
        <w:t>24.</w:t>
      </w:r>
      <w:r>
        <w:rPr>
          <w:color w:val="000000"/>
        </w:rPr>
        <w:tab/>
      </w:r>
      <w:r>
        <w:rPr>
          <w:rFonts w:hint="eastAsia"/>
          <w:color w:val="000000"/>
        </w:rPr>
        <w:t>在印度尼西亚占领期间，妇女同样遭到占领军及其走狗的非人待遇，而她们在抵抗运动中发挥了积极作用，这一点常常被人忽视。对妇女的虐待包括强奸、性骚扰、沦为印尼军队的性奴隶，以及被迫与印尼军人结婚。那些被怀疑与抵抗组织有联系的妇女面临尤其严重的危险。占领军还强制妇女（尤其是文职人员的妻子）采取节育措施。</w:t>
      </w:r>
      <w:r>
        <w:rPr>
          <w:rStyle w:val="FootnoteReference"/>
          <w:color w:val="000000"/>
        </w:rPr>
        <w:footnoteReference w:id="13"/>
      </w:r>
    </w:p>
    <w:p w:rsidR="00692915" w:rsidRDefault="00692915" w:rsidP="009A1C1B">
      <w:pPr>
        <w:spacing w:after="240"/>
        <w:ind w:firstLine="31680"/>
        <w:rPr>
          <w:rFonts w:hint="eastAsia"/>
          <w:color w:val="000000"/>
        </w:rPr>
      </w:pPr>
      <w:r>
        <w:rPr>
          <w:color w:val="000000"/>
        </w:rPr>
        <w:t>25.</w:t>
      </w:r>
      <w:r>
        <w:rPr>
          <w:color w:val="000000"/>
        </w:rPr>
        <w:tab/>
      </w:r>
      <w:r>
        <w:rPr>
          <w:rFonts w:hint="eastAsia"/>
          <w:color w:val="000000"/>
        </w:rPr>
        <w:t>最近，接纳、真相与和解委员会（</w:t>
      </w:r>
      <w:r>
        <w:rPr>
          <w:color w:val="000000"/>
        </w:rPr>
        <w:t>CAVR</w:t>
      </w:r>
      <w:r>
        <w:rPr>
          <w:rFonts w:hint="eastAsia"/>
          <w:color w:val="000000"/>
        </w:rPr>
        <w:t>）对印度尼西亚占领期间所犯的侵犯人权事件进行了调查与听证。有关该委员会工作的一节以及有关《消除对妇女一切形式歧视公约》的专门文件对此有更加详细的阐述。</w:t>
      </w:r>
    </w:p>
    <w:p w:rsidR="00692915" w:rsidRDefault="00692915">
      <w:pPr>
        <w:pStyle w:val="Heading3"/>
        <w:jc w:val="both"/>
        <w:rPr>
          <w:rFonts w:eastAsia="KaiTi_GB2312" w:hint="eastAsia"/>
          <w:color w:val="000000"/>
          <w:u w:val="none"/>
        </w:rPr>
      </w:pPr>
      <w:r>
        <w:rPr>
          <w:rFonts w:eastAsia="KaiTi_GB2312" w:hint="eastAsia"/>
          <w:color w:val="000000"/>
          <w:u w:val="none"/>
        </w:rPr>
        <w:t>为独立而斗争</w:t>
      </w:r>
    </w:p>
    <w:p w:rsidR="00692915" w:rsidRDefault="00692915" w:rsidP="009A1C1B">
      <w:pPr>
        <w:ind w:firstLine="31680"/>
        <w:rPr>
          <w:rFonts w:hint="eastAsia"/>
          <w:color w:val="000000"/>
        </w:rPr>
      </w:pPr>
      <w:r>
        <w:rPr>
          <w:color w:val="000000"/>
        </w:rPr>
        <w:t>26.</w:t>
      </w:r>
      <w:r>
        <w:rPr>
          <w:color w:val="000000"/>
        </w:rPr>
        <w:tab/>
      </w:r>
      <w:r>
        <w:rPr>
          <w:rFonts w:hint="eastAsia"/>
          <w:color w:val="000000"/>
        </w:rPr>
        <w:t>帝汶人民通过其武装派别</w:t>
      </w:r>
      <w:r>
        <w:rPr>
          <w:rFonts w:eastAsia="SimHei" w:hint="eastAsia"/>
          <w:color w:val="000000"/>
          <w:spacing w:val="0"/>
        </w:rPr>
        <w:t>——</w:t>
      </w:r>
      <w:r>
        <w:rPr>
          <w:color w:val="000000"/>
        </w:rPr>
        <w:t>东帝汶民族解放组织武装部队</w:t>
      </w:r>
      <w:r>
        <w:rPr>
          <w:rFonts w:hint="eastAsia"/>
          <w:color w:val="000000"/>
        </w:rPr>
        <w:t>抵制将东帝汶并入印度尼西亚，但却逐步发展为采用城市秘密政治策略和国际外交手段。</w:t>
      </w:r>
      <w:r>
        <w:rPr>
          <w:rFonts w:hint="eastAsia"/>
          <w:color w:val="000000"/>
        </w:rPr>
        <w:t>1985</w:t>
      </w:r>
      <w:r>
        <w:rPr>
          <w:rFonts w:hint="eastAsia"/>
          <w:color w:val="000000"/>
        </w:rPr>
        <w:t>年，抵抗运动重新改组，成立了全国抵抗运动革命委员会（</w:t>
      </w:r>
      <w:r>
        <w:rPr>
          <w:rFonts w:hint="eastAsia"/>
          <w:color w:val="000000"/>
        </w:rPr>
        <w:t>CRRN</w:t>
      </w:r>
      <w:r>
        <w:rPr>
          <w:rFonts w:hint="eastAsia"/>
          <w:color w:val="000000"/>
        </w:rPr>
        <w:t>）。一年后，在凯·拉拉·夏纳纳·古斯芒的领导下，全国抵抗运动革命委员会改为毛贝雷抵抗运动全国委员会（</w:t>
      </w:r>
      <w:r>
        <w:rPr>
          <w:color w:val="000000"/>
        </w:rPr>
        <w:t>CNRM</w:t>
      </w:r>
      <w:r>
        <w:rPr>
          <w:rFonts w:hint="eastAsia"/>
          <w:color w:val="000000"/>
        </w:rPr>
        <w:t>），成为旨在团结帝汶所有社会和政治力量，为争取独立而斗争的伞状组织。毛贝雷抵抗运动全国委员会的组织分为三个阵线：武装阵线、外交阵线和秘密阵线。</w:t>
      </w:r>
      <w:r>
        <w:rPr>
          <w:color w:val="000000"/>
        </w:rPr>
        <w:t>东帝汶民族解放组织武装部队</w:t>
      </w:r>
      <w:r>
        <w:rPr>
          <w:rFonts w:hint="eastAsia"/>
          <w:color w:val="000000"/>
        </w:rPr>
        <w:t>被宣布为国内无党派力量，若泽•拉莫斯•奥尔塔被任命为毛贝雷抵抗运动全国委员会海外特别代表。</w:t>
      </w:r>
    </w:p>
    <w:p w:rsidR="00692915" w:rsidRDefault="00692915" w:rsidP="009A1C1B">
      <w:pPr>
        <w:ind w:firstLine="31680"/>
        <w:rPr>
          <w:rFonts w:hint="eastAsia"/>
          <w:color w:val="000000"/>
        </w:rPr>
      </w:pPr>
      <w:r>
        <w:rPr>
          <w:color w:val="000000"/>
        </w:rPr>
        <w:t>27.</w:t>
      </w:r>
      <w:r>
        <w:rPr>
          <w:color w:val="000000"/>
        </w:rPr>
        <w:tab/>
      </w:r>
      <w:r>
        <w:rPr>
          <w:rFonts w:hint="eastAsia"/>
          <w:color w:val="000000"/>
        </w:rPr>
        <w:t>1992</w:t>
      </w:r>
      <w:r>
        <w:rPr>
          <w:rFonts w:hint="eastAsia"/>
          <w:color w:val="000000"/>
        </w:rPr>
        <w:t>年毛贝雷抵抗运动全国委员会提出了一个三阶段的和平计划，概述了和平解决东帝汶问题的战略。该计划将在联合国赞助下实施，内容包括：非军事化；释放政治犯；任何政党，无论见解如何，一律合法化；实行全民公决，通过投票自主选择是与前殖民者联盟，还是并入另一个独立国家。毛贝雷抵抗运动全国委员会特别代表若泽•拉莫斯•奥尔塔随后将该计划提交给各国际论坛和国际组织，包括欧洲议会和美国外交关系理事会。</w:t>
      </w:r>
    </w:p>
    <w:p w:rsidR="00692915" w:rsidRDefault="00692915" w:rsidP="009A1C1B">
      <w:pPr>
        <w:ind w:firstLine="31680"/>
        <w:rPr>
          <w:rFonts w:hint="eastAsia"/>
          <w:color w:val="000000"/>
        </w:rPr>
      </w:pPr>
      <w:r>
        <w:rPr>
          <w:color w:val="000000"/>
        </w:rPr>
        <w:t>28.</w:t>
      </w:r>
      <w:r>
        <w:rPr>
          <w:color w:val="000000"/>
        </w:rPr>
        <w:tab/>
      </w:r>
      <w:r>
        <w:rPr>
          <w:rFonts w:hint="eastAsia"/>
          <w:color w:val="000000"/>
        </w:rPr>
        <w:t>此时，由于对</w:t>
      </w:r>
      <w:r>
        <w:rPr>
          <w:rFonts w:hint="eastAsia"/>
          <w:color w:val="000000"/>
        </w:rPr>
        <w:t>1991</w:t>
      </w:r>
      <w:r>
        <w:rPr>
          <w:rFonts w:hint="eastAsia"/>
          <w:color w:val="000000"/>
        </w:rPr>
        <w:t>年发生在圣克鲁斯墓园暴行的报道，帝汶人民争取独立的斗争得到国际社会更大的关注。但圣克鲁斯墓园大屠杀并不是引起国际社会对东帝汶倍加关注的唯一事件。抵抗领袖夏纳纳·古斯芒被捕，若泽•拉莫斯•奥尔塔和帝力大主教卡洛斯·菲利普·西门内斯·贝洛因致力于推动帝汶局势的和平解决而被授予</w:t>
      </w:r>
      <w:r>
        <w:rPr>
          <w:rFonts w:hint="eastAsia"/>
          <w:color w:val="000000"/>
        </w:rPr>
        <w:t>1996</w:t>
      </w:r>
      <w:r>
        <w:rPr>
          <w:rFonts w:hint="eastAsia"/>
          <w:color w:val="000000"/>
        </w:rPr>
        <w:t>年“诺贝尔和平奖”，以及随后为结束侵犯人权和确保和平解决东帝汶局势而开展的运动，这些都成为引起国际社会关注的因素。</w:t>
      </w:r>
    </w:p>
    <w:p w:rsidR="00692915" w:rsidRDefault="00692915" w:rsidP="009A1C1B">
      <w:pPr>
        <w:ind w:firstLine="31680"/>
        <w:rPr>
          <w:rFonts w:hint="eastAsia"/>
          <w:color w:val="000000"/>
        </w:rPr>
      </w:pPr>
      <w:r>
        <w:rPr>
          <w:color w:val="000000"/>
        </w:rPr>
        <w:t>29.</w:t>
      </w:r>
      <w:r>
        <w:rPr>
          <w:color w:val="000000"/>
        </w:rPr>
        <w:tab/>
      </w:r>
      <w:r>
        <w:rPr>
          <w:rFonts w:hint="eastAsia"/>
          <w:color w:val="000000"/>
        </w:rPr>
        <w:t>在长达</w:t>
      </w:r>
      <w:r>
        <w:rPr>
          <w:rFonts w:hint="eastAsia"/>
          <w:color w:val="000000"/>
        </w:rPr>
        <w:t>24</w:t>
      </w:r>
      <w:r>
        <w:rPr>
          <w:rFonts w:hint="eastAsia"/>
          <w:color w:val="000000"/>
        </w:rPr>
        <w:t>年的斗争中，帝汶人民的抵抗运动经历了许多战略和组织上的变化。为更有效地开展斗争，使抵抗组织能够更好地团结帝汶各社会和政治斗争团体，这些变化是必要的。</w:t>
      </w:r>
      <w:r>
        <w:rPr>
          <w:rFonts w:hint="eastAsia"/>
          <w:color w:val="000000"/>
        </w:rPr>
        <w:t>1998</w:t>
      </w:r>
      <w:r>
        <w:rPr>
          <w:rFonts w:hint="eastAsia"/>
          <w:color w:val="000000"/>
        </w:rPr>
        <w:t>年</w:t>
      </w:r>
      <w:r>
        <w:rPr>
          <w:rFonts w:hint="eastAsia"/>
          <w:color w:val="000000"/>
        </w:rPr>
        <w:t>4</w:t>
      </w:r>
      <w:r>
        <w:rPr>
          <w:rFonts w:hint="eastAsia"/>
          <w:color w:val="000000"/>
        </w:rPr>
        <w:t>月，在第一次帝汶海外全国大会上，毛贝雷抵抗运动全国委员会更名为帝汶抵抗运动全国委员会（</w:t>
      </w:r>
      <w:r>
        <w:rPr>
          <w:rFonts w:hint="eastAsia"/>
          <w:color w:val="000000"/>
        </w:rPr>
        <w:t>CNRT</w:t>
      </w:r>
      <w:r>
        <w:rPr>
          <w:rFonts w:hint="eastAsia"/>
          <w:color w:val="000000"/>
        </w:rPr>
        <w:t>）。改名考虑的因素之一就是毛贝雷</w:t>
      </w:r>
      <w:r>
        <w:rPr>
          <w:rStyle w:val="FootnoteReference"/>
          <w:color w:val="000000"/>
        </w:rPr>
        <w:footnoteReference w:id="14"/>
      </w:r>
      <w:r>
        <w:rPr>
          <w:rFonts w:hint="eastAsia"/>
          <w:color w:val="000000"/>
        </w:rPr>
        <w:t>一词意识形态倾向太强，继续使用该名称势必会将帝汶社会中的许多力量排斥在民族抵抗组织之外。</w:t>
      </w:r>
    </w:p>
    <w:p w:rsidR="00692915" w:rsidRDefault="00692915">
      <w:pPr>
        <w:pStyle w:val="Heading3"/>
        <w:jc w:val="both"/>
        <w:rPr>
          <w:rFonts w:eastAsia="KaiTi_GB2312" w:hint="eastAsia"/>
          <w:color w:val="000000"/>
          <w:u w:val="none"/>
        </w:rPr>
      </w:pPr>
      <w:r>
        <w:rPr>
          <w:rFonts w:eastAsia="KaiTi_GB2312" w:hint="eastAsia"/>
          <w:color w:val="000000"/>
          <w:u w:val="none"/>
        </w:rPr>
        <w:t>政治转变</w:t>
      </w:r>
    </w:p>
    <w:p w:rsidR="00692915" w:rsidRDefault="00692915" w:rsidP="009A1C1B">
      <w:pPr>
        <w:ind w:firstLine="31680"/>
        <w:rPr>
          <w:color w:val="000000"/>
        </w:rPr>
      </w:pPr>
      <w:r>
        <w:rPr>
          <w:color w:val="000000"/>
        </w:rPr>
        <w:t>30.</w:t>
      </w:r>
      <w:r>
        <w:rPr>
          <w:color w:val="000000"/>
        </w:rPr>
        <w:tab/>
      </w:r>
      <w:r>
        <w:rPr>
          <w:rFonts w:hint="eastAsia"/>
          <w:color w:val="000000"/>
        </w:rPr>
        <w:t>在印度尼西亚对东帝汶的占领期间，印度尼西亚政府将对东帝汶领土的吞并说成是东帝汶自决的一种结果。印度尼西亚外交人员常常争辩说，印度尼西亚对东帝汶进行干涉是为了结束东帝汶内战，防止流血。事后许多参与者的亲口讲述以及解密的机密文件</w:t>
      </w:r>
      <w:r>
        <w:rPr>
          <w:rStyle w:val="FootnoteReference"/>
          <w:color w:val="000000"/>
        </w:rPr>
        <w:footnoteReference w:id="15"/>
      </w:r>
      <w:r>
        <w:rPr>
          <w:rFonts w:hint="eastAsia"/>
          <w:color w:val="000000"/>
        </w:rPr>
        <w:t>显示，印度尼西亚的侵略得到许多西方国家的大力支持，被认为是美国在越南战争失败后，为防止任何可能的共产主义扩展而采取的一种手段。</w:t>
      </w:r>
    </w:p>
    <w:p w:rsidR="00692915" w:rsidRDefault="00692915" w:rsidP="009A1C1B">
      <w:pPr>
        <w:ind w:firstLine="31680"/>
        <w:rPr>
          <w:rFonts w:hint="eastAsia"/>
          <w:color w:val="000000"/>
        </w:rPr>
      </w:pPr>
      <w:r>
        <w:rPr>
          <w:color w:val="000000"/>
        </w:rPr>
        <w:t>31.</w:t>
      </w:r>
      <w:r>
        <w:rPr>
          <w:color w:val="000000"/>
        </w:rPr>
        <w:tab/>
      </w:r>
      <w:r>
        <w:rPr>
          <w:rFonts w:hint="eastAsia"/>
          <w:color w:val="000000"/>
        </w:rPr>
        <w:t>尽管暗中得到少数国家的支持，但在侵略东帝汶之后，印度尼西亚政府在国际上遭到强烈谴责。联合国从未正式承认东帝汶并入印度尼西亚，从</w:t>
      </w:r>
      <w:r>
        <w:rPr>
          <w:rFonts w:hint="eastAsia"/>
          <w:color w:val="000000"/>
        </w:rPr>
        <w:t>1975</w:t>
      </w:r>
      <w:r>
        <w:rPr>
          <w:rFonts w:hint="eastAsia"/>
          <w:color w:val="000000"/>
        </w:rPr>
        <w:t>年开始，联合国大会和安理会通过了一系列决议，谴责印度尼西亚的武装侵略，并敦促印度尼西亚从东帝汶撤军。</w:t>
      </w:r>
      <w:r>
        <w:rPr>
          <w:rStyle w:val="FootnoteReference"/>
          <w:color w:val="000000"/>
        </w:rPr>
        <w:footnoteReference w:id="16"/>
      </w:r>
      <w:r>
        <w:rPr>
          <w:rFonts w:hint="eastAsia"/>
          <w:color w:val="000000"/>
        </w:rPr>
        <w:t>1982</w:t>
      </w:r>
      <w:r>
        <w:rPr>
          <w:rFonts w:hint="eastAsia"/>
          <w:color w:val="000000"/>
        </w:rPr>
        <w:t>年</w:t>
      </w:r>
      <w:r>
        <w:rPr>
          <w:rFonts w:hint="eastAsia"/>
          <w:color w:val="000000"/>
        </w:rPr>
        <w:t>11</w:t>
      </w:r>
      <w:r>
        <w:rPr>
          <w:rFonts w:hint="eastAsia"/>
          <w:color w:val="000000"/>
        </w:rPr>
        <w:t>月</w:t>
      </w:r>
      <w:r>
        <w:rPr>
          <w:rFonts w:hint="eastAsia"/>
          <w:color w:val="000000"/>
        </w:rPr>
        <w:t>23</w:t>
      </w:r>
      <w:r>
        <w:rPr>
          <w:rFonts w:hint="eastAsia"/>
          <w:color w:val="000000"/>
        </w:rPr>
        <w:t>日，安理会通过了第</w:t>
      </w:r>
      <w:r>
        <w:rPr>
          <w:rFonts w:hint="eastAsia"/>
          <w:color w:val="000000"/>
        </w:rPr>
        <w:t>37/30</w:t>
      </w:r>
      <w:r>
        <w:rPr>
          <w:rFonts w:hint="eastAsia"/>
          <w:color w:val="000000"/>
        </w:rPr>
        <w:t>号决议，请求联合国秘书长与直接相关的各方进行磋商，以寻求全面解决东帝汶局势的方法，为此，在联合国秘书长支持下葡萄牙与印度尼西亚之间进行了一系列的三方会谈。然而，多年的外交磋商未能促使印度尼西亚有关这一问题的政策发生任何重大变化。</w:t>
      </w:r>
    </w:p>
    <w:p w:rsidR="00692915" w:rsidRDefault="00692915" w:rsidP="009A1C1B">
      <w:pPr>
        <w:ind w:firstLine="31680"/>
        <w:rPr>
          <w:color w:val="000000"/>
        </w:rPr>
      </w:pPr>
      <w:r>
        <w:rPr>
          <w:color w:val="000000"/>
        </w:rPr>
        <w:t>32.</w:t>
      </w:r>
      <w:r>
        <w:rPr>
          <w:color w:val="000000"/>
        </w:rPr>
        <w:tab/>
      </w:r>
      <w:r>
        <w:rPr>
          <w:rFonts w:hint="eastAsia"/>
          <w:color w:val="000000"/>
        </w:rPr>
        <w:t>直到</w:t>
      </w:r>
      <w:r>
        <w:rPr>
          <w:rFonts w:hint="eastAsia"/>
          <w:color w:val="000000"/>
        </w:rPr>
        <w:t>1998</w:t>
      </w:r>
      <w:r>
        <w:rPr>
          <w:rFonts w:hint="eastAsia"/>
          <w:color w:val="000000"/>
        </w:rPr>
        <w:t>年，在经济危机的打击和国内要求政治改革的压力之下，雅加达才缓和了其立场，并在致联合国秘书长和葡萄牙政府的照会中指出，印度尼西亚愿意给予东帝汶更大的自主权。尽管帝汶抵抗领导人希望向独立过渡，而印度尼西亚的缓和只是一种权宜之计，但这毕竟是一个重要的姿态。到</w:t>
      </w:r>
      <w:r>
        <w:rPr>
          <w:color w:val="000000"/>
        </w:rPr>
        <w:t>1999</w:t>
      </w:r>
      <w:r>
        <w:rPr>
          <w:rFonts w:hint="eastAsia"/>
          <w:color w:val="000000"/>
        </w:rPr>
        <w:t>年</w:t>
      </w:r>
      <w:r>
        <w:rPr>
          <w:rFonts w:hint="eastAsia"/>
          <w:color w:val="000000"/>
        </w:rPr>
        <w:t>1</w:t>
      </w:r>
      <w:r>
        <w:rPr>
          <w:rFonts w:hint="eastAsia"/>
          <w:color w:val="000000"/>
        </w:rPr>
        <w:t>月，印度尼西亚总统</w:t>
      </w:r>
      <w:r>
        <w:rPr>
          <w:rFonts w:hint="eastAsia"/>
          <w:color w:val="000000"/>
        </w:rPr>
        <w:t xml:space="preserve">B.J. </w:t>
      </w:r>
      <w:r>
        <w:rPr>
          <w:rFonts w:hint="eastAsia"/>
          <w:color w:val="000000"/>
        </w:rPr>
        <w:t>哈比比对外宣布，印度尼西亚建议在统一的印度尼西亚共和国框架下，给予东帝汶特别自治区地位，并愿意就此与东帝汶人民进行全民协商。尽管没有明确将独立问题提出来作为与帝汶人民进行协商的方案，但如果自治方案遭到拒绝的话，独立显然也是一种选择方案。</w:t>
      </w:r>
      <w:r>
        <w:rPr>
          <w:rFonts w:hint="eastAsia"/>
          <w:color w:val="000000"/>
        </w:rPr>
        <w:t>1999</w:t>
      </w:r>
      <w:r>
        <w:rPr>
          <w:rFonts w:hint="eastAsia"/>
          <w:color w:val="000000"/>
        </w:rPr>
        <w:t>年</w:t>
      </w:r>
      <w:r>
        <w:rPr>
          <w:rFonts w:hint="eastAsia"/>
          <w:color w:val="000000"/>
        </w:rPr>
        <w:t>5</w:t>
      </w:r>
      <w:r>
        <w:rPr>
          <w:rFonts w:hint="eastAsia"/>
          <w:color w:val="000000"/>
        </w:rPr>
        <w:t>月</w:t>
      </w:r>
      <w:r>
        <w:rPr>
          <w:rFonts w:hint="eastAsia"/>
          <w:color w:val="000000"/>
        </w:rPr>
        <w:t>5</w:t>
      </w:r>
      <w:r>
        <w:rPr>
          <w:rFonts w:hint="eastAsia"/>
          <w:color w:val="000000"/>
        </w:rPr>
        <w:t>日，三方（葡萄牙、印度尼西亚和联合国）签署了在东帝汶通过直接投票进行全民协商的协定，并由新成立的联合国东帝汶支助团</w:t>
      </w:r>
      <w:r>
        <w:rPr>
          <w:color w:val="000000"/>
        </w:rPr>
        <w:t>（</w:t>
      </w:r>
      <w:r>
        <w:rPr>
          <w:rFonts w:hint="eastAsia"/>
          <w:color w:val="000000"/>
        </w:rPr>
        <w:t>东帝汶支助团</w:t>
      </w:r>
      <w:r>
        <w:rPr>
          <w:color w:val="000000"/>
        </w:rPr>
        <w:t>）</w:t>
      </w:r>
      <w:r>
        <w:rPr>
          <w:rFonts w:hint="eastAsia"/>
          <w:color w:val="000000"/>
        </w:rPr>
        <w:t>负责具体实施。全民协商期间，印度尼西亚警察负责维持法制与秩序。</w:t>
      </w:r>
    </w:p>
    <w:p w:rsidR="00692915" w:rsidRDefault="00692915" w:rsidP="009A1C1B">
      <w:pPr>
        <w:ind w:firstLine="31680"/>
        <w:rPr>
          <w:rFonts w:hint="eastAsia"/>
          <w:color w:val="000000"/>
        </w:rPr>
      </w:pPr>
      <w:r>
        <w:rPr>
          <w:color w:val="000000"/>
        </w:rPr>
        <w:t>33.</w:t>
      </w:r>
      <w:r>
        <w:rPr>
          <w:color w:val="000000"/>
        </w:rPr>
        <w:tab/>
      </w:r>
      <w:r>
        <w:rPr>
          <w:rFonts w:hint="eastAsia"/>
          <w:color w:val="000000"/>
        </w:rPr>
        <w:t>在印度尼西亚国内，哈比比政府提出的独立问题全民协商遭到某些派别的强烈反对。随着东帝汶全民协商按部就班地进行，许多准军事组织纷纷成立起来。“巨蜥行动”与“莲花行动”的旧有组织以及新的组织，通过恫吓和生命威胁等手段的强行征兵活动，迅速壮大起来。</w:t>
      </w:r>
      <w:r>
        <w:rPr>
          <w:rStyle w:val="FootnoteReference"/>
          <w:color w:val="000000"/>
        </w:rPr>
        <w:footnoteReference w:id="17"/>
      </w:r>
      <w:r>
        <w:rPr>
          <w:rFonts w:hint="eastAsia"/>
          <w:color w:val="000000"/>
        </w:rPr>
        <w:t>这些组织的成员有的来自印度尼西亚军队，有的来自平民强硬派，也有的是心怀不满的年轻人和强征入伍人员，他们在东帝汶全境制造恐怖活动，显然是要破坏全民协商进程，鼓动人们投反对自治票，并惩罚那些支持独立的人。</w:t>
      </w:r>
      <w:r>
        <w:rPr>
          <w:rStyle w:val="FootnoteReference"/>
          <w:color w:val="000000"/>
        </w:rPr>
        <w:footnoteReference w:id="18"/>
      </w:r>
      <w:r>
        <w:rPr>
          <w:rFonts w:hint="eastAsia"/>
          <w:color w:val="000000"/>
        </w:rPr>
        <w:t>许多人被迫逃离家园，前往全国各地</w:t>
      </w:r>
      <w:r>
        <w:rPr>
          <w:color w:val="000000"/>
        </w:rPr>
        <w:t>东帝汶民族解放组织武装部队</w:t>
      </w:r>
      <w:r>
        <w:rPr>
          <w:rFonts w:hint="eastAsia"/>
          <w:color w:val="000000"/>
        </w:rPr>
        <w:t>控制的地区避难，有的则逃往国外。</w:t>
      </w:r>
    </w:p>
    <w:p w:rsidR="00692915" w:rsidRDefault="00692915" w:rsidP="009A1C1B">
      <w:pPr>
        <w:ind w:firstLine="31680"/>
        <w:rPr>
          <w:rFonts w:hint="eastAsia"/>
          <w:color w:val="000000"/>
        </w:rPr>
      </w:pPr>
      <w:r>
        <w:rPr>
          <w:color w:val="000000"/>
        </w:rPr>
        <w:t>34.</w:t>
      </w:r>
      <w:r>
        <w:rPr>
          <w:color w:val="000000"/>
        </w:rPr>
        <w:tab/>
      </w:r>
      <w:r>
        <w:rPr>
          <w:rFonts w:hint="eastAsia"/>
          <w:color w:val="000000"/>
        </w:rPr>
        <w:t>除了聚集在伞状组织</w:t>
      </w:r>
      <w:r>
        <w:rPr>
          <w:rFonts w:eastAsia="SimHei" w:hint="eastAsia"/>
          <w:color w:val="000000"/>
          <w:spacing w:val="0"/>
        </w:rPr>
        <w:t>——</w:t>
      </w:r>
      <w:r>
        <w:rPr>
          <w:rFonts w:hint="eastAsia"/>
          <w:color w:val="000000"/>
        </w:rPr>
        <w:t>赞成合并的武装部队（</w:t>
      </w:r>
      <w:r>
        <w:rPr>
          <w:color w:val="000000"/>
        </w:rPr>
        <w:t>PPI</w:t>
      </w:r>
      <w:r>
        <w:rPr>
          <w:rFonts w:hint="eastAsia"/>
          <w:color w:val="000000"/>
        </w:rPr>
        <w:t>）旗下的准军事组织外，还新成立了许多支持印尼的新民间组织，如：东帝汶人民阵线（</w:t>
      </w:r>
      <w:r>
        <w:rPr>
          <w:color w:val="000000"/>
        </w:rPr>
        <w:t>BRTT</w:t>
      </w:r>
      <w:r>
        <w:rPr>
          <w:rFonts w:hint="eastAsia"/>
          <w:color w:val="000000"/>
        </w:rPr>
        <w:t>）、和平民主与正义论坛（</w:t>
      </w:r>
      <w:r>
        <w:rPr>
          <w:color w:val="000000"/>
        </w:rPr>
        <w:t>FPDK</w:t>
      </w:r>
      <w:r>
        <w:rPr>
          <w:rFonts w:hint="eastAsia"/>
          <w:color w:val="000000"/>
        </w:rPr>
        <w:t>）和其他一些组织。这些组织展开了声势浩大的宣传运动，企图将东帝汶引入歧途。</w:t>
      </w:r>
      <w:r>
        <w:rPr>
          <w:rStyle w:val="FootnoteReference"/>
          <w:color w:val="000000"/>
        </w:rPr>
        <w:footnoteReference w:id="19"/>
      </w:r>
      <w:r>
        <w:rPr>
          <w:rFonts w:hint="eastAsia"/>
          <w:color w:val="000000"/>
        </w:rPr>
        <w:t>尽管它们为影响全民投票进行了宣传攻势和暴力活动，但东帝汶人民依然抱有坚定的信念。</w:t>
      </w:r>
      <w:r>
        <w:rPr>
          <w:rFonts w:hint="eastAsia"/>
          <w:color w:val="000000"/>
        </w:rPr>
        <w:t>1999</w:t>
      </w:r>
      <w:r>
        <w:rPr>
          <w:rFonts w:hint="eastAsia"/>
          <w:color w:val="000000"/>
        </w:rPr>
        <w:t>年</w:t>
      </w:r>
      <w:r>
        <w:rPr>
          <w:rFonts w:hint="eastAsia"/>
          <w:color w:val="000000"/>
        </w:rPr>
        <w:t>8</w:t>
      </w:r>
      <w:r>
        <w:rPr>
          <w:rFonts w:hint="eastAsia"/>
          <w:color w:val="000000"/>
        </w:rPr>
        <w:t>月</w:t>
      </w:r>
      <w:r>
        <w:rPr>
          <w:rFonts w:hint="eastAsia"/>
          <w:color w:val="000000"/>
        </w:rPr>
        <w:t>30</w:t>
      </w:r>
      <w:r>
        <w:rPr>
          <w:rFonts w:hint="eastAsia"/>
          <w:color w:val="000000"/>
        </w:rPr>
        <w:t>日投票当天，约</w:t>
      </w:r>
      <w:r>
        <w:rPr>
          <w:rFonts w:hint="eastAsia"/>
          <w:color w:val="000000"/>
        </w:rPr>
        <w:t>450 000</w:t>
      </w:r>
      <w:r>
        <w:rPr>
          <w:rFonts w:hint="eastAsia"/>
          <w:color w:val="000000"/>
        </w:rPr>
        <w:t>人前往投票站参加了投票，约占总登记投票人数的</w:t>
      </w:r>
      <w:r>
        <w:rPr>
          <w:rFonts w:hint="eastAsia"/>
          <w:color w:val="000000"/>
        </w:rPr>
        <w:t>95%</w:t>
      </w:r>
      <w:r>
        <w:rPr>
          <w:rFonts w:hint="eastAsia"/>
          <w:color w:val="000000"/>
        </w:rPr>
        <w:t>。</w:t>
      </w:r>
    </w:p>
    <w:p w:rsidR="00692915" w:rsidRDefault="00692915" w:rsidP="009A1C1B">
      <w:pPr>
        <w:ind w:firstLine="31680"/>
        <w:rPr>
          <w:rFonts w:hint="eastAsia"/>
          <w:color w:val="000000"/>
        </w:rPr>
      </w:pPr>
      <w:r>
        <w:rPr>
          <w:color w:val="000000"/>
        </w:rPr>
        <w:t>35.</w:t>
      </w:r>
      <w:r>
        <w:rPr>
          <w:color w:val="000000"/>
        </w:rPr>
        <w:tab/>
      </w:r>
      <w:r>
        <w:rPr>
          <w:rFonts w:hint="eastAsia"/>
          <w:color w:val="000000"/>
        </w:rPr>
        <w:t>9</w:t>
      </w:r>
      <w:r>
        <w:rPr>
          <w:rFonts w:hint="eastAsia"/>
          <w:color w:val="000000"/>
        </w:rPr>
        <w:t>月</w:t>
      </w:r>
      <w:r>
        <w:rPr>
          <w:rFonts w:hint="eastAsia"/>
          <w:color w:val="000000"/>
        </w:rPr>
        <w:t>4</w:t>
      </w:r>
      <w:r>
        <w:rPr>
          <w:rFonts w:hint="eastAsia"/>
          <w:color w:val="000000"/>
        </w:rPr>
        <w:t>日，投票结果公布，</w:t>
      </w:r>
      <w:r>
        <w:rPr>
          <w:rFonts w:hint="eastAsia"/>
          <w:color w:val="000000"/>
        </w:rPr>
        <w:t xml:space="preserve"> 78.5% </w:t>
      </w:r>
      <w:r>
        <w:rPr>
          <w:rFonts w:hint="eastAsia"/>
          <w:color w:val="000000"/>
        </w:rPr>
        <w:t>的投票者支持向独立过渡，反对与印度尼西亚一起实行自治。尽管有些人指控投票存在不公正和不规范的问题，但联合国选举委员会</w:t>
      </w:r>
      <w:r>
        <w:rPr>
          <w:rStyle w:val="FootnoteReference"/>
          <w:color w:val="000000"/>
        </w:rPr>
        <w:footnoteReference w:id="20"/>
      </w:r>
      <w:r>
        <w:rPr>
          <w:rFonts w:hint="eastAsia"/>
          <w:color w:val="000000"/>
        </w:rPr>
        <w:t>宣布投票结果有效，真正反映了东帝汶人民的愿望。</w:t>
      </w:r>
    </w:p>
    <w:p w:rsidR="00692915" w:rsidRDefault="00692915" w:rsidP="009A1C1B">
      <w:pPr>
        <w:spacing w:after="240"/>
        <w:ind w:firstLine="31680"/>
        <w:rPr>
          <w:rFonts w:hint="eastAsia"/>
          <w:color w:val="000000"/>
        </w:rPr>
      </w:pPr>
      <w:r>
        <w:rPr>
          <w:color w:val="000000"/>
        </w:rPr>
        <w:t>36.</w:t>
      </w:r>
      <w:r>
        <w:rPr>
          <w:color w:val="000000"/>
        </w:rPr>
        <w:tab/>
      </w:r>
      <w:r>
        <w:rPr>
          <w:rFonts w:hint="eastAsia"/>
          <w:color w:val="000000"/>
        </w:rPr>
        <w:t>投票结果公布之后，印度尼西亚武装部队及其支持的民兵组织迅速进行了反扑，它们采取暴力活动、展开有计划的屠杀、严刑拷打、肆意纵火，及大规模强迫人口迁移。约有</w:t>
      </w:r>
      <w:r>
        <w:rPr>
          <w:color w:val="000000"/>
        </w:rPr>
        <w:t>250,000</w:t>
      </w:r>
      <w:r>
        <w:rPr>
          <w:rFonts w:hint="eastAsia"/>
          <w:color w:val="000000"/>
        </w:rPr>
        <w:t>名平民被迫逃往西帝汶和印度尼西亚其他地区，其他人则逃到了东帝汶安全地区。总之，全国约</w:t>
      </w:r>
      <w:r>
        <w:rPr>
          <w:rFonts w:hint="eastAsia"/>
          <w:color w:val="000000"/>
        </w:rPr>
        <w:t>75%</w:t>
      </w:r>
      <w:r>
        <w:rPr>
          <w:rFonts w:hint="eastAsia"/>
          <w:color w:val="000000"/>
        </w:rPr>
        <w:t>的基础设施被毁坏，</w:t>
      </w:r>
      <w:r>
        <w:rPr>
          <w:rStyle w:val="FootnoteReference"/>
          <w:color w:val="000000"/>
        </w:rPr>
        <w:footnoteReference w:id="21"/>
      </w:r>
      <w:r>
        <w:rPr>
          <w:rFonts w:hint="eastAsia"/>
          <w:color w:val="000000"/>
        </w:rPr>
        <w:t>1999</w:t>
      </w:r>
      <w:r>
        <w:rPr>
          <w:rFonts w:hint="eastAsia"/>
          <w:color w:val="000000"/>
        </w:rPr>
        <w:t>年</w:t>
      </w:r>
      <w:r>
        <w:rPr>
          <w:rFonts w:hint="eastAsia"/>
          <w:color w:val="000000"/>
        </w:rPr>
        <w:t>1</w:t>
      </w:r>
      <w:r>
        <w:rPr>
          <w:rFonts w:hint="eastAsia"/>
          <w:color w:val="000000"/>
        </w:rPr>
        <w:t>月到</w:t>
      </w:r>
      <w:r>
        <w:rPr>
          <w:rFonts w:hint="eastAsia"/>
          <w:color w:val="000000"/>
        </w:rPr>
        <w:t>10</w:t>
      </w:r>
      <w:r>
        <w:rPr>
          <w:rFonts w:hint="eastAsia"/>
          <w:color w:val="000000"/>
        </w:rPr>
        <w:t>月间，约有</w:t>
      </w:r>
      <w:r>
        <w:rPr>
          <w:rFonts w:hint="eastAsia"/>
          <w:color w:val="000000"/>
        </w:rPr>
        <w:t>630</w:t>
      </w:r>
      <w:r>
        <w:rPr>
          <w:rFonts w:hint="eastAsia"/>
          <w:color w:val="000000"/>
        </w:rPr>
        <w:t>人惨遭杀害。</w:t>
      </w:r>
      <w:r>
        <w:rPr>
          <w:rStyle w:val="FootnoteReference"/>
          <w:color w:val="000000"/>
        </w:rPr>
        <w:footnoteReference w:id="22"/>
      </w:r>
      <w:r>
        <w:rPr>
          <w:rFonts w:hint="eastAsia"/>
          <w:color w:val="000000"/>
        </w:rPr>
        <w:t>这种情况一直持续到</w:t>
      </w:r>
      <w:r>
        <w:rPr>
          <w:rFonts w:hint="eastAsia"/>
          <w:color w:val="000000"/>
        </w:rPr>
        <w:t>9</w:t>
      </w:r>
      <w:r>
        <w:rPr>
          <w:rFonts w:hint="eastAsia"/>
          <w:color w:val="000000"/>
        </w:rPr>
        <w:t>月</w:t>
      </w:r>
      <w:r>
        <w:rPr>
          <w:rFonts w:hint="eastAsia"/>
          <w:color w:val="000000"/>
        </w:rPr>
        <w:t>15</w:t>
      </w:r>
      <w:r>
        <w:rPr>
          <w:rFonts w:hint="eastAsia"/>
          <w:color w:val="000000"/>
        </w:rPr>
        <w:t>日，联合国安理会与印度尼西亚政府达成协议，由联合国安理会授权在东帝汶部署多国部队。</w:t>
      </w:r>
      <w:r>
        <w:rPr>
          <w:rStyle w:val="FootnoteReference"/>
          <w:color w:val="000000"/>
        </w:rPr>
        <w:footnoteReference w:id="23"/>
      </w:r>
      <w:r>
        <w:rPr>
          <w:rFonts w:hint="eastAsia"/>
          <w:color w:val="000000"/>
        </w:rPr>
        <w:t>1999</w:t>
      </w:r>
      <w:r>
        <w:rPr>
          <w:rFonts w:hint="eastAsia"/>
          <w:color w:val="000000"/>
        </w:rPr>
        <w:t>年</w:t>
      </w:r>
      <w:r>
        <w:rPr>
          <w:rFonts w:hint="eastAsia"/>
          <w:color w:val="000000"/>
        </w:rPr>
        <w:t>9</w:t>
      </w:r>
      <w:r>
        <w:rPr>
          <w:rFonts w:hint="eastAsia"/>
          <w:color w:val="000000"/>
        </w:rPr>
        <w:t>月</w:t>
      </w:r>
      <w:r>
        <w:rPr>
          <w:rFonts w:hint="eastAsia"/>
          <w:color w:val="000000"/>
        </w:rPr>
        <w:t>20</w:t>
      </w:r>
      <w:r>
        <w:rPr>
          <w:rFonts w:hint="eastAsia"/>
          <w:color w:val="000000"/>
        </w:rPr>
        <w:t>日，首支由澳大利亚率领的东帝汶国际维和部队</w:t>
      </w:r>
      <w:r>
        <w:rPr>
          <w:color w:val="000000"/>
        </w:rPr>
        <w:t>（</w:t>
      </w:r>
      <w:r>
        <w:rPr>
          <w:color w:val="000000"/>
        </w:rPr>
        <w:t>Interfet</w:t>
      </w:r>
      <w:r>
        <w:rPr>
          <w:color w:val="000000"/>
        </w:rPr>
        <w:t>）</w:t>
      </w:r>
      <w:r>
        <w:rPr>
          <w:rFonts w:hint="eastAsia"/>
          <w:color w:val="000000"/>
        </w:rPr>
        <w:t>先遣队到达东帝汶首都帝力，负责维护当地的和平与治安，保护并支持联合国东帝汶支助团在力所能及范围内开展工作，并协助开展人道主义援助行动。</w:t>
      </w:r>
    </w:p>
    <w:p w:rsidR="00692915" w:rsidRDefault="00692915">
      <w:pPr>
        <w:pStyle w:val="Heading3"/>
        <w:jc w:val="both"/>
        <w:rPr>
          <w:rFonts w:ascii="KaiTi_GB2312" w:eastAsia="KaiTi_GB2312" w:hint="eastAsia"/>
          <w:color w:val="000000"/>
          <w:u w:val="none"/>
        </w:rPr>
      </w:pPr>
      <w:r>
        <w:rPr>
          <w:rFonts w:ascii="KaiTi_GB2312" w:eastAsia="KaiTi_GB2312" w:hint="eastAsia"/>
          <w:color w:val="000000"/>
          <w:u w:val="none"/>
        </w:rPr>
        <w:t>联合国行政当局</w:t>
      </w:r>
      <w:r>
        <w:rPr>
          <w:rFonts w:eastAsia="SimHei" w:hint="eastAsia"/>
          <w:color w:val="000000"/>
          <w:spacing w:val="0"/>
          <w:u w:val="none"/>
        </w:rPr>
        <w:t>——</w:t>
      </w:r>
      <w:r>
        <w:rPr>
          <w:rFonts w:ascii="KaiTi_GB2312" w:eastAsia="KaiTi_GB2312" w:hint="eastAsia"/>
          <w:color w:val="000000"/>
          <w:u w:val="none"/>
        </w:rPr>
        <w:t>向完全独立过渡</w:t>
      </w:r>
    </w:p>
    <w:p w:rsidR="00692915" w:rsidRDefault="00692915" w:rsidP="009A1C1B">
      <w:pPr>
        <w:ind w:firstLine="31680"/>
        <w:rPr>
          <w:rFonts w:hint="eastAsia"/>
          <w:color w:val="000000"/>
        </w:rPr>
      </w:pPr>
      <w:r>
        <w:rPr>
          <w:color w:val="000000"/>
        </w:rPr>
        <w:t>37.</w:t>
      </w:r>
      <w:r>
        <w:rPr>
          <w:color w:val="000000"/>
        </w:rPr>
        <w:tab/>
      </w:r>
      <w:r>
        <w:rPr>
          <w:rFonts w:hint="eastAsia"/>
          <w:color w:val="000000"/>
        </w:rPr>
        <w:t>在东帝汶部署国际维和部队之后，联合国又成立了</w:t>
      </w:r>
      <w:r>
        <w:rPr>
          <w:rFonts w:hint="eastAsia"/>
          <w:bCs/>
          <w:color w:val="000000"/>
        </w:rPr>
        <w:t>联合国东帝汶过渡行政当局</w:t>
      </w:r>
      <w:r>
        <w:rPr>
          <w:color w:val="000000"/>
        </w:rPr>
        <w:t>（</w:t>
      </w:r>
      <w:r>
        <w:rPr>
          <w:rFonts w:hint="eastAsia"/>
          <w:bCs/>
          <w:color w:val="000000"/>
        </w:rPr>
        <w:t>东帝汶过渡当局</w:t>
      </w:r>
      <w:r>
        <w:rPr>
          <w:color w:val="000000"/>
        </w:rPr>
        <w:t>）</w:t>
      </w:r>
      <w:r>
        <w:rPr>
          <w:rFonts w:hint="eastAsia"/>
          <w:color w:val="000000"/>
        </w:rPr>
        <w:t>，</w:t>
      </w:r>
      <w:r>
        <w:rPr>
          <w:rStyle w:val="FootnoteReference"/>
          <w:color w:val="000000"/>
        </w:rPr>
        <w:footnoteReference w:id="24"/>
      </w:r>
      <w:r>
        <w:rPr>
          <w:rFonts w:hint="eastAsia"/>
          <w:color w:val="000000"/>
        </w:rPr>
        <w:t>在国家完全独立前的过渡期间对其领土进行管理。根据决议，</w:t>
      </w:r>
      <w:r>
        <w:rPr>
          <w:color w:val="000000"/>
        </w:rPr>
        <w:t>联合国东帝汶过渡行政当局</w:t>
      </w:r>
      <w:r>
        <w:rPr>
          <w:rFonts w:hint="eastAsia"/>
          <w:color w:val="000000"/>
        </w:rPr>
        <w:t>具有行政、立法和司法权，并受托为东帝汶自治创造条件。作为授权的一部分，</w:t>
      </w:r>
      <w:r>
        <w:rPr>
          <w:color w:val="000000"/>
        </w:rPr>
        <w:t>联合国东帝汶过渡行政当局</w:t>
      </w:r>
      <w:r>
        <w:rPr>
          <w:rFonts w:hint="eastAsia"/>
          <w:color w:val="000000"/>
        </w:rPr>
        <w:t>成立了全国协商委员会，该委员会由帝汶人和流亡人员组成，是一个准立法机构。该临时立法机构随后转变为全国委员会，由前抵抗领导人凯·拉拉·夏纳纳·古斯芒领导。</w:t>
      </w:r>
    </w:p>
    <w:p w:rsidR="00692915" w:rsidRDefault="00692915" w:rsidP="009A1C1B">
      <w:pPr>
        <w:ind w:firstLine="31680"/>
        <w:rPr>
          <w:rFonts w:hint="eastAsia"/>
          <w:color w:val="000000"/>
        </w:rPr>
      </w:pPr>
      <w:r>
        <w:rPr>
          <w:color w:val="000000"/>
        </w:rPr>
        <w:t>38.</w:t>
      </w:r>
      <w:r>
        <w:rPr>
          <w:color w:val="000000"/>
        </w:rPr>
        <w:tab/>
      </w:r>
      <w:r>
        <w:rPr>
          <w:rFonts w:hint="eastAsia"/>
          <w:color w:val="000000"/>
        </w:rPr>
        <w:t xml:space="preserve"> </w:t>
      </w:r>
      <w:r>
        <w:rPr>
          <w:rFonts w:hint="eastAsia"/>
          <w:color w:val="000000"/>
        </w:rPr>
        <w:t>联合国为期两年的行政管理职能分为三个阶段。第一个阶段大约为</w:t>
      </w:r>
      <w:r>
        <w:rPr>
          <w:rFonts w:hint="eastAsia"/>
          <w:color w:val="000000"/>
        </w:rPr>
        <w:t>6</w:t>
      </w:r>
      <w:r>
        <w:rPr>
          <w:rFonts w:hint="eastAsia"/>
          <w:color w:val="000000"/>
        </w:rPr>
        <w:t>个月，目标是在联合国秘书长特别代表的领导下成立完全由流亡人员组成的内阁，并从专业角度对行政管理的内阁成员进行了总的划分。到</w:t>
      </w:r>
      <w:r>
        <w:rPr>
          <w:rFonts w:hint="eastAsia"/>
          <w:color w:val="000000"/>
        </w:rPr>
        <w:t>2000</w:t>
      </w:r>
      <w:r>
        <w:rPr>
          <w:rFonts w:hint="eastAsia"/>
          <w:color w:val="000000"/>
        </w:rPr>
        <w:t>年</w:t>
      </w:r>
      <w:r>
        <w:rPr>
          <w:rFonts w:hint="eastAsia"/>
          <w:color w:val="000000"/>
        </w:rPr>
        <w:t>7</w:t>
      </w:r>
      <w:r>
        <w:rPr>
          <w:rFonts w:hint="eastAsia"/>
          <w:color w:val="000000"/>
        </w:rPr>
        <w:t>月，内阁扩大，纳入了被授予部长职位的</w:t>
      </w:r>
      <w:r>
        <w:rPr>
          <w:rFonts w:hint="eastAsia"/>
          <w:color w:val="000000"/>
        </w:rPr>
        <w:t>5</w:t>
      </w:r>
      <w:r>
        <w:rPr>
          <w:rFonts w:hint="eastAsia"/>
          <w:color w:val="000000"/>
        </w:rPr>
        <w:t>名成员，这为东帝汶首届入选政府的各部委奠定了基础。虽然仍在联合国秘书长特别顾问的管辖之下，但在制宪议会选举之后，东帝汶成立了完全独立的内阁，称为东帝汶过渡内阁（过渡内阁），由东帝汶首席部长领导。</w:t>
      </w:r>
    </w:p>
    <w:p w:rsidR="00692915" w:rsidRDefault="00692915" w:rsidP="009A1C1B">
      <w:pPr>
        <w:ind w:firstLine="31680"/>
        <w:rPr>
          <w:rFonts w:hint="eastAsia"/>
          <w:color w:val="000000"/>
        </w:rPr>
      </w:pPr>
      <w:r>
        <w:rPr>
          <w:color w:val="000000"/>
        </w:rPr>
        <w:t>39.</w:t>
      </w:r>
      <w:r>
        <w:rPr>
          <w:color w:val="000000"/>
        </w:rPr>
        <w:tab/>
      </w:r>
      <w:r>
        <w:rPr>
          <w:rFonts w:hint="eastAsia"/>
          <w:color w:val="000000"/>
        </w:rPr>
        <w:t>2001</w:t>
      </w:r>
      <w:r>
        <w:rPr>
          <w:rFonts w:hint="eastAsia"/>
          <w:color w:val="000000"/>
        </w:rPr>
        <w:t>年</w:t>
      </w:r>
      <w:r>
        <w:rPr>
          <w:rFonts w:hint="eastAsia"/>
          <w:color w:val="000000"/>
        </w:rPr>
        <w:t>8</w:t>
      </w:r>
      <w:r>
        <w:rPr>
          <w:rFonts w:hint="eastAsia"/>
          <w:color w:val="000000"/>
        </w:rPr>
        <w:t>月</w:t>
      </w:r>
      <w:r>
        <w:rPr>
          <w:rFonts w:hint="eastAsia"/>
          <w:color w:val="000000"/>
        </w:rPr>
        <w:t>30</w:t>
      </w:r>
      <w:r>
        <w:rPr>
          <w:rFonts w:hint="eastAsia"/>
          <w:color w:val="000000"/>
        </w:rPr>
        <w:t>日，在东帝汶有关独立的全民协商两年后，超过</w:t>
      </w:r>
      <w:r>
        <w:rPr>
          <w:rFonts w:hint="eastAsia"/>
          <w:color w:val="000000"/>
        </w:rPr>
        <w:t>91%</w:t>
      </w:r>
      <w:r>
        <w:rPr>
          <w:rFonts w:hint="eastAsia"/>
          <w:color w:val="000000"/>
        </w:rPr>
        <w:t>的东帝汶合法选民再次前往投票站，这次要选举的是</w:t>
      </w:r>
      <w:r>
        <w:rPr>
          <w:rFonts w:hint="eastAsia"/>
          <w:color w:val="000000"/>
        </w:rPr>
        <w:t>88</w:t>
      </w:r>
      <w:r>
        <w:rPr>
          <w:rFonts w:hint="eastAsia"/>
          <w:color w:val="000000"/>
        </w:rPr>
        <w:t>名制宪议会成员，制宪议会的任务是制定和通过一部新的宪法，建立未来选举框架，并向完全独立过渡。在东帝汶成为独立主权国家之前的过渡期间，东帝汶将由制宪议会和一个新的东帝汶政府共同管理。到</w:t>
      </w:r>
      <w:r>
        <w:rPr>
          <w:rFonts w:hint="eastAsia"/>
          <w:color w:val="000000"/>
        </w:rPr>
        <w:t>2002</w:t>
      </w:r>
      <w:r>
        <w:rPr>
          <w:rFonts w:hint="eastAsia"/>
          <w:color w:val="000000"/>
        </w:rPr>
        <w:t>年</w:t>
      </w:r>
      <w:r>
        <w:rPr>
          <w:rFonts w:hint="eastAsia"/>
          <w:color w:val="000000"/>
        </w:rPr>
        <w:t>2</w:t>
      </w:r>
      <w:r>
        <w:rPr>
          <w:rFonts w:hint="eastAsia"/>
          <w:color w:val="000000"/>
        </w:rPr>
        <w:t>月</w:t>
      </w:r>
      <w:r>
        <w:rPr>
          <w:rFonts w:hint="eastAsia"/>
          <w:color w:val="000000"/>
        </w:rPr>
        <w:t>9</w:t>
      </w:r>
      <w:r>
        <w:rPr>
          <w:rFonts w:hint="eastAsia"/>
          <w:color w:val="000000"/>
        </w:rPr>
        <w:t>日，制宪议会通过了该国首部《宪法草案》。</w:t>
      </w:r>
    </w:p>
    <w:p w:rsidR="00692915" w:rsidRDefault="00692915" w:rsidP="009A1C1B">
      <w:pPr>
        <w:spacing w:after="240"/>
        <w:ind w:firstLine="31680"/>
        <w:rPr>
          <w:rFonts w:hint="eastAsia"/>
          <w:color w:val="000000"/>
        </w:rPr>
      </w:pPr>
      <w:r>
        <w:rPr>
          <w:color w:val="000000"/>
        </w:rPr>
        <w:t>40.</w:t>
      </w:r>
      <w:r>
        <w:rPr>
          <w:rFonts w:hint="eastAsia"/>
          <w:color w:val="000000"/>
        </w:rPr>
        <w:t xml:space="preserve"> </w:t>
      </w:r>
      <w:r>
        <w:rPr>
          <w:rFonts w:hint="eastAsia"/>
          <w:color w:val="000000"/>
        </w:rPr>
        <w:t>尽管有人认为宪法草案还应更广泛地征求公众意见，但这次宪法起草称得上是一次公众参与行动。东帝汶人民热情高涨，他们在首都、各区以及县举办了各种研讨会和咨询会，以参与宪法起草过程。许多民间组织，包括天主教堂、非政府组织宪法工作组、妇女维权团体，都对制宪议会的宪法起草工作给予了支持，并提出了意见。妇女维权组织联合会向制宪议会提交了一份包括</w:t>
      </w:r>
      <w:r>
        <w:rPr>
          <w:rFonts w:hint="eastAsia"/>
          <w:color w:val="000000"/>
        </w:rPr>
        <w:t>10</w:t>
      </w:r>
      <w:r>
        <w:rPr>
          <w:rFonts w:hint="eastAsia"/>
          <w:color w:val="000000"/>
        </w:rPr>
        <w:t>项内容的妇女宪章，供制宪议会审议。尽管不是所有观点都能被纳入最终草案中，但一般认为《东帝汶宪法》全面考虑了各方意见，在承认和保护基本人权和自由方面尤其如此。</w:t>
      </w:r>
    </w:p>
    <w:p w:rsidR="00692915" w:rsidRDefault="00692915">
      <w:pPr>
        <w:pStyle w:val="Heading2"/>
        <w:jc w:val="both"/>
        <w:rPr>
          <w:rFonts w:hint="eastAsia"/>
          <w:color w:val="000000"/>
          <w:sz w:val="24"/>
        </w:rPr>
      </w:pPr>
      <w:bookmarkStart w:id="23" w:name="_Toc150514902"/>
      <w:bookmarkStart w:id="24" w:name="_Toc150684803"/>
      <w:r>
        <w:rPr>
          <w:color w:val="000000"/>
          <w:sz w:val="24"/>
        </w:rPr>
        <w:t xml:space="preserve">2.  </w:t>
      </w:r>
      <w:bookmarkEnd w:id="23"/>
      <w:bookmarkEnd w:id="24"/>
      <w:r>
        <w:rPr>
          <w:rFonts w:hint="eastAsia"/>
          <w:color w:val="000000"/>
          <w:sz w:val="24"/>
          <w:u w:val="single"/>
        </w:rPr>
        <w:t>总体的宪法体系</w:t>
      </w:r>
      <w:r>
        <w:rPr>
          <w:rFonts w:hint="eastAsia"/>
          <w:color w:val="000000"/>
          <w:sz w:val="24"/>
        </w:rPr>
        <w:t xml:space="preserve"> </w:t>
      </w:r>
    </w:p>
    <w:p w:rsidR="00692915" w:rsidRDefault="00692915" w:rsidP="009A1C1B">
      <w:pPr>
        <w:ind w:firstLine="31680"/>
        <w:rPr>
          <w:rFonts w:hint="eastAsia"/>
          <w:color w:val="000000"/>
        </w:rPr>
      </w:pPr>
      <w:r>
        <w:rPr>
          <w:color w:val="000000"/>
        </w:rPr>
        <w:t>41.</w:t>
      </w:r>
      <w:r>
        <w:rPr>
          <w:color w:val="000000"/>
        </w:rPr>
        <w:tab/>
      </w:r>
      <w:r>
        <w:rPr>
          <w:rFonts w:hint="eastAsia"/>
          <w:color w:val="000000"/>
        </w:rPr>
        <w:t>《东帝汶民主共和国宪法》为东帝汶的各项原则及体系提供了蓝图。国家所有机构都根据宪法框架设立，并在宪法框架内行使权利与义务。</w:t>
      </w:r>
    </w:p>
    <w:p w:rsidR="00692915" w:rsidRDefault="00692915" w:rsidP="009A1C1B">
      <w:pPr>
        <w:ind w:firstLine="31680"/>
        <w:rPr>
          <w:rFonts w:hint="eastAsia"/>
          <w:color w:val="000000"/>
        </w:rPr>
      </w:pPr>
      <w:r>
        <w:rPr>
          <w:color w:val="000000"/>
        </w:rPr>
        <w:t>42.</w:t>
      </w:r>
      <w:r>
        <w:rPr>
          <w:color w:val="000000"/>
        </w:rPr>
        <w:tab/>
      </w:r>
      <w:r>
        <w:rPr>
          <w:rFonts w:hint="eastAsia"/>
          <w:color w:val="000000"/>
        </w:rPr>
        <w:t>在《宪法》签署仪式上，制宪议会成员庄严重申了他们的坚定决心，立志要与各种形式的暴政、压迫、社会、文化、宗教专制以及种族隔离作斗争，捍卫国家独立，尊重并维护人权和公民的基本权利，确保在国家机构内部实行分权原则，建立基本的多党民主制度，从而将东帝汶建设成为一个公正和繁荣的国家，创建一个团结、友爱的社会。</w:t>
      </w:r>
      <w:r>
        <w:rPr>
          <w:rStyle w:val="FootnoteReference"/>
          <w:color w:val="000000"/>
        </w:rPr>
        <w:footnoteReference w:id="25"/>
      </w:r>
    </w:p>
    <w:p w:rsidR="00692915" w:rsidRDefault="00692915" w:rsidP="009A1C1B">
      <w:pPr>
        <w:ind w:firstLine="31680"/>
        <w:rPr>
          <w:rFonts w:hint="eastAsia"/>
          <w:color w:val="000000"/>
        </w:rPr>
      </w:pPr>
      <w:r>
        <w:rPr>
          <w:color w:val="000000"/>
        </w:rPr>
        <w:t>43.</w:t>
      </w:r>
      <w:r>
        <w:rPr>
          <w:color w:val="000000"/>
        </w:rPr>
        <w:tab/>
      </w:r>
      <w:r>
        <w:rPr>
          <w:rFonts w:hint="eastAsia"/>
          <w:color w:val="000000"/>
          <w:spacing w:val="8"/>
        </w:rPr>
        <w:t xml:space="preserve"> </w:t>
      </w:r>
      <w:r>
        <w:rPr>
          <w:rFonts w:hint="eastAsia"/>
          <w:color w:val="000000"/>
          <w:spacing w:val="8"/>
        </w:rPr>
        <w:t>《宪法》明确规定东帝汶共和国是一个在法治、分权制、顺应民意和尊重人类尊严基础上建立起来的民主、独立和统一的国家。</w:t>
      </w:r>
      <w:r>
        <w:rPr>
          <w:rStyle w:val="FootnoteReference"/>
          <w:color w:val="000000"/>
          <w:spacing w:val="8"/>
        </w:rPr>
        <w:footnoteReference w:id="26"/>
      </w:r>
      <w:r>
        <w:rPr>
          <w:rFonts w:hint="eastAsia"/>
          <w:color w:val="000000"/>
          <w:spacing w:val="8"/>
        </w:rPr>
        <w:t>它为国家不同部门的管理制定了重要目标，并对公民和其他人士的基本权利做了详细规定。</w:t>
      </w:r>
      <w:r>
        <w:rPr>
          <w:rStyle w:val="FootnoteReference"/>
          <w:color w:val="000000"/>
          <w:spacing w:val="8"/>
        </w:rPr>
        <w:footnoteReference w:id="27"/>
      </w:r>
      <w:r>
        <w:rPr>
          <w:rFonts w:hint="eastAsia"/>
          <w:color w:val="000000"/>
          <w:spacing w:val="8"/>
        </w:rPr>
        <w:t>这些国家目标包括：国家有义务捍卫和保证国家主权独立；</w:t>
      </w:r>
      <w:r>
        <w:rPr>
          <w:rStyle w:val="FootnoteReference"/>
          <w:color w:val="000000"/>
          <w:spacing w:val="8"/>
        </w:rPr>
        <w:footnoteReference w:id="28"/>
      </w:r>
      <w:r>
        <w:rPr>
          <w:rFonts w:hint="eastAsia"/>
          <w:color w:val="000000"/>
          <w:spacing w:val="8"/>
        </w:rPr>
        <w:t>保障并促进公民基本权利；</w:t>
      </w:r>
      <w:r>
        <w:rPr>
          <w:rStyle w:val="FootnoteReference"/>
          <w:color w:val="000000"/>
          <w:spacing w:val="8"/>
        </w:rPr>
        <w:footnoteReference w:id="29"/>
      </w:r>
      <w:r>
        <w:rPr>
          <w:rFonts w:hint="eastAsia"/>
          <w:color w:val="000000"/>
          <w:spacing w:val="8"/>
        </w:rPr>
        <w:t>政治民主和公共参与；</w:t>
      </w:r>
      <w:r>
        <w:rPr>
          <w:rStyle w:val="FootnoteReference"/>
          <w:color w:val="000000"/>
          <w:spacing w:val="8"/>
        </w:rPr>
        <w:footnoteReference w:id="30"/>
      </w:r>
      <w:r>
        <w:rPr>
          <w:rFonts w:hint="eastAsia"/>
          <w:color w:val="000000"/>
          <w:spacing w:val="8"/>
        </w:rPr>
        <w:t>促进基于社会公正的社会建设；</w:t>
      </w:r>
      <w:r>
        <w:rPr>
          <w:rStyle w:val="FootnoteReference"/>
          <w:color w:val="000000"/>
          <w:spacing w:val="8"/>
        </w:rPr>
        <w:footnoteReference w:id="31"/>
      </w:r>
      <w:r>
        <w:rPr>
          <w:rFonts w:hint="eastAsia"/>
          <w:color w:val="000000"/>
          <w:spacing w:val="8"/>
        </w:rPr>
        <w:t>促进和保证男女实际机会平等。</w:t>
      </w:r>
      <w:r>
        <w:rPr>
          <w:rStyle w:val="FootnoteReference"/>
          <w:color w:val="000000"/>
          <w:spacing w:val="8"/>
        </w:rPr>
        <w:footnoteReference w:id="32"/>
      </w:r>
    </w:p>
    <w:p w:rsidR="00692915" w:rsidRDefault="00692915" w:rsidP="009A1C1B">
      <w:pPr>
        <w:ind w:firstLine="31680"/>
        <w:rPr>
          <w:rFonts w:hint="eastAsia"/>
          <w:color w:val="000000"/>
        </w:rPr>
      </w:pPr>
      <w:r>
        <w:rPr>
          <w:color w:val="000000"/>
        </w:rPr>
        <w:t>44.</w:t>
      </w:r>
      <w:r>
        <w:rPr>
          <w:color w:val="000000"/>
        </w:rPr>
        <w:tab/>
      </w:r>
      <w:r>
        <w:rPr>
          <w:rFonts w:hint="eastAsia"/>
          <w:color w:val="000000"/>
        </w:rPr>
        <w:t>一系列宪法条文进一步明确了国家的原则与目标，可归纳为下列主要部分：</w:t>
      </w:r>
    </w:p>
    <w:p w:rsidR="00692915" w:rsidRDefault="00692915" w:rsidP="009A1C1B">
      <w:pPr>
        <w:numPr>
          <w:ilvl w:val="0"/>
          <w:numId w:val="17"/>
        </w:numPr>
        <w:tabs>
          <w:tab w:val="clear" w:pos="927"/>
          <w:tab w:val="num" w:pos="1560"/>
        </w:tabs>
        <w:ind w:leftChars="400" w:left="31680" w:hangingChars="200" w:firstLine="31680"/>
        <w:rPr>
          <w:color w:val="000000"/>
        </w:rPr>
      </w:pPr>
      <w:r>
        <w:rPr>
          <w:rFonts w:hint="eastAsia"/>
          <w:color w:val="000000"/>
        </w:rPr>
        <w:t>第一部分</w:t>
      </w:r>
      <w:r>
        <w:rPr>
          <w:rFonts w:eastAsia="SimHei" w:hint="eastAsia"/>
          <w:color w:val="000000"/>
          <w:spacing w:val="0"/>
        </w:rPr>
        <w:t>——</w:t>
      </w:r>
      <w:r>
        <w:rPr>
          <w:rFonts w:hint="eastAsia"/>
          <w:color w:val="000000"/>
        </w:rPr>
        <w:t>国家基本原则与目标；</w:t>
      </w:r>
    </w:p>
    <w:p w:rsidR="00692915" w:rsidRDefault="00692915" w:rsidP="009A1C1B">
      <w:pPr>
        <w:numPr>
          <w:ilvl w:val="0"/>
          <w:numId w:val="17"/>
        </w:numPr>
        <w:tabs>
          <w:tab w:val="clear" w:pos="927"/>
          <w:tab w:val="num" w:pos="1560"/>
        </w:tabs>
        <w:ind w:leftChars="400" w:left="31680" w:hangingChars="200" w:firstLine="31680"/>
        <w:rPr>
          <w:color w:val="000000"/>
        </w:rPr>
      </w:pPr>
      <w:r>
        <w:rPr>
          <w:rFonts w:hint="eastAsia"/>
          <w:color w:val="000000"/>
        </w:rPr>
        <w:t>第二部分</w:t>
      </w:r>
      <w:r>
        <w:rPr>
          <w:rFonts w:eastAsia="SimHei" w:hint="eastAsia"/>
          <w:color w:val="000000"/>
          <w:spacing w:val="0"/>
        </w:rPr>
        <w:t>——</w:t>
      </w:r>
      <w:r>
        <w:rPr>
          <w:rFonts w:hint="eastAsia"/>
          <w:color w:val="000000"/>
        </w:rPr>
        <w:t>国家致力于保护个人的基本权利、义务、自由与保障；</w:t>
      </w:r>
    </w:p>
    <w:p w:rsidR="00692915" w:rsidRDefault="00692915" w:rsidP="009A1C1B">
      <w:pPr>
        <w:numPr>
          <w:ilvl w:val="0"/>
          <w:numId w:val="17"/>
        </w:numPr>
        <w:tabs>
          <w:tab w:val="clear" w:pos="927"/>
          <w:tab w:val="num" w:pos="1560"/>
        </w:tabs>
        <w:ind w:leftChars="400" w:left="31680" w:hangingChars="200" w:firstLine="31680"/>
        <w:rPr>
          <w:color w:val="000000"/>
        </w:rPr>
      </w:pPr>
      <w:r>
        <w:rPr>
          <w:rFonts w:hint="eastAsia"/>
          <w:color w:val="000000"/>
        </w:rPr>
        <w:t>第三部分</w:t>
      </w:r>
      <w:r>
        <w:rPr>
          <w:rFonts w:eastAsia="SimHei" w:hint="eastAsia"/>
          <w:color w:val="000000"/>
          <w:spacing w:val="0"/>
        </w:rPr>
        <w:t>——</w:t>
      </w:r>
      <w:r>
        <w:rPr>
          <w:rFonts w:hint="eastAsia"/>
          <w:color w:val="000000"/>
        </w:rPr>
        <w:t>国家政治权利机构；经济与金融组织；</w:t>
      </w:r>
    </w:p>
    <w:p w:rsidR="00692915" w:rsidRDefault="00692915" w:rsidP="009A1C1B">
      <w:pPr>
        <w:numPr>
          <w:ilvl w:val="0"/>
          <w:numId w:val="17"/>
        </w:numPr>
        <w:tabs>
          <w:tab w:val="clear" w:pos="927"/>
          <w:tab w:val="num" w:pos="1560"/>
        </w:tabs>
        <w:ind w:leftChars="400" w:left="31680" w:hangingChars="200" w:firstLine="31680"/>
        <w:rPr>
          <w:color w:val="000000"/>
        </w:rPr>
      </w:pPr>
      <w:r>
        <w:rPr>
          <w:rFonts w:hint="eastAsia"/>
          <w:color w:val="000000"/>
        </w:rPr>
        <w:t>第四部分</w:t>
      </w:r>
      <w:r>
        <w:rPr>
          <w:rFonts w:eastAsia="SimHei" w:hint="eastAsia"/>
          <w:color w:val="000000"/>
          <w:spacing w:val="0"/>
        </w:rPr>
        <w:t>——</w:t>
      </w:r>
      <w:r>
        <w:rPr>
          <w:rFonts w:hint="eastAsia"/>
          <w:color w:val="000000"/>
        </w:rPr>
        <w:t>经济与金融组织；</w:t>
      </w:r>
    </w:p>
    <w:p w:rsidR="00692915" w:rsidRDefault="00692915" w:rsidP="009A1C1B">
      <w:pPr>
        <w:numPr>
          <w:ilvl w:val="0"/>
          <w:numId w:val="17"/>
        </w:numPr>
        <w:tabs>
          <w:tab w:val="clear" w:pos="927"/>
          <w:tab w:val="num" w:pos="1560"/>
        </w:tabs>
        <w:ind w:leftChars="400" w:left="31680" w:hangingChars="200" w:firstLine="31680"/>
        <w:rPr>
          <w:color w:val="000000"/>
        </w:rPr>
      </w:pPr>
      <w:r>
        <w:rPr>
          <w:rFonts w:hint="eastAsia"/>
          <w:color w:val="000000"/>
        </w:rPr>
        <w:t>第五部分</w:t>
      </w:r>
      <w:r>
        <w:rPr>
          <w:rFonts w:eastAsia="SimHei" w:hint="eastAsia"/>
          <w:color w:val="000000"/>
          <w:spacing w:val="0"/>
        </w:rPr>
        <w:t>——</w:t>
      </w:r>
      <w:r>
        <w:rPr>
          <w:rFonts w:hint="eastAsia"/>
          <w:color w:val="000000"/>
        </w:rPr>
        <w:t>国防与安全</w:t>
      </w:r>
    </w:p>
    <w:p w:rsidR="00692915" w:rsidRDefault="00692915" w:rsidP="009A1C1B">
      <w:pPr>
        <w:numPr>
          <w:ilvl w:val="0"/>
          <w:numId w:val="17"/>
        </w:numPr>
        <w:tabs>
          <w:tab w:val="clear" w:pos="927"/>
          <w:tab w:val="num" w:pos="1560"/>
        </w:tabs>
        <w:ind w:leftChars="400" w:left="31680" w:hangingChars="200" w:firstLine="31680"/>
        <w:rPr>
          <w:color w:val="000000"/>
        </w:rPr>
      </w:pPr>
      <w:r>
        <w:rPr>
          <w:rFonts w:hint="eastAsia"/>
          <w:color w:val="000000"/>
        </w:rPr>
        <w:t>第六部分</w:t>
      </w:r>
      <w:r>
        <w:rPr>
          <w:rFonts w:eastAsia="SimHei" w:hint="eastAsia"/>
          <w:color w:val="000000"/>
          <w:spacing w:val="0"/>
        </w:rPr>
        <w:t>——</w:t>
      </w:r>
      <w:r>
        <w:rPr>
          <w:rFonts w:hint="eastAsia"/>
          <w:color w:val="000000"/>
        </w:rPr>
        <w:t>《宪法》保障和修订；以及</w:t>
      </w:r>
    </w:p>
    <w:p w:rsidR="00692915" w:rsidRDefault="00692915" w:rsidP="009A1C1B">
      <w:pPr>
        <w:numPr>
          <w:ilvl w:val="0"/>
          <w:numId w:val="17"/>
        </w:numPr>
        <w:tabs>
          <w:tab w:val="clear" w:pos="927"/>
          <w:tab w:val="num" w:pos="1560"/>
        </w:tabs>
        <w:spacing w:after="240"/>
        <w:ind w:leftChars="400" w:left="31680" w:hangingChars="200" w:firstLine="31680"/>
        <w:rPr>
          <w:color w:val="000000"/>
        </w:rPr>
      </w:pPr>
      <w:r>
        <w:rPr>
          <w:rFonts w:hint="eastAsia"/>
          <w:color w:val="000000"/>
        </w:rPr>
        <w:t>第七部分</w:t>
      </w:r>
      <w:r>
        <w:rPr>
          <w:rFonts w:eastAsia="SimHei" w:hint="eastAsia"/>
          <w:color w:val="000000"/>
          <w:spacing w:val="0"/>
        </w:rPr>
        <w:t>——</w:t>
      </w:r>
      <w:r>
        <w:rPr>
          <w:rFonts w:hint="eastAsia"/>
          <w:color w:val="000000"/>
        </w:rPr>
        <w:t>《宪法》最终条款和过渡性条款，以及有关修订的条款。</w:t>
      </w:r>
    </w:p>
    <w:p w:rsidR="00692915" w:rsidRDefault="00692915" w:rsidP="009A1C1B">
      <w:pPr>
        <w:ind w:firstLine="31680"/>
        <w:rPr>
          <w:rFonts w:hint="eastAsia"/>
          <w:color w:val="000000"/>
        </w:rPr>
      </w:pPr>
      <w:r>
        <w:rPr>
          <w:color w:val="000000"/>
        </w:rPr>
        <w:t>45.</w:t>
      </w:r>
      <w:r>
        <w:rPr>
          <w:color w:val="000000"/>
        </w:rPr>
        <w:tab/>
      </w:r>
      <w:r>
        <w:rPr>
          <w:rFonts w:hint="eastAsia"/>
          <w:color w:val="000000"/>
        </w:rPr>
        <w:t>《宪法》对一系列民事、政治、经济、社会和文化权利做出了明确规定，如：对生命、人身自由、人身安全、荣誉与隐私的权利；家庭保护；言论、集会和结社自由；移徙自由；科学、宗教和信仰自由；以及社会与经济权利——包括工作权与罢工权、私人财产权、健康权、住房权、教育和文化权。此外，还包括享受清洁环境权和文化权（知识产权）。尤其是，《宪法》对弱势人群（包括儿童、青年和残疾人）的权利给予了特别关注。</w:t>
      </w:r>
    </w:p>
    <w:p w:rsidR="00692915" w:rsidRDefault="00692915" w:rsidP="009A1C1B">
      <w:pPr>
        <w:spacing w:after="240"/>
        <w:ind w:firstLine="31680"/>
        <w:rPr>
          <w:rFonts w:hint="eastAsia"/>
          <w:color w:val="000000"/>
        </w:rPr>
      </w:pPr>
      <w:r>
        <w:rPr>
          <w:color w:val="000000"/>
        </w:rPr>
        <w:t>46.</w:t>
      </w:r>
      <w:r>
        <w:rPr>
          <w:color w:val="000000"/>
        </w:rPr>
        <w:tab/>
      </w:r>
      <w:r>
        <w:rPr>
          <w:rFonts w:hint="eastAsia"/>
          <w:color w:val="000000"/>
        </w:rPr>
        <w:t>《宪法》可在其实施或最后审定日后</w:t>
      </w:r>
      <w:r>
        <w:rPr>
          <w:rFonts w:hint="eastAsia"/>
          <w:color w:val="000000"/>
        </w:rPr>
        <w:t>6</w:t>
      </w:r>
      <w:r>
        <w:rPr>
          <w:rFonts w:hint="eastAsia"/>
          <w:color w:val="000000"/>
        </w:rPr>
        <w:t>年进行修改。议会议员和议会组织有义务对《宪法》提起修改。</w:t>
      </w:r>
      <w:r>
        <w:rPr>
          <w:rStyle w:val="FootnoteReference"/>
          <w:color w:val="000000"/>
        </w:rPr>
        <w:footnoteReference w:id="33"/>
      </w:r>
      <w:r>
        <w:rPr>
          <w:rFonts w:hint="eastAsia"/>
          <w:color w:val="000000"/>
        </w:rPr>
        <w:t>涉及国家独立与统一；公民权利、自由与保障；分权；法院独立；多党制度与民主反对权；以及通过自由、普遍和直接方式进行无记名和定期投票等事项不得进行修订。</w:t>
      </w:r>
      <w:r>
        <w:rPr>
          <w:rStyle w:val="FootnoteReference"/>
          <w:color w:val="000000"/>
        </w:rPr>
        <w:footnoteReference w:id="34"/>
      </w:r>
      <w:r>
        <w:rPr>
          <w:rFonts w:hint="eastAsia"/>
          <w:color w:val="000000"/>
        </w:rPr>
        <w:t>在国家处于戒严状态或紧急状态期间，不得采取任何行动对《宪法》进行修改。</w:t>
      </w:r>
      <w:r>
        <w:rPr>
          <w:rStyle w:val="FootnoteReference"/>
          <w:color w:val="000000"/>
        </w:rPr>
        <w:footnoteReference w:id="35"/>
      </w:r>
    </w:p>
    <w:p w:rsidR="00692915" w:rsidRDefault="00692915">
      <w:pPr>
        <w:pStyle w:val="Heading2"/>
        <w:jc w:val="both"/>
        <w:rPr>
          <w:rFonts w:hint="eastAsia"/>
          <w:color w:val="000000"/>
          <w:sz w:val="24"/>
        </w:rPr>
      </w:pPr>
      <w:bookmarkStart w:id="25" w:name="_Toc150514903"/>
      <w:bookmarkStart w:id="26" w:name="_Toc150684804"/>
      <w:r>
        <w:rPr>
          <w:color w:val="000000"/>
          <w:sz w:val="24"/>
        </w:rPr>
        <w:t xml:space="preserve">3.  </w:t>
      </w:r>
      <w:bookmarkEnd w:id="25"/>
      <w:bookmarkEnd w:id="26"/>
      <w:r>
        <w:rPr>
          <w:rFonts w:hint="eastAsia"/>
          <w:color w:val="000000"/>
          <w:sz w:val="24"/>
          <w:u w:val="single"/>
        </w:rPr>
        <w:t>政治体系</w:t>
      </w:r>
    </w:p>
    <w:p w:rsidR="00692915" w:rsidRDefault="00692915" w:rsidP="009A1C1B">
      <w:pPr>
        <w:ind w:firstLine="31680"/>
        <w:rPr>
          <w:rFonts w:hint="eastAsia"/>
          <w:color w:val="000000"/>
        </w:rPr>
      </w:pPr>
      <w:r>
        <w:rPr>
          <w:color w:val="000000"/>
        </w:rPr>
        <w:t>47.</w:t>
      </w:r>
      <w:r>
        <w:rPr>
          <w:color w:val="000000"/>
        </w:rPr>
        <w:tab/>
      </w:r>
      <w:r>
        <w:rPr>
          <w:rFonts w:hint="eastAsia"/>
          <w:color w:val="000000"/>
        </w:rPr>
        <w:t>《宪法</w:t>
      </w:r>
      <w:r>
        <w:rPr>
          <w:rFonts w:hint="eastAsia"/>
          <w:bCs/>
          <w:color w:val="000000"/>
        </w:rPr>
        <w:t>》</w:t>
      </w:r>
      <w:r>
        <w:rPr>
          <w:rFonts w:hint="eastAsia"/>
          <w:color w:val="000000"/>
        </w:rPr>
        <w:t>规定政治权力属于人民，并按《宪法》规定通过全面、自由、平等、直接、不记名和定期的方式投票加以实施。</w:t>
      </w:r>
      <w:r>
        <w:rPr>
          <w:rStyle w:val="FootnoteReference"/>
          <w:color w:val="000000"/>
        </w:rPr>
        <w:footnoteReference w:id="36"/>
      </w:r>
    </w:p>
    <w:p w:rsidR="00692915" w:rsidRDefault="00692915" w:rsidP="009A1C1B">
      <w:pPr>
        <w:ind w:firstLine="31680"/>
        <w:rPr>
          <w:rFonts w:hint="eastAsia"/>
          <w:color w:val="000000"/>
        </w:rPr>
      </w:pPr>
      <w:r>
        <w:rPr>
          <w:color w:val="000000"/>
        </w:rPr>
        <w:t>48.</w:t>
      </w:r>
      <w:r>
        <w:rPr>
          <w:color w:val="000000"/>
        </w:rPr>
        <w:tab/>
      </w:r>
      <w:r>
        <w:rPr>
          <w:rFonts w:hint="eastAsia"/>
          <w:color w:val="000000"/>
        </w:rPr>
        <w:t>东帝汶实行半总统制，在这种体制下，国家机关包括共和国总统、议会、内阁和法院。</w:t>
      </w:r>
      <w:r>
        <w:rPr>
          <w:rStyle w:val="FootnoteReference"/>
          <w:color w:val="000000"/>
        </w:rPr>
        <w:footnoteReference w:id="37"/>
      </w:r>
      <w:r>
        <w:rPr>
          <w:rFonts w:hint="eastAsia"/>
          <w:color w:val="000000"/>
        </w:rPr>
        <w:t>政府各部门在行使其职责时，应遵守分权原则，包括国家与教会分立，《宪法》中确定的权利相互依赖原则</w:t>
      </w:r>
      <w:r>
        <w:rPr>
          <w:rStyle w:val="FootnoteReference"/>
          <w:color w:val="000000"/>
        </w:rPr>
        <w:footnoteReference w:id="38"/>
      </w:r>
      <w:r>
        <w:rPr>
          <w:rFonts w:hint="eastAsia"/>
          <w:color w:val="000000"/>
        </w:rPr>
        <w:t>等。总统和议会直接通过选举产生，并为司法独立提供保护。</w:t>
      </w:r>
    </w:p>
    <w:p w:rsidR="00692915" w:rsidRDefault="00692915" w:rsidP="009A1C1B">
      <w:pPr>
        <w:ind w:firstLine="31680"/>
        <w:rPr>
          <w:rFonts w:hint="eastAsia"/>
          <w:color w:val="000000"/>
        </w:rPr>
      </w:pPr>
      <w:r>
        <w:rPr>
          <w:color w:val="000000"/>
        </w:rPr>
        <w:t>49.</w:t>
      </w:r>
      <w:r>
        <w:rPr>
          <w:color w:val="000000"/>
        </w:rPr>
        <w:tab/>
      </w:r>
      <w:r>
        <w:rPr>
          <w:rFonts w:hint="eastAsia"/>
          <w:color w:val="000000"/>
        </w:rPr>
        <w:t>共和国总统，作为国家元首和国防军总司令，是民族独立、国家统一和民主机构发挥正常作用的象征与保证。总统由人民直接选举产生，并在其职权范围内根据具体情况有权解散议会、内阁和免除总理职务。</w:t>
      </w:r>
      <w:r>
        <w:rPr>
          <w:rStyle w:val="FootnoteReference"/>
          <w:color w:val="000000"/>
        </w:rPr>
        <w:footnoteReference w:id="39"/>
      </w:r>
    </w:p>
    <w:p w:rsidR="00692915" w:rsidRDefault="00692915" w:rsidP="009A1C1B">
      <w:pPr>
        <w:spacing w:after="240"/>
        <w:ind w:firstLine="31680"/>
        <w:rPr>
          <w:rFonts w:hint="eastAsia"/>
          <w:color w:val="000000"/>
        </w:rPr>
      </w:pPr>
      <w:r>
        <w:rPr>
          <w:color w:val="000000"/>
        </w:rPr>
        <w:t>50.</w:t>
      </w:r>
      <w:r>
        <w:rPr>
          <w:color w:val="000000"/>
        </w:rPr>
        <w:tab/>
      </w:r>
      <w:r>
        <w:rPr>
          <w:rFonts w:hint="eastAsia"/>
          <w:color w:val="000000"/>
        </w:rPr>
        <w:t>《宪法》规定由国务院协助总统行使《宪法》赋予他的职权</w:t>
      </w:r>
      <w:r>
        <w:rPr>
          <w:rStyle w:val="FootnoteReference"/>
          <w:color w:val="000000"/>
        </w:rPr>
        <w:footnoteReference w:id="40"/>
      </w:r>
      <w:r>
        <w:rPr>
          <w:rFonts w:hint="eastAsia"/>
          <w:color w:val="000000"/>
        </w:rPr>
        <w:t>。国务院于</w:t>
      </w:r>
      <w:r>
        <w:rPr>
          <w:rFonts w:hint="eastAsia"/>
          <w:color w:val="000000"/>
        </w:rPr>
        <w:t>2005</w:t>
      </w:r>
      <w:r>
        <w:rPr>
          <w:rFonts w:hint="eastAsia"/>
          <w:color w:val="000000"/>
        </w:rPr>
        <w:t>年</w:t>
      </w:r>
      <w:r>
        <w:rPr>
          <w:rFonts w:hint="eastAsia"/>
          <w:color w:val="000000"/>
        </w:rPr>
        <w:t>5</w:t>
      </w:r>
      <w:r>
        <w:rPr>
          <w:rFonts w:hint="eastAsia"/>
          <w:color w:val="000000"/>
        </w:rPr>
        <w:t>月</w:t>
      </w:r>
      <w:r>
        <w:rPr>
          <w:rFonts w:hint="eastAsia"/>
          <w:color w:val="000000"/>
        </w:rPr>
        <w:t>17</w:t>
      </w:r>
      <w:r>
        <w:rPr>
          <w:rFonts w:hint="eastAsia"/>
          <w:color w:val="000000"/>
        </w:rPr>
        <w:t>日成立，目前其成员包括国民议会议长、总理、反对党领袖和一名民间社会代表。</w:t>
      </w:r>
    </w:p>
    <w:p w:rsidR="00692915" w:rsidRDefault="00692915">
      <w:pPr>
        <w:pStyle w:val="Heading3"/>
        <w:jc w:val="both"/>
        <w:rPr>
          <w:rFonts w:eastAsia="KaiTi_GB2312" w:hint="eastAsia"/>
          <w:color w:val="000000"/>
          <w:u w:val="none"/>
        </w:rPr>
      </w:pPr>
      <w:r>
        <w:rPr>
          <w:rFonts w:eastAsia="KaiTi_GB2312" w:hint="eastAsia"/>
          <w:color w:val="000000"/>
          <w:u w:val="none"/>
        </w:rPr>
        <w:t>议会</w:t>
      </w:r>
    </w:p>
    <w:p w:rsidR="00692915" w:rsidRDefault="00692915" w:rsidP="009A1C1B">
      <w:pPr>
        <w:ind w:firstLine="31680"/>
        <w:rPr>
          <w:rFonts w:hint="eastAsia"/>
          <w:color w:val="000000"/>
        </w:rPr>
      </w:pPr>
      <w:r>
        <w:rPr>
          <w:color w:val="000000"/>
        </w:rPr>
        <w:t>51.</w:t>
      </w:r>
      <w:r>
        <w:rPr>
          <w:color w:val="000000"/>
        </w:rPr>
        <w:tab/>
      </w:r>
      <w:r>
        <w:rPr>
          <w:rFonts w:hint="eastAsia"/>
          <w:color w:val="000000"/>
        </w:rPr>
        <w:t xml:space="preserve"> </w:t>
      </w:r>
      <w:r>
        <w:rPr>
          <w:rFonts w:hint="eastAsia"/>
          <w:color w:val="000000"/>
        </w:rPr>
        <w:t>议会是一个主权机构，是选民的具体体现，旨在确定国家法律和预算，赋予内阁民主合法性，并对内阁实行问责制。《东帝汶宪法》明确指出，没有一个能有效发挥作用的议会，就不可能有持续的民主、透明或责任。</w:t>
      </w:r>
    </w:p>
    <w:p w:rsidR="00692915" w:rsidRDefault="00692915" w:rsidP="009A1C1B">
      <w:pPr>
        <w:ind w:firstLine="31680"/>
        <w:rPr>
          <w:rFonts w:hint="eastAsia"/>
          <w:color w:val="000000"/>
        </w:rPr>
      </w:pPr>
      <w:r>
        <w:rPr>
          <w:color w:val="000000"/>
        </w:rPr>
        <w:t>52.</w:t>
      </w:r>
      <w:r>
        <w:rPr>
          <w:rFonts w:hint="eastAsia"/>
          <w:color w:val="000000"/>
        </w:rPr>
        <w:t xml:space="preserve"> </w:t>
      </w:r>
      <w:r>
        <w:rPr>
          <w:rFonts w:hint="eastAsia"/>
          <w:color w:val="000000"/>
        </w:rPr>
        <w:t>作为一个主权机构，国民议会具有立法监督和政治决策权，</w:t>
      </w:r>
      <w:r>
        <w:rPr>
          <w:rStyle w:val="FootnoteReference"/>
          <w:color w:val="000000"/>
        </w:rPr>
        <w:footnoteReference w:id="41"/>
      </w:r>
      <w:r>
        <w:rPr>
          <w:rFonts w:hint="eastAsia"/>
          <w:color w:val="000000"/>
        </w:rPr>
        <w:t>除了其他方面之外，有权制定以下方面的法律：</w:t>
      </w:r>
      <w:r>
        <w:rPr>
          <w:rStyle w:val="FootnoteReference"/>
          <w:color w:val="000000"/>
        </w:rPr>
        <w:footnoteReference w:id="42"/>
      </w:r>
    </w:p>
    <w:p w:rsidR="00692915" w:rsidRDefault="00692915" w:rsidP="009A1C1B">
      <w:pPr>
        <w:numPr>
          <w:ilvl w:val="0"/>
          <w:numId w:val="17"/>
        </w:numPr>
        <w:tabs>
          <w:tab w:val="clear" w:pos="927"/>
          <w:tab w:val="num" w:pos="1560"/>
        </w:tabs>
        <w:ind w:leftChars="400" w:left="31680" w:hangingChars="200" w:firstLine="31680"/>
        <w:rPr>
          <w:color w:val="000000"/>
        </w:rPr>
      </w:pPr>
      <w:r>
        <w:rPr>
          <w:rFonts w:hint="eastAsia"/>
          <w:color w:val="000000"/>
        </w:rPr>
        <w:t>《公民身份法》（即：《国籍法》）；</w:t>
      </w:r>
    </w:p>
    <w:p w:rsidR="00692915" w:rsidRDefault="00692915" w:rsidP="009A1C1B">
      <w:pPr>
        <w:numPr>
          <w:ilvl w:val="0"/>
          <w:numId w:val="17"/>
        </w:numPr>
        <w:tabs>
          <w:tab w:val="clear" w:pos="927"/>
          <w:tab w:val="num" w:pos="1560"/>
        </w:tabs>
        <w:ind w:leftChars="400" w:left="31680" w:hangingChars="200" w:firstLine="31680"/>
        <w:rPr>
          <w:color w:val="000000"/>
        </w:rPr>
      </w:pPr>
      <w:r>
        <w:rPr>
          <w:rFonts w:hint="eastAsia"/>
          <w:color w:val="000000"/>
        </w:rPr>
        <w:t>《权利自由与保障法》；</w:t>
      </w:r>
    </w:p>
    <w:p w:rsidR="00692915" w:rsidRDefault="00692915" w:rsidP="009A1C1B">
      <w:pPr>
        <w:numPr>
          <w:ilvl w:val="0"/>
          <w:numId w:val="17"/>
        </w:numPr>
        <w:tabs>
          <w:tab w:val="clear" w:pos="927"/>
          <w:tab w:val="num" w:pos="1560"/>
        </w:tabs>
        <w:ind w:leftChars="400" w:left="31680" w:hangingChars="200" w:firstLine="31680"/>
        <w:rPr>
          <w:color w:val="000000"/>
        </w:rPr>
      </w:pPr>
      <w:r>
        <w:rPr>
          <w:rFonts w:hint="eastAsia"/>
          <w:color w:val="000000"/>
        </w:rPr>
        <w:t>《选举法和公民投票法》；</w:t>
      </w:r>
    </w:p>
    <w:p w:rsidR="00692915" w:rsidRDefault="00692915" w:rsidP="009A1C1B">
      <w:pPr>
        <w:numPr>
          <w:ilvl w:val="0"/>
          <w:numId w:val="17"/>
        </w:numPr>
        <w:tabs>
          <w:tab w:val="clear" w:pos="927"/>
          <w:tab w:val="num" w:pos="1560"/>
        </w:tabs>
        <w:ind w:leftChars="400" w:left="31680" w:hangingChars="200" w:firstLine="31680"/>
        <w:rPr>
          <w:color w:val="000000"/>
        </w:rPr>
      </w:pPr>
      <w:r>
        <w:rPr>
          <w:rFonts w:hint="eastAsia"/>
          <w:color w:val="000000"/>
        </w:rPr>
        <w:t>《国防与安全法》；</w:t>
      </w:r>
    </w:p>
    <w:p w:rsidR="00692915" w:rsidRDefault="00692915" w:rsidP="009A1C1B">
      <w:pPr>
        <w:numPr>
          <w:ilvl w:val="0"/>
          <w:numId w:val="17"/>
        </w:numPr>
        <w:tabs>
          <w:tab w:val="clear" w:pos="927"/>
          <w:tab w:val="num" w:pos="1560"/>
        </w:tabs>
        <w:ind w:leftChars="400" w:left="31680" w:hangingChars="200" w:firstLine="31680"/>
        <w:rPr>
          <w:color w:val="000000"/>
        </w:rPr>
      </w:pPr>
      <w:r>
        <w:rPr>
          <w:rFonts w:hint="eastAsia"/>
          <w:color w:val="000000"/>
        </w:rPr>
        <w:t>中止宪法保障；</w:t>
      </w:r>
    </w:p>
    <w:p w:rsidR="00692915" w:rsidRDefault="00692915" w:rsidP="009A1C1B">
      <w:pPr>
        <w:numPr>
          <w:ilvl w:val="0"/>
          <w:numId w:val="17"/>
        </w:numPr>
        <w:tabs>
          <w:tab w:val="clear" w:pos="927"/>
          <w:tab w:val="num" w:pos="1560"/>
        </w:tabs>
        <w:ind w:leftChars="400" w:left="31680" w:hangingChars="200" w:firstLine="31680"/>
        <w:rPr>
          <w:color w:val="000000"/>
        </w:rPr>
      </w:pPr>
      <w:r>
        <w:rPr>
          <w:rFonts w:hint="eastAsia"/>
          <w:color w:val="000000"/>
        </w:rPr>
        <w:t>宣布戒严和紧急状态；以及</w:t>
      </w:r>
    </w:p>
    <w:p w:rsidR="00692915" w:rsidRDefault="00692915" w:rsidP="009A1C1B">
      <w:pPr>
        <w:numPr>
          <w:ilvl w:val="0"/>
          <w:numId w:val="17"/>
        </w:numPr>
        <w:tabs>
          <w:tab w:val="clear" w:pos="927"/>
          <w:tab w:val="num" w:pos="1560"/>
        </w:tabs>
        <w:ind w:leftChars="400" w:left="31680" w:hangingChars="200" w:firstLine="31680"/>
        <w:rPr>
          <w:color w:val="000000"/>
        </w:rPr>
      </w:pPr>
      <w:r>
        <w:rPr>
          <w:rFonts w:hint="eastAsia"/>
          <w:color w:val="000000"/>
        </w:rPr>
        <w:t>给予特赦。</w:t>
      </w:r>
    </w:p>
    <w:p w:rsidR="00692915" w:rsidRDefault="00692915" w:rsidP="009A1C1B">
      <w:pPr>
        <w:ind w:firstLine="31680"/>
        <w:rPr>
          <w:rFonts w:hint="eastAsia"/>
          <w:color w:val="000000"/>
        </w:rPr>
      </w:pPr>
      <w:r>
        <w:rPr>
          <w:color w:val="000000"/>
        </w:rPr>
        <w:t>53.</w:t>
      </w:r>
      <w:r>
        <w:rPr>
          <w:color w:val="000000"/>
        </w:rPr>
        <w:tab/>
      </w:r>
      <w:r>
        <w:rPr>
          <w:rFonts w:hint="eastAsia"/>
          <w:color w:val="000000"/>
        </w:rPr>
        <w:t>《宪法》第</w:t>
      </w:r>
      <w:r>
        <w:rPr>
          <w:rFonts w:hint="eastAsia"/>
          <w:color w:val="000000"/>
        </w:rPr>
        <w:t>96</w:t>
      </w:r>
      <w:r>
        <w:rPr>
          <w:rFonts w:hint="eastAsia"/>
          <w:color w:val="000000"/>
        </w:rPr>
        <w:t>条还规定，议会有权批准内阁对一系列问题制定法律，其中包括：</w:t>
      </w:r>
    </w:p>
    <w:p w:rsidR="00692915" w:rsidRDefault="00692915" w:rsidP="009A1C1B">
      <w:pPr>
        <w:numPr>
          <w:ilvl w:val="0"/>
          <w:numId w:val="17"/>
        </w:numPr>
        <w:tabs>
          <w:tab w:val="clear" w:pos="927"/>
          <w:tab w:val="num" w:pos="1560"/>
        </w:tabs>
        <w:ind w:leftChars="400" w:left="31680" w:hangingChars="200" w:firstLine="31680"/>
        <w:rPr>
          <w:color w:val="000000"/>
        </w:rPr>
      </w:pPr>
      <w:r>
        <w:rPr>
          <w:rFonts w:hint="eastAsia"/>
          <w:color w:val="000000"/>
        </w:rPr>
        <w:t>犯罪、判决、安全措施及其前提条件的界定；</w:t>
      </w:r>
    </w:p>
    <w:p w:rsidR="00692915" w:rsidRDefault="00692915" w:rsidP="009A1C1B">
      <w:pPr>
        <w:numPr>
          <w:ilvl w:val="0"/>
          <w:numId w:val="17"/>
        </w:numPr>
        <w:tabs>
          <w:tab w:val="clear" w:pos="927"/>
          <w:tab w:val="num" w:pos="1560"/>
        </w:tabs>
        <w:ind w:leftChars="400" w:left="31680" w:hangingChars="200" w:firstLine="31680"/>
        <w:rPr>
          <w:color w:val="000000"/>
        </w:rPr>
      </w:pPr>
      <w:r>
        <w:rPr>
          <w:rFonts w:hint="eastAsia"/>
          <w:color w:val="000000"/>
        </w:rPr>
        <w:t>民事与刑事诉讼的定义；</w:t>
      </w:r>
    </w:p>
    <w:p w:rsidR="00692915" w:rsidRDefault="00692915" w:rsidP="009A1C1B">
      <w:pPr>
        <w:numPr>
          <w:ilvl w:val="0"/>
          <w:numId w:val="17"/>
        </w:numPr>
        <w:tabs>
          <w:tab w:val="clear" w:pos="927"/>
          <w:tab w:val="num" w:pos="1560"/>
        </w:tabs>
        <w:spacing w:after="240"/>
        <w:ind w:leftChars="400" w:left="31680" w:hangingChars="200" w:firstLine="31680"/>
        <w:rPr>
          <w:color w:val="000000"/>
        </w:rPr>
      </w:pPr>
      <w:r>
        <w:rPr>
          <w:rFonts w:hint="eastAsia"/>
          <w:color w:val="000000"/>
        </w:rPr>
        <w:t>公共服务、公务员地位及国家职责的总体规章制度。</w:t>
      </w:r>
    </w:p>
    <w:p w:rsidR="00692915" w:rsidRDefault="00692915" w:rsidP="009A1C1B">
      <w:pPr>
        <w:ind w:firstLine="31680"/>
        <w:rPr>
          <w:rFonts w:hint="eastAsia"/>
          <w:color w:val="000000"/>
        </w:rPr>
      </w:pPr>
      <w:r>
        <w:rPr>
          <w:color w:val="000000"/>
        </w:rPr>
        <w:t>54.</w:t>
      </w:r>
      <w:r>
        <w:rPr>
          <w:color w:val="000000"/>
        </w:rPr>
        <w:tab/>
      </w:r>
      <w:r>
        <w:rPr>
          <w:rFonts w:hint="eastAsia"/>
          <w:color w:val="000000"/>
        </w:rPr>
        <w:t>国民议会《组织法》和《程序规则》规定议会将包括一名发言人、一个全会、若干议员席位、一个议员代表会议、一个主席团和一个常务委员会。根据国民议会《组织法》的规定，还将设置</w:t>
      </w:r>
      <w:r>
        <w:rPr>
          <w:rFonts w:hint="eastAsia"/>
          <w:color w:val="000000"/>
        </w:rPr>
        <w:t>7</w:t>
      </w:r>
      <w:r>
        <w:rPr>
          <w:rFonts w:hint="eastAsia"/>
          <w:color w:val="000000"/>
        </w:rPr>
        <w:t>个议会委员会，</w:t>
      </w:r>
      <w:r>
        <w:rPr>
          <w:rStyle w:val="FootnoteReference"/>
          <w:color w:val="000000"/>
        </w:rPr>
        <w:footnoteReference w:id="43"/>
      </w:r>
      <w:r>
        <w:rPr>
          <w:rFonts w:hint="eastAsia"/>
          <w:color w:val="000000"/>
        </w:rPr>
        <w:t>负责处理一系列的问题，包括：宪法事务；权利、自由和保障；教育；经济与金融等。这些议会委员会在制订法律方面发挥着关键指导作用。</w:t>
      </w:r>
    </w:p>
    <w:p w:rsidR="00692915" w:rsidRDefault="00692915" w:rsidP="009A1C1B">
      <w:pPr>
        <w:ind w:firstLine="31680"/>
        <w:rPr>
          <w:rFonts w:hint="eastAsia"/>
          <w:color w:val="000000"/>
        </w:rPr>
      </w:pPr>
      <w:r>
        <w:rPr>
          <w:color w:val="000000"/>
        </w:rPr>
        <w:t>55.</w:t>
      </w:r>
      <w:r>
        <w:rPr>
          <w:color w:val="000000"/>
        </w:rPr>
        <w:tab/>
      </w:r>
      <w:r>
        <w:rPr>
          <w:rFonts w:hint="eastAsia"/>
          <w:color w:val="000000"/>
        </w:rPr>
        <w:t>在东帝汶独立后的过渡阶段，</w:t>
      </w:r>
      <w:r>
        <w:rPr>
          <w:rFonts w:hint="eastAsia"/>
          <w:color w:val="000000"/>
        </w:rPr>
        <w:t>88</w:t>
      </w:r>
      <w:r>
        <w:rPr>
          <w:rFonts w:hint="eastAsia"/>
          <w:color w:val="000000"/>
        </w:rPr>
        <w:t>名制宪议会成员组成了东帝汶首届议会，任期</w:t>
      </w:r>
      <w:r>
        <w:rPr>
          <w:rFonts w:hint="eastAsia"/>
          <w:color w:val="000000"/>
        </w:rPr>
        <w:t>5</w:t>
      </w:r>
      <w:r>
        <w:rPr>
          <w:rFonts w:hint="eastAsia"/>
          <w:color w:val="000000"/>
        </w:rPr>
        <w:t>年，到</w:t>
      </w:r>
      <w:r>
        <w:rPr>
          <w:rFonts w:hint="eastAsia"/>
          <w:color w:val="000000"/>
        </w:rPr>
        <w:t>2007</w:t>
      </w:r>
      <w:r>
        <w:rPr>
          <w:rFonts w:hint="eastAsia"/>
          <w:color w:val="000000"/>
        </w:rPr>
        <w:t>年届满。根据《宪法》第</w:t>
      </w:r>
      <w:r>
        <w:rPr>
          <w:rFonts w:hint="eastAsia"/>
          <w:color w:val="000000"/>
        </w:rPr>
        <w:t>93</w:t>
      </w:r>
      <w:r>
        <w:rPr>
          <w:rFonts w:hint="eastAsia"/>
          <w:color w:val="000000"/>
        </w:rPr>
        <w:t>（</w:t>
      </w:r>
      <w:r>
        <w:rPr>
          <w:rFonts w:hint="eastAsia"/>
          <w:color w:val="000000"/>
        </w:rPr>
        <w:t>2</w:t>
      </w:r>
      <w:r>
        <w:rPr>
          <w:rFonts w:hint="eastAsia"/>
          <w:color w:val="000000"/>
        </w:rPr>
        <w:t>）条规定，国民议会成员最少为</w:t>
      </w:r>
      <w:r>
        <w:rPr>
          <w:rFonts w:hint="eastAsia"/>
          <w:color w:val="000000"/>
        </w:rPr>
        <w:t>52</w:t>
      </w:r>
      <w:r>
        <w:rPr>
          <w:rFonts w:hint="eastAsia"/>
          <w:color w:val="000000"/>
        </w:rPr>
        <w:t>名，最多不超过</w:t>
      </w:r>
      <w:r>
        <w:rPr>
          <w:rFonts w:hint="eastAsia"/>
          <w:color w:val="000000"/>
        </w:rPr>
        <w:t>65</w:t>
      </w:r>
      <w:r>
        <w:rPr>
          <w:rFonts w:hint="eastAsia"/>
          <w:color w:val="000000"/>
        </w:rPr>
        <w:t>名。这种更严格的成员人数限制将在</w:t>
      </w:r>
      <w:r>
        <w:rPr>
          <w:rFonts w:hint="eastAsia"/>
          <w:color w:val="000000"/>
        </w:rPr>
        <w:t>2007</w:t>
      </w:r>
      <w:r>
        <w:rPr>
          <w:rFonts w:hint="eastAsia"/>
          <w:color w:val="000000"/>
        </w:rPr>
        <w:t>年下届议会选举后生效。</w:t>
      </w:r>
    </w:p>
    <w:p w:rsidR="00692915" w:rsidRDefault="00692915" w:rsidP="009A1C1B">
      <w:pPr>
        <w:spacing w:after="240"/>
        <w:ind w:firstLine="31680"/>
        <w:rPr>
          <w:rFonts w:hint="eastAsia"/>
          <w:color w:val="000000"/>
        </w:rPr>
      </w:pPr>
      <w:r>
        <w:rPr>
          <w:color w:val="000000"/>
        </w:rPr>
        <w:t>56.</w:t>
      </w:r>
      <w:r>
        <w:rPr>
          <w:color w:val="000000"/>
        </w:rPr>
        <w:tab/>
      </w:r>
      <w:r>
        <w:rPr>
          <w:rFonts w:hint="eastAsia"/>
          <w:color w:val="000000"/>
        </w:rPr>
        <w:t>目前，在</w:t>
      </w:r>
      <w:r>
        <w:rPr>
          <w:rFonts w:hint="eastAsia"/>
          <w:color w:val="000000"/>
        </w:rPr>
        <w:t>88</w:t>
      </w:r>
      <w:r>
        <w:rPr>
          <w:rFonts w:hint="eastAsia"/>
          <w:color w:val="000000"/>
        </w:rPr>
        <w:t>名议员中，</w:t>
      </w:r>
      <w:r>
        <w:rPr>
          <w:rFonts w:hint="eastAsia"/>
          <w:color w:val="000000"/>
        </w:rPr>
        <w:t>23</w:t>
      </w:r>
      <w:r>
        <w:rPr>
          <w:rFonts w:hint="eastAsia"/>
          <w:color w:val="000000"/>
        </w:rPr>
        <w:t>名为女性，这突出说明妇女的参政水平较高。</w:t>
      </w:r>
    </w:p>
    <w:p w:rsidR="00692915" w:rsidRDefault="00692915">
      <w:pPr>
        <w:pStyle w:val="Heading3"/>
        <w:jc w:val="both"/>
        <w:rPr>
          <w:rFonts w:eastAsia="KaiTi_GB2312" w:hint="eastAsia"/>
          <w:color w:val="000000"/>
          <w:u w:val="none"/>
        </w:rPr>
      </w:pPr>
      <w:r>
        <w:rPr>
          <w:rFonts w:eastAsia="KaiTi_GB2312" w:hint="eastAsia"/>
          <w:color w:val="000000"/>
          <w:u w:val="none"/>
        </w:rPr>
        <w:t>政府</w:t>
      </w:r>
      <w:r>
        <w:rPr>
          <w:rFonts w:eastAsia="KaiTi_GB2312" w:hint="eastAsia"/>
          <w:color w:val="000000"/>
          <w:u w:val="none"/>
        </w:rPr>
        <w:t xml:space="preserve"> </w:t>
      </w:r>
    </w:p>
    <w:p w:rsidR="00692915" w:rsidRDefault="00692915" w:rsidP="009A1C1B">
      <w:pPr>
        <w:ind w:firstLine="31680"/>
        <w:rPr>
          <w:rFonts w:hint="eastAsia"/>
          <w:color w:val="000000"/>
        </w:rPr>
      </w:pPr>
      <w:r>
        <w:rPr>
          <w:color w:val="000000"/>
        </w:rPr>
        <w:t>57.</w:t>
      </w:r>
      <w:r>
        <w:rPr>
          <w:color w:val="000000"/>
        </w:rPr>
        <w:tab/>
      </w:r>
      <w:r>
        <w:rPr>
          <w:rFonts w:hint="eastAsia"/>
          <w:color w:val="000000"/>
        </w:rPr>
        <w:t>政府由总理、部长和国务秘书组成，</w:t>
      </w:r>
      <w:r>
        <w:rPr>
          <w:rStyle w:val="FootnoteReference"/>
          <w:color w:val="000000"/>
        </w:rPr>
        <w:footnoteReference w:id="44"/>
      </w:r>
      <w:r>
        <w:rPr>
          <w:rFonts w:hint="eastAsia"/>
          <w:color w:val="000000"/>
        </w:rPr>
        <w:t>是主权机构，负责制定和实施宏观国家政策，同时也是公共管理的最高机构，</w:t>
      </w:r>
      <w:r>
        <w:rPr>
          <w:rStyle w:val="FootnoteReference"/>
          <w:color w:val="000000"/>
        </w:rPr>
        <w:footnoteReference w:id="45"/>
      </w:r>
      <w:r>
        <w:rPr>
          <w:rFonts w:hint="eastAsia"/>
          <w:color w:val="000000"/>
        </w:rPr>
        <w:t>对共和国总统和国民议会负责，根据《宪法》和法律规定制定和实施内外政策。</w:t>
      </w:r>
      <w:r>
        <w:rPr>
          <w:rStyle w:val="FootnoteReference"/>
          <w:color w:val="000000"/>
        </w:rPr>
        <w:footnoteReference w:id="46"/>
      </w:r>
    </w:p>
    <w:p w:rsidR="00692915" w:rsidRDefault="00692915" w:rsidP="009A1C1B">
      <w:pPr>
        <w:ind w:firstLine="31680"/>
        <w:rPr>
          <w:rFonts w:hint="eastAsia"/>
          <w:color w:val="000000"/>
        </w:rPr>
      </w:pPr>
      <w:r>
        <w:rPr>
          <w:color w:val="000000"/>
        </w:rPr>
        <w:t>58.</w:t>
      </w:r>
      <w:r>
        <w:rPr>
          <w:color w:val="000000"/>
        </w:rPr>
        <w:tab/>
      </w:r>
      <w:r>
        <w:rPr>
          <w:rFonts w:hint="eastAsia"/>
          <w:color w:val="000000"/>
        </w:rPr>
        <w:t>总理是行政领导人，由议会多数派政党指定，然后由总统与议会所有政党协商后任命，负责引导和指导政府宏观政策，协调各部之间的活动。部长负责实施为各部规定的政策。</w:t>
      </w:r>
    </w:p>
    <w:p w:rsidR="00692915" w:rsidRDefault="00692915" w:rsidP="009A1C1B">
      <w:pPr>
        <w:ind w:firstLine="31680"/>
        <w:rPr>
          <w:rFonts w:hint="eastAsia"/>
          <w:color w:val="000000"/>
        </w:rPr>
      </w:pPr>
      <w:r>
        <w:rPr>
          <w:color w:val="000000"/>
        </w:rPr>
        <w:t>59.</w:t>
      </w:r>
      <w:r>
        <w:rPr>
          <w:color w:val="000000"/>
        </w:rPr>
        <w:tab/>
      </w:r>
      <w:r>
        <w:rPr>
          <w:rFonts w:hint="eastAsia"/>
          <w:color w:val="000000"/>
        </w:rPr>
        <w:t>在印度尼西亚军事占领期间，在当地政府中担任高职的帝汶人凤毛麟角，他们很少有机会参与政府活动。大多数政府职位，包括专业性管理职位和中高级管理职位都由印度尼西亚人担任，其中大约有</w:t>
      </w:r>
      <w:r>
        <w:rPr>
          <w:rFonts w:hint="eastAsia"/>
          <w:color w:val="000000"/>
        </w:rPr>
        <w:t>7 000</w:t>
      </w:r>
      <w:r>
        <w:rPr>
          <w:rFonts w:hint="eastAsia"/>
          <w:color w:val="000000"/>
        </w:rPr>
        <w:t>人在</w:t>
      </w:r>
      <w:r>
        <w:rPr>
          <w:rFonts w:hint="eastAsia"/>
          <w:color w:val="000000"/>
        </w:rPr>
        <w:t>1999</w:t>
      </w:r>
      <w:r>
        <w:rPr>
          <w:rFonts w:hint="eastAsia"/>
          <w:color w:val="000000"/>
        </w:rPr>
        <w:t>年混乱期间逃离东帝汶，因此公共服务领域有大量空缺职位。</w:t>
      </w:r>
    </w:p>
    <w:p w:rsidR="00692915" w:rsidRDefault="00692915" w:rsidP="009A1C1B">
      <w:pPr>
        <w:ind w:firstLine="31680"/>
        <w:rPr>
          <w:rFonts w:hint="eastAsia"/>
          <w:color w:val="000000"/>
        </w:rPr>
      </w:pPr>
      <w:r>
        <w:rPr>
          <w:color w:val="000000"/>
        </w:rPr>
        <w:t>60.</w:t>
      </w:r>
      <w:r>
        <w:rPr>
          <w:color w:val="000000"/>
        </w:rPr>
        <w:tab/>
      </w:r>
      <w:r>
        <w:rPr>
          <w:rFonts w:hint="eastAsia"/>
          <w:color w:val="000000"/>
        </w:rPr>
        <w:t>自</w:t>
      </w:r>
      <w:r>
        <w:rPr>
          <w:rFonts w:hint="eastAsia"/>
          <w:color w:val="000000"/>
        </w:rPr>
        <w:t>1999</w:t>
      </w:r>
      <w:r>
        <w:rPr>
          <w:rFonts w:hint="eastAsia"/>
          <w:color w:val="000000"/>
        </w:rPr>
        <w:t>年</w:t>
      </w:r>
      <w:r>
        <w:rPr>
          <w:rFonts w:hint="eastAsia"/>
          <w:color w:val="000000"/>
        </w:rPr>
        <w:t>10</w:t>
      </w:r>
      <w:r>
        <w:rPr>
          <w:rFonts w:hint="eastAsia"/>
          <w:color w:val="000000"/>
        </w:rPr>
        <w:t>月</w:t>
      </w:r>
      <w:r>
        <w:rPr>
          <w:rFonts w:hint="eastAsia"/>
          <w:color w:val="000000"/>
        </w:rPr>
        <w:t>25</w:t>
      </w:r>
      <w:r>
        <w:rPr>
          <w:rFonts w:hint="eastAsia"/>
          <w:color w:val="000000"/>
        </w:rPr>
        <w:t>日开始，</w:t>
      </w:r>
      <w:r>
        <w:rPr>
          <w:color w:val="000000"/>
        </w:rPr>
        <w:t>联合国东帝汶过渡行政当局</w:t>
      </w:r>
      <w:r>
        <w:rPr>
          <w:rFonts w:hint="eastAsia"/>
          <w:color w:val="000000"/>
        </w:rPr>
        <w:t>作为一项涉及多方面的一体化维和行动，全面负责东帝汶向独立过渡期间的行政管理。第</w:t>
      </w:r>
      <w:r>
        <w:rPr>
          <w:rFonts w:hint="eastAsia"/>
          <w:color w:val="000000"/>
        </w:rPr>
        <w:t>1272</w:t>
      </w:r>
      <w:r>
        <w:rPr>
          <w:rFonts w:hint="eastAsia"/>
          <w:color w:val="000000"/>
        </w:rPr>
        <w:t>号决议授权</w:t>
      </w:r>
      <w:r>
        <w:rPr>
          <w:color w:val="000000"/>
        </w:rPr>
        <w:t>东帝汶过渡当局</w:t>
      </w:r>
      <w:r>
        <w:rPr>
          <w:rFonts w:hint="eastAsia"/>
          <w:color w:val="000000"/>
        </w:rPr>
        <w:t>：</w:t>
      </w:r>
    </w:p>
    <w:p w:rsidR="00692915" w:rsidRDefault="00692915" w:rsidP="009A1C1B">
      <w:pPr>
        <w:numPr>
          <w:ilvl w:val="0"/>
          <w:numId w:val="17"/>
        </w:numPr>
        <w:tabs>
          <w:tab w:val="clear" w:pos="927"/>
          <w:tab w:val="num" w:pos="1560"/>
        </w:tabs>
        <w:ind w:leftChars="400" w:left="31680" w:hangingChars="200" w:firstLine="31680"/>
        <w:rPr>
          <w:color w:val="000000"/>
        </w:rPr>
      </w:pPr>
      <w:r>
        <w:rPr>
          <w:rFonts w:hint="eastAsia"/>
          <w:color w:val="000000"/>
        </w:rPr>
        <w:t>在东帝汶全境提供安全并维持法治；</w:t>
      </w:r>
    </w:p>
    <w:p w:rsidR="00692915" w:rsidRDefault="00692915" w:rsidP="009A1C1B">
      <w:pPr>
        <w:numPr>
          <w:ilvl w:val="0"/>
          <w:numId w:val="17"/>
        </w:numPr>
        <w:tabs>
          <w:tab w:val="clear" w:pos="927"/>
          <w:tab w:val="num" w:pos="1560"/>
        </w:tabs>
        <w:ind w:leftChars="400" w:left="31680" w:hangingChars="200" w:firstLine="31680"/>
        <w:rPr>
          <w:color w:val="000000"/>
        </w:rPr>
      </w:pPr>
      <w:r>
        <w:rPr>
          <w:rFonts w:hint="eastAsia"/>
          <w:color w:val="000000"/>
        </w:rPr>
        <w:t>建立有效的行政管理；</w:t>
      </w:r>
    </w:p>
    <w:p w:rsidR="00692915" w:rsidRDefault="00692915" w:rsidP="009A1C1B">
      <w:pPr>
        <w:numPr>
          <w:ilvl w:val="0"/>
          <w:numId w:val="17"/>
        </w:numPr>
        <w:tabs>
          <w:tab w:val="clear" w:pos="927"/>
          <w:tab w:val="num" w:pos="1560"/>
        </w:tabs>
        <w:ind w:leftChars="400" w:left="31680" w:hangingChars="200" w:firstLine="31680"/>
        <w:rPr>
          <w:color w:val="000000"/>
        </w:rPr>
      </w:pPr>
      <w:r>
        <w:rPr>
          <w:rFonts w:hint="eastAsia"/>
          <w:color w:val="000000"/>
        </w:rPr>
        <w:t>协助发展公务员制度和社会服务；</w:t>
      </w:r>
    </w:p>
    <w:p w:rsidR="00692915" w:rsidRDefault="00692915" w:rsidP="009A1C1B">
      <w:pPr>
        <w:numPr>
          <w:ilvl w:val="0"/>
          <w:numId w:val="17"/>
        </w:numPr>
        <w:tabs>
          <w:tab w:val="clear" w:pos="927"/>
          <w:tab w:val="num" w:pos="1560"/>
        </w:tabs>
        <w:ind w:leftChars="400" w:left="31680" w:hangingChars="200" w:firstLine="31680"/>
        <w:rPr>
          <w:color w:val="000000"/>
        </w:rPr>
      </w:pPr>
      <w:r>
        <w:rPr>
          <w:rFonts w:hint="eastAsia"/>
          <w:color w:val="000000"/>
        </w:rPr>
        <w:t>确保协调和提供人道主义援助、复原和发展援助；</w:t>
      </w:r>
    </w:p>
    <w:p w:rsidR="00692915" w:rsidRDefault="00692915" w:rsidP="009A1C1B">
      <w:pPr>
        <w:numPr>
          <w:ilvl w:val="0"/>
          <w:numId w:val="17"/>
        </w:numPr>
        <w:tabs>
          <w:tab w:val="clear" w:pos="927"/>
          <w:tab w:val="num" w:pos="1560"/>
        </w:tabs>
        <w:ind w:leftChars="400" w:left="31680" w:hangingChars="200" w:firstLine="31680"/>
        <w:rPr>
          <w:color w:val="000000"/>
        </w:rPr>
      </w:pPr>
      <w:r>
        <w:rPr>
          <w:rFonts w:hint="eastAsia"/>
          <w:color w:val="000000"/>
        </w:rPr>
        <w:t>支持自治能力的建设；并</w:t>
      </w:r>
    </w:p>
    <w:p w:rsidR="00692915" w:rsidRDefault="00692915" w:rsidP="009A1C1B">
      <w:pPr>
        <w:numPr>
          <w:ilvl w:val="0"/>
          <w:numId w:val="17"/>
        </w:numPr>
        <w:tabs>
          <w:tab w:val="clear" w:pos="927"/>
          <w:tab w:val="num" w:pos="1560"/>
        </w:tabs>
        <w:spacing w:after="240"/>
        <w:ind w:leftChars="400" w:left="31680" w:hangingChars="200" w:firstLine="31680"/>
        <w:rPr>
          <w:color w:val="000000"/>
        </w:rPr>
      </w:pPr>
      <w:r>
        <w:rPr>
          <w:rFonts w:hint="eastAsia"/>
          <w:color w:val="000000"/>
        </w:rPr>
        <w:t>协助为可持续发展创造条件。</w:t>
      </w:r>
    </w:p>
    <w:p w:rsidR="00692915" w:rsidRDefault="00692915" w:rsidP="009A1C1B">
      <w:pPr>
        <w:ind w:firstLine="31680"/>
        <w:rPr>
          <w:rFonts w:hint="eastAsia"/>
          <w:color w:val="000000"/>
        </w:rPr>
      </w:pPr>
      <w:r>
        <w:rPr>
          <w:color w:val="000000"/>
        </w:rPr>
        <w:t>61.</w:t>
      </w:r>
      <w:r>
        <w:rPr>
          <w:color w:val="000000"/>
        </w:rPr>
        <w:tab/>
      </w:r>
      <w:r>
        <w:rPr>
          <w:color w:val="000000"/>
        </w:rPr>
        <w:t>东帝汶过渡当局</w:t>
      </w:r>
      <w:r>
        <w:rPr>
          <w:rFonts w:hint="eastAsia"/>
          <w:color w:val="000000"/>
        </w:rPr>
        <w:t>通过了许多规章制度，有些至今还有效。</w:t>
      </w:r>
      <w:r>
        <w:rPr>
          <w:color w:val="000000"/>
        </w:rPr>
        <w:t>东帝汶过渡当局</w:t>
      </w:r>
      <w:r>
        <w:rPr>
          <w:rFonts w:hint="eastAsia"/>
          <w:color w:val="000000"/>
        </w:rPr>
        <w:t>在其执政期间还采取各种措施，以便根据帝汶的预期体制对国家行政管理进行组织，确保帝汶人民能够参与决策过程。</w:t>
      </w:r>
      <w:r>
        <w:rPr>
          <w:rFonts w:hint="eastAsia"/>
          <w:color w:val="000000"/>
        </w:rPr>
        <w:t>1999</w:t>
      </w:r>
      <w:r>
        <w:rPr>
          <w:rFonts w:hint="eastAsia"/>
          <w:color w:val="000000"/>
        </w:rPr>
        <w:t>年</w:t>
      </w:r>
      <w:r>
        <w:rPr>
          <w:rFonts w:hint="eastAsia"/>
          <w:color w:val="000000"/>
        </w:rPr>
        <w:t>12</w:t>
      </w:r>
      <w:r>
        <w:rPr>
          <w:rFonts w:hint="eastAsia"/>
          <w:color w:val="000000"/>
        </w:rPr>
        <w:t>月成立了全国协商委员会（协商委员会），随后于</w:t>
      </w:r>
      <w:r>
        <w:rPr>
          <w:rFonts w:hint="eastAsia"/>
          <w:color w:val="000000"/>
        </w:rPr>
        <w:t>2001</w:t>
      </w:r>
      <w:r>
        <w:rPr>
          <w:rFonts w:hint="eastAsia"/>
          <w:color w:val="000000"/>
        </w:rPr>
        <w:t>年进行了制宪议会选举，</w:t>
      </w:r>
      <w:r>
        <w:rPr>
          <w:rFonts w:hint="eastAsia"/>
          <w:color w:val="000000"/>
        </w:rPr>
        <w:t>24</w:t>
      </w:r>
      <w:r>
        <w:rPr>
          <w:rFonts w:hint="eastAsia"/>
          <w:color w:val="000000"/>
        </w:rPr>
        <w:t>名全部由东帝汶人担任的部长理事会成员宣誓就职，组成第二届过渡政府。新的部长理事会取代了</w:t>
      </w:r>
      <w:r>
        <w:rPr>
          <w:rFonts w:hint="eastAsia"/>
          <w:color w:val="000000"/>
        </w:rPr>
        <w:t>2000</w:t>
      </w:r>
      <w:r>
        <w:rPr>
          <w:rFonts w:hint="eastAsia"/>
          <w:color w:val="000000"/>
        </w:rPr>
        <w:t>年成立的过渡内阁。在东帝汶完全独立成为一个民主主权国家之前的过渡期间内，东帝汶由制宪议会和新的东帝汶政府负责管理。</w:t>
      </w:r>
    </w:p>
    <w:p w:rsidR="00692915" w:rsidRDefault="00692915" w:rsidP="009A1C1B">
      <w:pPr>
        <w:ind w:firstLine="31680"/>
        <w:rPr>
          <w:rFonts w:hint="eastAsia"/>
          <w:color w:val="000000"/>
        </w:rPr>
      </w:pPr>
      <w:r>
        <w:rPr>
          <w:color w:val="000000"/>
        </w:rPr>
        <w:t>62.</w:t>
      </w:r>
      <w:r>
        <w:rPr>
          <w:color w:val="000000"/>
        </w:rPr>
        <w:tab/>
      </w:r>
      <w:r>
        <w:rPr>
          <w:rFonts w:hint="eastAsia"/>
          <w:color w:val="000000"/>
        </w:rPr>
        <w:t>2002</w:t>
      </w:r>
      <w:r>
        <w:rPr>
          <w:rFonts w:hint="eastAsia"/>
          <w:color w:val="000000"/>
        </w:rPr>
        <w:t>年</w:t>
      </w:r>
      <w:r>
        <w:rPr>
          <w:rFonts w:hint="eastAsia"/>
          <w:color w:val="000000"/>
        </w:rPr>
        <w:t>5</w:t>
      </w:r>
      <w:r>
        <w:rPr>
          <w:rFonts w:hint="eastAsia"/>
          <w:color w:val="000000"/>
        </w:rPr>
        <w:t>月恢复独立之后，东帝汶承担起政府的绝大多数义务。联合国特派团和捐助国继续对东帝汶给予了广泛支持。联合国东帝汶支助团（东帝汶支助团）在安全受到外部威胁的地区提供支持和确保稳定，维护公共秩序，加强东帝汶国家警察力量，提高公共管理水平和促进民主与公正。</w:t>
      </w:r>
      <w:r>
        <w:rPr>
          <w:rFonts w:hint="eastAsia"/>
          <w:color w:val="000000"/>
        </w:rPr>
        <w:t>2004</w:t>
      </w:r>
      <w:r>
        <w:rPr>
          <w:rFonts w:hint="eastAsia"/>
          <w:color w:val="000000"/>
        </w:rPr>
        <w:t>年</w:t>
      </w:r>
      <w:r>
        <w:rPr>
          <w:rFonts w:hint="eastAsia"/>
          <w:color w:val="000000"/>
        </w:rPr>
        <w:t>5</w:t>
      </w:r>
      <w:r>
        <w:rPr>
          <w:rFonts w:hint="eastAsia"/>
          <w:color w:val="000000"/>
        </w:rPr>
        <w:t>月</w:t>
      </w:r>
      <w:r>
        <w:rPr>
          <w:rFonts w:hint="eastAsia"/>
          <w:color w:val="000000"/>
        </w:rPr>
        <w:t>20</w:t>
      </w:r>
      <w:r>
        <w:rPr>
          <w:rFonts w:hint="eastAsia"/>
          <w:color w:val="000000"/>
        </w:rPr>
        <w:t>日，东帝汶支助团将安全与国防责任全部交接完毕，自此以后，东帝汶民选政府完全承担起了进行全面公共部门管理和确保公共部门善治的责任。</w:t>
      </w:r>
      <w:r>
        <w:rPr>
          <w:rStyle w:val="FootnoteReference"/>
          <w:color w:val="000000"/>
        </w:rPr>
        <w:footnoteReference w:id="47"/>
      </w:r>
    </w:p>
    <w:p w:rsidR="00692915" w:rsidRDefault="00692915" w:rsidP="009A1C1B">
      <w:pPr>
        <w:ind w:firstLine="31680"/>
        <w:rPr>
          <w:rFonts w:hint="eastAsia"/>
          <w:color w:val="000000"/>
        </w:rPr>
      </w:pPr>
      <w:r>
        <w:rPr>
          <w:color w:val="000000"/>
        </w:rPr>
        <w:t>63.</w:t>
      </w:r>
      <w:r>
        <w:rPr>
          <w:color w:val="000000"/>
        </w:rPr>
        <w:tab/>
      </w:r>
      <w:r>
        <w:rPr>
          <w:rFonts w:hint="eastAsia"/>
          <w:color w:val="000000"/>
        </w:rPr>
        <w:t>至于有效政府的体制、政策及程序，国家在这方面的起点很低，但其建设已取得了重大进步，主要表现为：制定了旨在明确公务员作用与责任的《公务员法》；通过各种《组织法》对各部委和机构的职责做出了规定；招聘了公务员；加强了作为服务提供者的公务员的能力建设；制定了计划和预算；制订了对公共财政和公共采购采取控制和监督的机制。</w:t>
      </w:r>
      <w:r>
        <w:rPr>
          <w:rStyle w:val="FootnoteReference"/>
          <w:color w:val="000000"/>
        </w:rPr>
        <w:footnoteReference w:id="48"/>
      </w:r>
    </w:p>
    <w:p w:rsidR="00692915" w:rsidRDefault="00692915" w:rsidP="009A1C1B">
      <w:pPr>
        <w:spacing w:after="240"/>
        <w:ind w:firstLine="31680"/>
        <w:rPr>
          <w:rFonts w:hint="eastAsia"/>
          <w:color w:val="000000"/>
        </w:rPr>
      </w:pPr>
      <w:r>
        <w:rPr>
          <w:color w:val="000000"/>
        </w:rPr>
        <w:t>64.</w:t>
      </w:r>
      <w:r>
        <w:rPr>
          <w:color w:val="000000"/>
        </w:rPr>
        <w:tab/>
      </w:r>
      <w:r>
        <w:rPr>
          <w:rFonts w:hint="eastAsia"/>
          <w:color w:val="000000"/>
        </w:rPr>
        <w:t>东帝汶公务员机构由公务员、警察、防卫人员以及其他雇员组成，人员编制满额时约为</w:t>
      </w:r>
      <w:r>
        <w:rPr>
          <w:color w:val="000000"/>
        </w:rPr>
        <w:t>18</w:t>
      </w:r>
      <w:r>
        <w:rPr>
          <w:rFonts w:hint="eastAsia"/>
          <w:color w:val="000000"/>
        </w:rPr>
        <w:t xml:space="preserve"> </w:t>
      </w:r>
      <w:r>
        <w:rPr>
          <w:color w:val="000000"/>
        </w:rPr>
        <w:t>000</w:t>
      </w:r>
      <w:r>
        <w:rPr>
          <w:rFonts w:hint="eastAsia"/>
          <w:color w:val="000000"/>
        </w:rPr>
        <w:t>人，其中</w:t>
      </w:r>
      <w:r>
        <w:rPr>
          <w:color w:val="000000"/>
        </w:rPr>
        <w:t>17</w:t>
      </w:r>
      <w:r>
        <w:rPr>
          <w:rFonts w:hint="eastAsia"/>
          <w:color w:val="000000"/>
        </w:rPr>
        <w:t xml:space="preserve"> </w:t>
      </w:r>
      <w:r>
        <w:rPr>
          <w:color w:val="000000"/>
        </w:rPr>
        <w:t>175</w:t>
      </w:r>
      <w:r>
        <w:rPr>
          <w:rFonts w:hint="eastAsia"/>
          <w:color w:val="000000"/>
        </w:rPr>
        <w:t>人为长期工作人员，</w:t>
      </w:r>
      <w:r>
        <w:rPr>
          <w:color w:val="000000"/>
        </w:rPr>
        <w:t>651</w:t>
      </w:r>
      <w:r>
        <w:rPr>
          <w:rFonts w:hint="eastAsia"/>
          <w:color w:val="000000"/>
        </w:rPr>
        <w:t>人为临时人员。长期公务员有</w:t>
      </w:r>
      <w:r>
        <w:rPr>
          <w:color w:val="000000"/>
        </w:rPr>
        <w:t>12</w:t>
      </w:r>
      <w:r>
        <w:rPr>
          <w:rFonts w:hint="eastAsia"/>
          <w:color w:val="000000"/>
        </w:rPr>
        <w:t xml:space="preserve"> </w:t>
      </w:r>
      <w:r>
        <w:rPr>
          <w:color w:val="000000"/>
        </w:rPr>
        <w:t>034</w:t>
      </w:r>
      <w:r>
        <w:rPr>
          <w:rFonts w:hint="eastAsia"/>
          <w:color w:val="000000"/>
        </w:rPr>
        <w:t>人，其中三分之二为教师和医务人员。其他主要组成人员为警察和国防军人员，这两类加在一起超过</w:t>
      </w:r>
      <w:r>
        <w:rPr>
          <w:color w:val="000000"/>
        </w:rPr>
        <w:t>4</w:t>
      </w:r>
      <w:r>
        <w:rPr>
          <w:rFonts w:hint="eastAsia"/>
          <w:color w:val="000000"/>
        </w:rPr>
        <w:t xml:space="preserve"> </w:t>
      </w:r>
      <w:r>
        <w:rPr>
          <w:color w:val="000000"/>
        </w:rPr>
        <w:t>000</w:t>
      </w:r>
      <w:r>
        <w:rPr>
          <w:rFonts w:hint="eastAsia"/>
          <w:color w:val="000000"/>
        </w:rPr>
        <w:t>人。但是，有限的预算资金已严重限制了生产型服务、司法和基本基础设施方面的公务员数量。人们认为这些领域的服务质量差，是由于这些领域人员不足，现有人员不具备必要的技能，并且没有足够的培训来获取这些技能。</w:t>
      </w:r>
    </w:p>
    <w:p w:rsidR="00692915" w:rsidRDefault="00692915">
      <w:pPr>
        <w:pStyle w:val="Heading3"/>
        <w:jc w:val="both"/>
        <w:rPr>
          <w:rFonts w:eastAsia="KaiTi_GB2312" w:hint="eastAsia"/>
          <w:color w:val="000000"/>
          <w:u w:val="none"/>
        </w:rPr>
      </w:pPr>
      <w:r>
        <w:rPr>
          <w:rFonts w:eastAsia="KaiTi_GB2312" w:hint="eastAsia"/>
          <w:color w:val="000000"/>
          <w:u w:val="none"/>
        </w:rPr>
        <w:t>管理体制与地方政府</w:t>
      </w:r>
    </w:p>
    <w:p w:rsidR="00692915" w:rsidRDefault="00692915" w:rsidP="009A1C1B">
      <w:pPr>
        <w:ind w:firstLine="31680"/>
        <w:rPr>
          <w:rFonts w:hint="eastAsia"/>
          <w:color w:val="000000"/>
        </w:rPr>
      </w:pPr>
      <w:r>
        <w:rPr>
          <w:color w:val="000000"/>
        </w:rPr>
        <w:t>65.</w:t>
      </w:r>
      <w:r>
        <w:rPr>
          <w:color w:val="000000"/>
        </w:rPr>
        <w:tab/>
      </w:r>
      <w:r>
        <w:rPr>
          <w:rFonts w:hint="eastAsia"/>
          <w:color w:val="000000"/>
        </w:rPr>
        <w:t>东帝汶下设</w:t>
      </w:r>
      <w:r>
        <w:rPr>
          <w:rFonts w:hint="eastAsia"/>
          <w:color w:val="000000"/>
        </w:rPr>
        <w:t>13</w:t>
      </w:r>
      <w:r>
        <w:rPr>
          <w:rFonts w:hint="eastAsia"/>
          <w:color w:val="000000"/>
        </w:rPr>
        <w:t>个地区，</w:t>
      </w:r>
      <w:r>
        <w:rPr>
          <w:rFonts w:hint="eastAsia"/>
          <w:color w:val="000000"/>
        </w:rPr>
        <w:t>65</w:t>
      </w:r>
      <w:r>
        <w:rPr>
          <w:rFonts w:hint="eastAsia"/>
          <w:color w:val="000000"/>
        </w:rPr>
        <w:t>个县。县是最低的政府行政管理单位，由县协调员负责管理。</w:t>
      </w:r>
    </w:p>
    <w:p w:rsidR="00692915" w:rsidRDefault="00692915" w:rsidP="009A1C1B">
      <w:pPr>
        <w:ind w:firstLine="31680"/>
        <w:rPr>
          <w:rFonts w:hint="eastAsia"/>
          <w:color w:val="000000"/>
        </w:rPr>
      </w:pPr>
      <w:r>
        <w:rPr>
          <w:color w:val="000000"/>
        </w:rPr>
        <w:t>66.</w:t>
      </w:r>
      <w:r>
        <w:rPr>
          <w:color w:val="000000"/>
        </w:rPr>
        <w:tab/>
      </w:r>
      <w:r>
        <w:rPr>
          <w:rFonts w:hint="eastAsia"/>
          <w:color w:val="000000"/>
        </w:rPr>
        <w:t>根据《宪法》第</w:t>
      </w:r>
      <w:r>
        <w:rPr>
          <w:rFonts w:hint="eastAsia"/>
          <w:color w:val="000000"/>
        </w:rPr>
        <w:t>5</w:t>
      </w:r>
      <w:r>
        <w:rPr>
          <w:color w:val="000000"/>
        </w:rPr>
        <w:t>（</w:t>
      </w:r>
      <w:r>
        <w:rPr>
          <w:color w:val="000000"/>
        </w:rPr>
        <w:t>3</w:t>
      </w:r>
      <w:r>
        <w:rPr>
          <w:color w:val="000000"/>
        </w:rPr>
        <w:t>）</w:t>
      </w:r>
      <w:r>
        <w:rPr>
          <w:rFonts w:hint="eastAsia"/>
          <w:color w:val="000000"/>
        </w:rPr>
        <w:t>条的规定，欧库西安贝诺飞地和阿陶罗岛享有特别的行政和经济待遇，这是</w:t>
      </w:r>
      <w:r>
        <w:rPr>
          <w:rFonts w:hint="eastAsia"/>
          <w:color w:val="000000"/>
        </w:rPr>
        <w:t>2005</w:t>
      </w:r>
      <w:r>
        <w:rPr>
          <w:rFonts w:hint="eastAsia"/>
          <w:color w:val="000000"/>
        </w:rPr>
        <w:t>年众多讨论的主题，当然差别待遇的具体实施措施尚未确定。</w:t>
      </w:r>
    </w:p>
    <w:p w:rsidR="00692915" w:rsidRDefault="00692915" w:rsidP="009A1C1B">
      <w:pPr>
        <w:ind w:firstLine="31680"/>
        <w:rPr>
          <w:rFonts w:hint="eastAsia"/>
          <w:color w:val="000000"/>
        </w:rPr>
      </w:pPr>
      <w:r>
        <w:rPr>
          <w:color w:val="000000"/>
        </w:rPr>
        <w:t>67.</w:t>
      </w:r>
      <w:r>
        <w:rPr>
          <w:color w:val="000000"/>
        </w:rPr>
        <w:tab/>
      </w:r>
      <w:r>
        <w:rPr>
          <w:rFonts w:hint="eastAsia"/>
          <w:color w:val="000000"/>
        </w:rPr>
        <w:t>《宪法》明确规定国家将尊重公共行政的分权制。</w:t>
      </w:r>
      <w:r>
        <w:rPr>
          <w:rStyle w:val="FootnoteReference"/>
          <w:color w:val="000000"/>
        </w:rPr>
        <w:footnoteReference w:id="49"/>
      </w:r>
      <w:r>
        <w:rPr>
          <w:rFonts w:hint="eastAsia"/>
          <w:color w:val="000000"/>
        </w:rPr>
        <w:t>为此，东帝汶政府，特别是作为协调部的国务部已开始确定地方政府的关键实验模式，以便将财政和政策管理权全部下放给地方政府。政府认为分权对东帝汶十分重要，能使东帝汶人民更有效地表达他们对地方发展的看法，更有能力对各种旨在满足地方发展需求的措施施加影响。</w:t>
      </w:r>
    </w:p>
    <w:p w:rsidR="00692915" w:rsidRDefault="00692915" w:rsidP="009A1C1B">
      <w:pPr>
        <w:ind w:firstLine="31680"/>
        <w:rPr>
          <w:rFonts w:hint="eastAsia"/>
          <w:color w:val="000000"/>
        </w:rPr>
      </w:pPr>
      <w:r>
        <w:rPr>
          <w:color w:val="000000"/>
        </w:rPr>
        <w:t>68.</w:t>
      </w:r>
      <w:r>
        <w:rPr>
          <w:color w:val="000000"/>
        </w:rPr>
        <w:tab/>
      </w:r>
      <w:r>
        <w:rPr>
          <w:rFonts w:hint="eastAsia"/>
          <w:color w:val="000000"/>
        </w:rPr>
        <w:t xml:space="preserve"> </w:t>
      </w:r>
      <w:r>
        <w:rPr>
          <w:rFonts w:hint="eastAsia"/>
          <w:color w:val="000000"/>
        </w:rPr>
        <w:t>国家有关地方政府的目标非常明确：提高国家政府相关工作人员（包括地方选举的领导人员）的能力，以便更有效地为公民提供高效服务；增强地方公共行政的可行性、效率和责任制；加强各种有助于社区参与地方事务和各种方案的机制。</w:t>
      </w:r>
    </w:p>
    <w:p w:rsidR="00692915" w:rsidRDefault="00692915" w:rsidP="009A1C1B">
      <w:pPr>
        <w:spacing w:after="240"/>
        <w:ind w:firstLine="31680"/>
        <w:rPr>
          <w:rFonts w:hint="eastAsia"/>
          <w:color w:val="000000"/>
        </w:rPr>
      </w:pPr>
      <w:r>
        <w:rPr>
          <w:color w:val="000000"/>
        </w:rPr>
        <w:t>69.</w:t>
      </w:r>
      <w:r>
        <w:rPr>
          <w:color w:val="000000"/>
        </w:rPr>
        <w:tab/>
      </w:r>
      <w:r>
        <w:rPr>
          <w:rFonts w:hint="eastAsia"/>
          <w:color w:val="000000"/>
        </w:rPr>
        <w:t>但是，为实现这一目标，东帝汶政府面临着若干挑战，其中包括：地方领导人合法化，为这些领导人开展工作提供资源，为较大规模的发展项目提供发展基金，为地方政府增加人力，以便对日益复杂的环境进行管理。</w:t>
      </w:r>
      <w:r>
        <w:rPr>
          <w:rStyle w:val="FootnoteReference"/>
          <w:color w:val="000000"/>
        </w:rPr>
        <w:footnoteReference w:id="50"/>
      </w:r>
      <w:r>
        <w:rPr>
          <w:rFonts w:hint="eastAsia"/>
          <w:color w:val="000000"/>
        </w:rPr>
        <w:t>为使分权政府体制有效运转，国家与地方政府必须有足够能力确保对地方政府每笔拨款均以透明和负责的方式管理。目前各个部门都不具备这种能力。为让地方行政管理实现全面分权，还有许多工作要做。为加强地方政府的能力，已采取了许多措施，其中包括：部际工作组举办了为期</w:t>
      </w:r>
      <w:r>
        <w:rPr>
          <w:rFonts w:hint="eastAsia"/>
          <w:color w:val="000000"/>
        </w:rPr>
        <w:t>5</w:t>
      </w:r>
      <w:r>
        <w:rPr>
          <w:rFonts w:hint="eastAsia"/>
          <w:color w:val="000000"/>
        </w:rPr>
        <w:t>天的财政分权培训班</w:t>
      </w:r>
      <w:r>
        <w:rPr>
          <w:rFonts w:ascii="SimHei" w:eastAsia="SimHei" w:hint="eastAsia"/>
          <w:color w:val="000000"/>
          <w:spacing w:val="0"/>
        </w:rPr>
        <w:t>——</w:t>
      </w:r>
      <w:r>
        <w:rPr>
          <w:rFonts w:hint="eastAsia"/>
          <w:color w:val="000000"/>
        </w:rPr>
        <w:t>该课程旨在提高相关人员的能力，确保地方资金管理的透明、有效和责任分明。这些措施可能微不足道，但却十分必要，通过这些措施，政府已逐步朝着实现财政和政策全面分权的更长期目标迈进。</w:t>
      </w:r>
    </w:p>
    <w:p w:rsidR="00692915" w:rsidRDefault="00692915">
      <w:pPr>
        <w:pStyle w:val="Heading2"/>
        <w:jc w:val="both"/>
        <w:rPr>
          <w:rFonts w:hint="eastAsia"/>
          <w:color w:val="000000"/>
          <w:sz w:val="24"/>
        </w:rPr>
      </w:pPr>
      <w:bookmarkStart w:id="27" w:name="_Toc150514907"/>
      <w:bookmarkStart w:id="28" w:name="_Toc150684808"/>
      <w:r>
        <w:rPr>
          <w:color w:val="000000"/>
          <w:sz w:val="24"/>
        </w:rPr>
        <w:t xml:space="preserve">4.  </w:t>
      </w:r>
      <w:bookmarkEnd w:id="27"/>
      <w:bookmarkEnd w:id="28"/>
      <w:r>
        <w:rPr>
          <w:rFonts w:hint="eastAsia"/>
          <w:color w:val="000000"/>
          <w:sz w:val="24"/>
          <w:u w:val="single"/>
        </w:rPr>
        <w:t>法律体系</w:t>
      </w:r>
    </w:p>
    <w:p w:rsidR="00692915" w:rsidRDefault="00692915" w:rsidP="009A1C1B">
      <w:pPr>
        <w:ind w:firstLine="31680"/>
        <w:rPr>
          <w:rFonts w:hint="eastAsia"/>
          <w:color w:val="000000"/>
        </w:rPr>
      </w:pPr>
      <w:r>
        <w:rPr>
          <w:color w:val="000000"/>
        </w:rPr>
        <w:t>70.</w:t>
      </w:r>
      <w:r>
        <w:rPr>
          <w:color w:val="000000"/>
        </w:rPr>
        <w:tab/>
      </w:r>
      <w:r>
        <w:rPr>
          <w:rFonts w:hint="eastAsia"/>
          <w:color w:val="000000"/>
        </w:rPr>
        <w:t>东帝汶的法律来源按照其适用性可分为：</w:t>
      </w:r>
    </w:p>
    <w:p w:rsidR="00692915" w:rsidRDefault="00692915" w:rsidP="009A1C1B">
      <w:pPr>
        <w:numPr>
          <w:ilvl w:val="0"/>
          <w:numId w:val="17"/>
        </w:numPr>
        <w:tabs>
          <w:tab w:val="clear" w:pos="927"/>
          <w:tab w:val="num" w:pos="1560"/>
        </w:tabs>
        <w:ind w:leftChars="400" w:left="31680" w:hangingChars="200" w:firstLine="31680"/>
        <w:rPr>
          <w:color w:val="000000"/>
        </w:rPr>
      </w:pPr>
      <w:r>
        <w:rPr>
          <w:rFonts w:hint="eastAsia"/>
          <w:color w:val="000000"/>
        </w:rPr>
        <w:t>《东帝汶民主共和国（</w:t>
      </w:r>
      <w:r>
        <w:rPr>
          <w:rFonts w:hint="eastAsia"/>
          <w:color w:val="000000"/>
        </w:rPr>
        <w:t>RDTL</w:t>
      </w:r>
      <w:r>
        <w:rPr>
          <w:rFonts w:hint="eastAsia"/>
          <w:color w:val="000000"/>
        </w:rPr>
        <w:t>）宪法》；</w:t>
      </w:r>
    </w:p>
    <w:p w:rsidR="00692915" w:rsidRDefault="00692915" w:rsidP="009A1C1B">
      <w:pPr>
        <w:numPr>
          <w:ilvl w:val="0"/>
          <w:numId w:val="17"/>
        </w:numPr>
        <w:tabs>
          <w:tab w:val="clear" w:pos="927"/>
          <w:tab w:val="num" w:pos="1560"/>
        </w:tabs>
        <w:ind w:leftChars="400" w:left="31680" w:hangingChars="200" w:firstLine="31680"/>
        <w:rPr>
          <w:color w:val="000000"/>
        </w:rPr>
      </w:pPr>
      <w:r>
        <w:rPr>
          <w:rFonts w:hint="eastAsia"/>
          <w:color w:val="000000"/>
        </w:rPr>
        <w:t>东帝汶民主共和国的法律（由国民议会或内阁通过）；</w:t>
      </w:r>
    </w:p>
    <w:p w:rsidR="00692915" w:rsidRDefault="00692915" w:rsidP="009A1C1B">
      <w:pPr>
        <w:numPr>
          <w:ilvl w:val="0"/>
          <w:numId w:val="17"/>
        </w:numPr>
        <w:tabs>
          <w:tab w:val="clear" w:pos="927"/>
          <w:tab w:val="num" w:pos="1560"/>
        </w:tabs>
        <w:ind w:leftChars="400" w:left="31680" w:hangingChars="200" w:firstLine="31680"/>
        <w:rPr>
          <w:color w:val="000000"/>
        </w:rPr>
      </w:pPr>
      <w:r>
        <w:rPr>
          <w:color w:val="000000"/>
        </w:rPr>
        <w:t>东帝汶过渡当局</w:t>
      </w:r>
      <w:r>
        <w:rPr>
          <w:rFonts w:hint="eastAsia"/>
          <w:color w:val="000000"/>
        </w:rPr>
        <w:t>执政期间制定的条例、法令和行政命令；</w:t>
      </w:r>
    </w:p>
    <w:p w:rsidR="00692915" w:rsidRDefault="00692915" w:rsidP="009A1C1B">
      <w:pPr>
        <w:numPr>
          <w:ilvl w:val="0"/>
          <w:numId w:val="17"/>
        </w:numPr>
        <w:tabs>
          <w:tab w:val="clear" w:pos="927"/>
          <w:tab w:val="num" w:pos="1560"/>
        </w:tabs>
        <w:spacing w:after="240"/>
        <w:ind w:leftChars="400" w:left="31680" w:hangingChars="200" w:firstLine="31680"/>
        <w:rPr>
          <w:color w:val="000000"/>
        </w:rPr>
      </w:pPr>
      <w:r>
        <w:rPr>
          <w:rFonts w:hint="eastAsia"/>
          <w:color w:val="000000"/>
        </w:rPr>
        <w:t>1999</w:t>
      </w:r>
      <w:r>
        <w:rPr>
          <w:rFonts w:hint="eastAsia"/>
          <w:color w:val="000000"/>
        </w:rPr>
        <w:t>年</w:t>
      </w:r>
      <w:r>
        <w:rPr>
          <w:rFonts w:hint="eastAsia"/>
          <w:color w:val="000000"/>
        </w:rPr>
        <w:t>10</w:t>
      </w:r>
      <w:r>
        <w:rPr>
          <w:rFonts w:hint="eastAsia"/>
          <w:color w:val="000000"/>
        </w:rPr>
        <w:t>月</w:t>
      </w:r>
      <w:r>
        <w:rPr>
          <w:rFonts w:hint="eastAsia"/>
          <w:color w:val="000000"/>
        </w:rPr>
        <w:t>25</w:t>
      </w:r>
      <w:r>
        <w:rPr>
          <w:rFonts w:hint="eastAsia"/>
          <w:color w:val="000000"/>
        </w:rPr>
        <w:t>日前适用于东帝汶的法律，如果这些法律与</w:t>
      </w:r>
      <w:r>
        <w:rPr>
          <w:color w:val="000000"/>
        </w:rPr>
        <w:t>东帝汶过渡当局</w:t>
      </w:r>
      <w:r>
        <w:rPr>
          <w:rFonts w:hint="eastAsia"/>
          <w:color w:val="000000"/>
        </w:rPr>
        <w:t>第</w:t>
      </w:r>
      <w:r>
        <w:rPr>
          <w:color w:val="000000"/>
        </w:rPr>
        <w:t>1999/1</w:t>
      </w:r>
      <w:r>
        <w:rPr>
          <w:rFonts w:hint="eastAsia"/>
          <w:color w:val="000000"/>
        </w:rPr>
        <w:t>号条例、《宪法》第</w:t>
      </w:r>
      <w:r>
        <w:rPr>
          <w:rFonts w:hint="eastAsia"/>
          <w:color w:val="000000"/>
        </w:rPr>
        <w:t>165</w:t>
      </w:r>
      <w:r>
        <w:rPr>
          <w:rFonts w:hint="eastAsia"/>
          <w:color w:val="000000"/>
        </w:rPr>
        <w:t>条和关于独立后适用法律的解释的东帝汶民主共和国第</w:t>
      </w:r>
      <w:r>
        <w:rPr>
          <w:color w:val="000000"/>
        </w:rPr>
        <w:t>2/2002</w:t>
      </w:r>
      <w:r>
        <w:rPr>
          <w:rFonts w:hint="eastAsia"/>
          <w:color w:val="000000"/>
        </w:rPr>
        <w:t>号法律所认可的国际义务和人权标准不相冲突，那么将继续适用</w:t>
      </w:r>
      <w:r>
        <w:rPr>
          <w:rFonts w:ascii="SimHei" w:eastAsia="SimHei" w:hint="eastAsia"/>
          <w:color w:val="000000"/>
          <w:spacing w:val="0"/>
        </w:rPr>
        <w:t>——</w:t>
      </w:r>
      <w:r>
        <w:rPr>
          <w:rFonts w:hint="eastAsia"/>
          <w:color w:val="000000"/>
        </w:rPr>
        <w:t>在第</w:t>
      </w:r>
      <w:r>
        <w:rPr>
          <w:color w:val="000000"/>
        </w:rPr>
        <w:t>2/2002</w:t>
      </w:r>
      <w:r>
        <w:rPr>
          <w:rFonts w:hint="eastAsia"/>
          <w:color w:val="000000"/>
        </w:rPr>
        <w:t>号法律中议会证实该适用法律系指印度尼西亚法律。</w:t>
      </w:r>
    </w:p>
    <w:p w:rsidR="00692915" w:rsidRDefault="00692915" w:rsidP="009A1C1B">
      <w:pPr>
        <w:ind w:firstLine="31680"/>
        <w:rPr>
          <w:rFonts w:hint="eastAsia"/>
          <w:color w:val="000000"/>
        </w:rPr>
      </w:pPr>
      <w:r>
        <w:rPr>
          <w:color w:val="000000"/>
        </w:rPr>
        <w:t>71.</w:t>
      </w:r>
      <w:r>
        <w:rPr>
          <w:color w:val="000000"/>
        </w:rPr>
        <w:tab/>
      </w:r>
      <w:r>
        <w:rPr>
          <w:rFonts w:hint="eastAsia"/>
          <w:color w:val="000000"/>
        </w:rPr>
        <w:t>东帝汶复杂的历史对该国当前的法律体系产生了巨大影响。由于受到葡萄牙殖民统治、独立后国际咨询援助、印度尼西亚占领以及联合国东帝汶过渡行政当局的影响，东帝汶的法律体系是一个由不同来源的法律法规混合而成的一个复杂体系，主要由葡萄牙、印度尼西亚和国际法以及</w:t>
      </w:r>
      <w:r>
        <w:rPr>
          <w:color w:val="000000"/>
        </w:rPr>
        <w:t>东帝汶过渡当局</w:t>
      </w:r>
      <w:r>
        <w:rPr>
          <w:rFonts w:hint="eastAsia"/>
          <w:color w:val="000000"/>
        </w:rPr>
        <w:t>规章制度构成。</w:t>
      </w:r>
    </w:p>
    <w:p w:rsidR="00692915" w:rsidRDefault="00692915" w:rsidP="009A1C1B">
      <w:pPr>
        <w:ind w:firstLine="31680"/>
        <w:rPr>
          <w:rFonts w:hint="eastAsia"/>
          <w:color w:val="000000"/>
        </w:rPr>
      </w:pPr>
      <w:r>
        <w:rPr>
          <w:color w:val="000000"/>
        </w:rPr>
        <w:t>72.</w:t>
      </w:r>
      <w:r>
        <w:rPr>
          <w:color w:val="000000"/>
        </w:rPr>
        <w:tab/>
      </w:r>
      <w:r>
        <w:rPr>
          <w:rFonts w:hint="eastAsia"/>
          <w:color w:val="000000"/>
        </w:rPr>
        <w:t>由于这种混合体系给适用法律带来了混乱，再加上帝汶法官没有经验，国家缺乏资源，因此东帝汶的法治与司法管理受到了影响。</w:t>
      </w:r>
    </w:p>
    <w:p w:rsidR="00692915" w:rsidRDefault="00692915" w:rsidP="009A1C1B">
      <w:pPr>
        <w:spacing w:after="240"/>
        <w:ind w:firstLine="31680"/>
        <w:rPr>
          <w:rFonts w:hint="eastAsia"/>
          <w:color w:val="000000"/>
        </w:rPr>
      </w:pPr>
      <w:r>
        <w:rPr>
          <w:color w:val="000000"/>
        </w:rPr>
        <w:t>73.</w:t>
      </w:r>
      <w:r>
        <w:rPr>
          <w:color w:val="000000"/>
        </w:rPr>
        <w:tab/>
      </w:r>
      <w:r>
        <w:rPr>
          <w:rFonts w:hint="eastAsia"/>
          <w:color w:val="000000"/>
        </w:rPr>
        <w:t xml:space="preserve"> </w:t>
      </w:r>
      <w:r>
        <w:rPr>
          <w:rFonts w:hint="eastAsia"/>
          <w:color w:val="000000"/>
        </w:rPr>
        <w:t>一个特别示例就是，在早期上诉法院有关类似事实的案件判决中，究竟是适用印度尼西亚法律还是葡萄牙法律存在着相互矛盾的问题。</w:t>
      </w:r>
      <w:r>
        <w:rPr>
          <w:rStyle w:val="FootnoteReference"/>
          <w:color w:val="000000"/>
        </w:rPr>
        <w:footnoteReference w:id="51"/>
      </w:r>
      <w:r>
        <w:rPr>
          <w:rFonts w:hint="eastAsia"/>
          <w:color w:val="000000"/>
        </w:rPr>
        <w:t>议会于</w:t>
      </w:r>
      <w:r>
        <w:rPr>
          <w:rFonts w:hint="eastAsia"/>
          <w:color w:val="000000"/>
        </w:rPr>
        <w:t>2003</w:t>
      </w:r>
      <w:r>
        <w:rPr>
          <w:rFonts w:hint="eastAsia"/>
          <w:color w:val="000000"/>
        </w:rPr>
        <w:t>年</w:t>
      </w:r>
      <w:r>
        <w:rPr>
          <w:rFonts w:hint="eastAsia"/>
          <w:color w:val="000000"/>
        </w:rPr>
        <w:t>10</w:t>
      </w:r>
      <w:r>
        <w:rPr>
          <w:rFonts w:hint="eastAsia"/>
          <w:color w:val="000000"/>
        </w:rPr>
        <w:t>月</w:t>
      </w:r>
      <w:r>
        <w:rPr>
          <w:rFonts w:hint="eastAsia"/>
          <w:color w:val="000000"/>
        </w:rPr>
        <w:t>6</w:t>
      </w:r>
      <w:r>
        <w:rPr>
          <w:rFonts w:hint="eastAsia"/>
          <w:color w:val="000000"/>
        </w:rPr>
        <w:t>日批准，并于</w:t>
      </w:r>
      <w:r>
        <w:rPr>
          <w:rFonts w:hint="eastAsia"/>
          <w:color w:val="000000"/>
        </w:rPr>
        <w:t>2003</w:t>
      </w:r>
      <w:r>
        <w:rPr>
          <w:rFonts w:hint="eastAsia"/>
          <w:color w:val="000000"/>
        </w:rPr>
        <w:t>年</w:t>
      </w:r>
      <w:r>
        <w:rPr>
          <w:rFonts w:hint="eastAsia"/>
          <w:color w:val="000000"/>
        </w:rPr>
        <w:t>10</w:t>
      </w:r>
      <w:r>
        <w:rPr>
          <w:rFonts w:hint="eastAsia"/>
          <w:color w:val="000000"/>
        </w:rPr>
        <w:t>月</w:t>
      </w:r>
      <w:r>
        <w:rPr>
          <w:rFonts w:hint="eastAsia"/>
          <w:color w:val="000000"/>
        </w:rPr>
        <w:t>20</w:t>
      </w:r>
      <w:r>
        <w:rPr>
          <w:rFonts w:hint="eastAsia"/>
          <w:color w:val="000000"/>
        </w:rPr>
        <w:t>日颁布了一项旨在明确印度尼西亚法律适用性的法律（议会第</w:t>
      </w:r>
      <w:r>
        <w:rPr>
          <w:color w:val="000000"/>
        </w:rPr>
        <w:t>10/2003</w:t>
      </w:r>
      <w:r>
        <w:rPr>
          <w:rFonts w:hint="eastAsia"/>
          <w:color w:val="000000"/>
        </w:rPr>
        <w:t>号法律）。但有些人认为对于不同法律适用性的总体认识依然不足。政府建议制订新的、涉及公共生活各个方面的东帝汶民主共和国法律，以改变这种混乱局面。不过在实际操作过程中，如此广泛的立法过渡将需要很长时间才能完成。</w:t>
      </w:r>
    </w:p>
    <w:p w:rsidR="00692915" w:rsidRDefault="00692915">
      <w:pPr>
        <w:pStyle w:val="Heading3"/>
        <w:jc w:val="both"/>
        <w:rPr>
          <w:rFonts w:eastAsia="KaiTi_GB2312" w:hint="eastAsia"/>
          <w:color w:val="000000"/>
          <w:u w:val="none"/>
        </w:rPr>
      </w:pPr>
      <w:r>
        <w:rPr>
          <w:rFonts w:eastAsia="KaiTi_GB2312" w:hint="eastAsia"/>
          <w:color w:val="000000"/>
          <w:u w:val="none"/>
        </w:rPr>
        <w:t>法庭</w:t>
      </w:r>
    </w:p>
    <w:p w:rsidR="00692915" w:rsidRDefault="00692915" w:rsidP="009A1C1B">
      <w:pPr>
        <w:ind w:firstLine="31680"/>
        <w:rPr>
          <w:rFonts w:hint="eastAsia"/>
          <w:color w:val="000000"/>
        </w:rPr>
      </w:pPr>
      <w:r>
        <w:rPr>
          <w:color w:val="000000"/>
        </w:rPr>
        <w:t>74.</w:t>
      </w:r>
      <w:r>
        <w:rPr>
          <w:color w:val="000000"/>
        </w:rPr>
        <w:tab/>
      </w:r>
      <w:r>
        <w:rPr>
          <w:rFonts w:hint="eastAsia"/>
          <w:color w:val="000000"/>
        </w:rPr>
        <w:t>东帝汶政府意识到一个运行良好的司法和法律制度对于实行民主、确保长期政治稳定和公众对国家行政管理的信心具有重要意义。延误了正义就是剥夺了正义，有鉴于此，政府有责任确保公民有权享有一个不仅公正，而且负责和透明的司法制度。</w:t>
      </w:r>
      <w:r>
        <w:rPr>
          <w:rStyle w:val="FootnoteReference"/>
          <w:color w:val="000000"/>
        </w:rPr>
        <w:footnoteReference w:id="52"/>
      </w:r>
      <w:r>
        <w:rPr>
          <w:rFonts w:hint="eastAsia"/>
          <w:color w:val="000000"/>
        </w:rPr>
        <w:t>这只是政府的决心，但要缔造一个强大的司法部门也许是东帝汶政府近期所要面临的最大挑战。</w:t>
      </w:r>
    </w:p>
    <w:p w:rsidR="00692915" w:rsidRDefault="00692915" w:rsidP="009A1C1B">
      <w:pPr>
        <w:ind w:firstLine="31680"/>
        <w:rPr>
          <w:rFonts w:hint="eastAsia"/>
          <w:color w:val="000000"/>
        </w:rPr>
      </w:pPr>
      <w:r>
        <w:rPr>
          <w:rFonts w:hint="eastAsia"/>
          <w:color w:val="000000"/>
        </w:rPr>
        <w:t>7</w:t>
      </w:r>
      <w:r>
        <w:rPr>
          <w:color w:val="000000"/>
        </w:rPr>
        <w:t>5.</w:t>
      </w:r>
      <w:r>
        <w:rPr>
          <w:color w:val="000000"/>
        </w:rPr>
        <w:tab/>
      </w:r>
      <w:r>
        <w:rPr>
          <w:rFonts w:hint="eastAsia"/>
          <w:color w:val="000000"/>
        </w:rPr>
        <w:t>《东帝汶宪法》明确肯定了东帝汶司法的独立性，司法只受《宪法》和法律的约束。</w:t>
      </w:r>
      <w:r>
        <w:rPr>
          <w:rStyle w:val="FootnoteReference"/>
          <w:color w:val="000000"/>
        </w:rPr>
        <w:footnoteReference w:id="53"/>
      </w:r>
      <w:r>
        <w:rPr>
          <w:rFonts w:hint="eastAsia"/>
          <w:color w:val="000000"/>
        </w:rPr>
        <w:t>《宪法》还保证所有东帝汶人民，无论其经济实力如何，都有权通过法庭维护其合法权益。正义不会因经济实力不足而被剥夺。</w:t>
      </w:r>
      <w:r>
        <w:rPr>
          <w:rStyle w:val="FootnoteReference"/>
          <w:color w:val="000000"/>
        </w:rPr>
        <w:footnoteReference w:id="54"/>
      </w:r>
      <w:r>
        <w:rPr>
          <w:rFonts w:hint="eastAsia"/>
          <w:color w:val="000000"/>
        </w:rPr>
        <w:t>法院裁决具有约束力，并优先于其他任何权力机构的判决。</w:t>
      </w:r>
      <w:r>
        <w:rPr>
          <w:rStyle w:val="FootnoteReference"/>
          <w:color w:val="000000"/>
        </w:rPr>
        <w:footnoteReference w:id="55"/>
      </w:r>
    </w:p>
    <w:p w:rsidR="00692915" w:rsidRDefault="00692915" w:rsidP="009A1C1B">
      <w:pPr>
        <w:ind w:firstLine="31680"/>
        <w:rPr>
          <w:rFonts w:hint="eastAsia"/>
          <w:color w:val="000000"/>
        </w:rPr>
      </w:pPr>
      <w:r>
        <w:rPr>
          <w:color w:val="000000"/>
        </w:rPr>
        <w:t>76.</w:t>
      </w:r>
      <w:r>
        <w:rPr>
          <w:color w:val="000000"/>
        </w:rPr>
        <w:tab/>
      </w:r>
      <w:r>
        <w:rPr>
          <w:rFonts w:hint="eastAsia"/>
          <w:color w:val="000000"/>
        </w:rPr>
        <w:t>《宪法》第</w:t>
      </w:r>
      <w:r>
        <w:rPr>
          <w:rFonts w:hint="eastAsia"/>
          <w:color w:val="000000"/>
        </w:rPr>
        <w:t>123</w:t>
      </w:r>
      <w:r>
        <w:rPr>
          <w:rFonts w:hint="eastAsia"/>
          <w:color w:val="000000"/>
        </w:rPr>
        <w:t>条详细列出了东帝汶法院类型，包括最高法院和其他法院；高等行政、税收和审计法院；军事法庭以及将来可能设立的海事法庭和仲裁庭。最高法院，作为最高层的法庭和法律统一实施的一种保证，目前尚未成立起来，但将会在现有机构正常运转之后建立。</w:t>
      </w:r>
      <w:r>
        <w:rPr>
          <w:rStyle w:val="FootnoteReference"/>
          <w:color w:val="000000"/>
        </w:rPr>
        <w:footnoteReference w:id="56"/>
      </w:r>
      <w:r>
        <w:rPr>
          <w:rFonts w:hint="eastAsia"/>
          <w:color w:val="000000"/>
        </w:rPr>
        <w:t>在最高法院尚未成立期间，上诉法院将代行其责，负责审理由东帝汶任何地区法庭提交的最终裁决请求，享有最高法院的一切权力。高等行政、税收和审计法院将负责监督财政支出的合法性，并对国家账务进行审计，但目前尚未建立。</w:t>
      </w:r>
    </w:p>
    <w:p w:rsidR="00692915" w:rsidRDefault="00692915" w:rsidP="009A1C1B">
      <w:pPr>
        <w:ind w:firstLine="31680"/>
        <w:rPr>
          <w:rFonts w:hint="eastAsia"/>
          <w:color w:val="000000"/>
        </w:rPr>
      </w:pPr>
      <w:r>
        <w:rPr>
          <w:color w:val="000000"/>
        </w:rPr>
        <w:t>77.</w:t>
      </w:r>
      <w:r>
        <w:rPr>
          <w:color w:val="000000"/>
        </w:rPr>
        <w:tab/>
      </w:r>
      <w:r>
        <w:rPr>
          <w:rFonts w:hint="eastAsia"/>
          <w:color w:val="000000"/>
        </w:rPr>
        <w:t>目前，制度上的挫折使东帝汶法院备受困扰，这影响了人民有效地寻求司法援助。的确，寻求司法援助仍然是东帝汶人民全面享有人权所面临的最大挑战之一。</w:t>
      </w:r>
    </w:p>
    <w:p w:rsidR="00692915" w:rsidRDefault="00692915" w:rsidP="009A1C1B">
      <w:pPr>
        <w:ind w:firstLine="31680"/>
        <w:rPr>
          <w:rFonts w:hint="eastAsia"/>
          <w:color w:val="000000"/>
        </w:rPr>
      </w:pPr>
      <w:r>
        <w:rPr>
          <w:color w:val="000000"/>
        </w:rPr>
        <w:t>78.</w:t>
      </w:r>
      <w:r>
        <w:rPr>
          <w:color w:val="000000"/>
        </w:rPr>
        <w:tab/>
      </w:r>
      <w:r>
        <w:rPr>
          <w:rFonts w:hint="eastAsia"/>
          <w:color w:val="000000"/>
        </w:rPr>
        <w:t>1999</w:t>
      </w:r>
      <w:r>
        <w:rPr>
          <w:rFonts w:hint="eastAsia"/>
          <w:color w:val="000000"/>
        </w:rPr>
        <w:t>年年底，印度尼西亚当局撤离之后，东帝汶所面临的现实是：</w:t>
      </w:r>
    </w:p>
    <w:p w:rsidR="00692915" w:rsidRDefault="00692915" w:rsidP="009A1C1B">
      <w:pPr>
        <w:numPr>
          <w:ilvl w:val="0"/>
          <w:numId w:val="17"/>
        </w:numPr>
        <w:tabs>
          <w:tab w:val="clear" w:pos="927"/>
          <w:tab w:val="num" w:pos="1560"/>
        </w:tabs>
        <w:ind w:leftChars="400" w:left="31680" w:hangingChars="200" w:firstLine="31680"/>
        <w:rPr>
          <w:color w:val="000000"/>
        </w:rPr>
      </w:pPr>
      <w:r>
        <w:rPr>
          <w:rFonts w:hint="eastAsia"/>
          <w:color w:val="000000"/>
        </w:rPr>
        <w:t>能够从事司法工作的法律专业人员极其匮乏（只有</w:t>
      </w:r>
      <w:r>
        <w:rPr>
          <w:rFonts w:hint="eastAsia"/>
          <w:color w:val="000000"/>
        </w:rPr>
        <w:t>70</w:t>
      </w:r>
      <w:r>
        <w:rPr>
          <w:rFonts w:hint="eastAsia"/>
          <w:color w:val="000000"/>
        </w:rPr>
        <w:t>名东帝汶人受过法律培训，而且其中大多数都是在印度尼西亚接受的培训）；</w:t>
      </w:r>
    </w:p>
    <w:p w:rsidR="00692915" w:rsidRDefault="00692915" w:rsidP="009A1C1B">
      <w:pPr>
        <w:numPr>
          <w:ilvl w:val="0"/>
          <w:numId w:val="17"/>
        </w:numPr>
        <w:tabs>
          <w:tab w:val="clear" w:pos="927"/>
          <w:tab w:val="num" w:pos="1560"/>
        </w:tabs>
        <w:ind w:leftChars="400" w:left="31680" w:hangingChars="200" w:firstLine="31680"/>
        <w:rPr>
          <w:color w:val="000000"/>
        </w:rPr>
      </w:pPr>
      <w:r>
        <w:rPr>
          <w:rFonts w:hint="eastAsia"/>
          <w:color w:val="000000"/>
        </w:rPr>
        <w:t>许多重要法庭文件被毁（除教堂保存的外）；</w:t>
      </w:r>
    </w:p>
    <w:p w:rsidR="00692915" w:rsidRDefault="00692915" w:rsidP="009A1C1B">
      <w:pPr>
        <w:numPr>
          <w:ilvl w:val="0"/>
          <w:numId w:val="17"/>
        </w:numPr>
        <w:tabs>
          <w:tab w:val="clear" w:pos="927"/>
          <w:tab w:val="num" w:pos="1560"/>
        </w:tabs>
        <w:ind w:leftChars="400" w:left="31680" w:hangingChars="200" w:firstLine="31680"/>
        <w:rPr>
          <w:color w:val="000000"/>
        </w:rPr>
      </w:pPr>
      <w:r>
        <w:rPr>
          <w:rFonts w:hint="eastAsia"/>
          <w:color w:val="000000"/>
        </w:rPr>
        <w:t>基础设施（包括法院、警察局、检察院和拘留所）遭到严重破坏；以及</w:t>
      </w:r>
    </w:p>
    <w:p w:rsidR="00692915" w:rsidRDefault="00692915" w:rsidP="009A1C1B">
      <w:pPr>
        <w:numPr>
          <w:ilvl w:val="0"/>
          <w:numId w:val="17"/>
        </w:numPr>
        <w:tabs>
          <w:tab w:val="clear" w:pos="927"/>
          <w:tab w:val="num" w:pos="1560"/>
        </w:tabs>
        <w:spacing w:after="240"/>
        <w:ind w:leftChars="400" w:left="31680" w:hangingChars="200" w:firstLine="31680"/>
        <w:rPr>
          <w:color w:val="000000"/>
        </w:rPr>
      </w:pPr>
      <w:r>
        <w:rPr>
          <w:rFonts w:hint="eastAsia"/>
          <w:color w:val="000000"/>
        </w:rPr>
        <w:t>无力制定新的法律。</w:t>
      </w:r>
    </w:p>
    <w:p w:rsidR="00692915" w:rsidRDefault="00692915" w:rsidP="009A1C1B">
      <w:pPr>
        <w:ind w:firstLine="31680"/>
        <w:rPr>
          <w:rFonts w:hint="eastAsia"/>
          <w:color w:val="000000"/>
        </w:rPr>
      </w:pPr>
      <w:r>
        <w:rPr>
          <w:color w:val="000000"/>
        </w:rPr>
        <w:t>79.</w:t>
      </w:r>
      <w:r>
        <w:rPr>
          <w:color w:val="000000"/>
        </w:rPr>
        <w:tab/>
      </w:r>
      <w:r>
        <w:rPr>
          <w:rFonts w:hint="eastAsia"/>
          <w:color w:val="000000"/>
        </w:rPr>
        <w:t>尽管</w:t>
      </w:r>
      <w:r>
        <w:rPr>
          <w:color w:val="000000"/>
        </w:rPr>
        <w:t>东帝汶过渡当局</w:t>
      </w:r>
      <w:r>
        <w:rPr>
          <w:rFonts w:hint="eastAsia"/>
          <w:color w:val="000000"/>
        </w:rPr>
        <w:t>试图采取措施解决上述严重不足的问题，但东帝汶接手的是一个几乎无法运转的法律体系，该体系受到制度缺陷的制约。合格的法律和司法人员缺乏，地区法院只能不定时地开展工作。</w:t>
      </w:r>
    </w:p>
    <w:p w:rsidR="00692915" w:rsidRDefault="00692915" w:rsidP="009A1C1B">
      <w:pPr>
        <w:ind w:firstLine="31680"/>
        <w:rPr>
          <w:rFonts w:hint="eastAsia"/>
          <w:color w:val="000000"/>
        </w:rPr>
      </w:pPr>
      <w:r>
        <w:rPr>
          <w:color w:val="000000"/>
        </w:rPr>
        <w:t>80.</w:t>
      </w:r>
      <w:r>
        <w:rPr>
          <w:color w:val="000000"/>
        </w:rPr>
        <w:tab/>
      </w:r>
      <w:r>
        <w:rPr>
          <w:rFonts w:hint="eastAsia"/>
          <w:color w:val="000000"/>
        </w:rPr>
        <w:t>经验缺乏和资源限制表现为法院判决缺乏一致性、案件积压、法院之间移送案件缺乏有效的机制、获取信息的渠道不畅、管理薄弱、效率低下。</w:t>
      </w:r>
    </w:p>
    <w:p w:rsidR="00692915" w:rsidRDefault="00692915" w:rsidP="009A1C1B">
      <w:pPr>
        <w:ind w:firstLine="31680"/>
        <w:rPr>
          <w:rFonts w:hint="eastAsia"/>
          <w:color w:val="000000"/>
        </w:rPr>
      </w:pPr>
      <w:r>
        <w:rPr>
          <w:color w:val="000000"/>
        </w:rPr>
        <w:t>81.</w:t>
      </w:r>
      <w:r>
        <w:rPr>
          <w:color w:val="000000"/>
        </w:rPr>
        <w:tab/>
      </w:r>
      <w:r>
        <w:rPr>
          <w:rFonts w:hint="eastAsia"/>
          <w:color w:val="000000"/>
        </w:rPr>
        <w:t>2000</w:t>
      </w:r>
      <w:r>
        <w:rPr>
          <w:rFonts w:hint="eastAsia"/>
          <w:color w:val="000000"/>
        </w:rPr>
        <w:t>年初，联合国做出行政决策，要求立即建立一个全部由帝汶人组成的司法体系，该体系由国际顾问提供支持，并对法官、检察官以及法庭书记员提供特别培训，可实际情况却是东帝汶法庭人员独立工作了三年，几乎没有任何国际援助来提供支持和加强他们的技能，这正是司法困境的原因之一。</w:t>
      </w:r>
    </w:p>
    <w:p w:rsidR="00692915" w:rsidRDefault="00692915" w:rsidP="009A1C1B">
      <w:pPr>
        <w:ind w:firstLine="31680"/>
        <w:rPr>
          <w:rFonts w:hint="eastAsia"/>
          <w:color w:val="000000"/>
        </w:rPr>
      </w:pPr>
      <w:r>
        <w:rPr>
          <w:color w:val="000000"/>
        </w:rPr>
        <w:t>82.</w:t>
      </w:r>
      <w:r>
        <w:rPr>
          <w:color w:val="000000"/>
        </w:rPr>
        <w:tab/>
      </w:r>
      <w:r>
        <w:rPr>
          <w:rFonts w:hint="eastAsia"/>
          <w:color w:val="000000"/>
        </w:rPr>
        <w:t>2005</w:t>
      </w:r>
      <w:r>
        <w:rPr>
          <w:rFonts w:hint="eastAsia"/>
          <w:color w:val="000000"/>
        </w:rPr>
        <w:t>年</w:t>
      </w:r>
      <w:r>
        <w:rPr>
          <w:rFonts w:hint="eastAsia"/>
          <w:color w:val="000000"/>
        </w:rPr>
        <w:t>1</w:t>
      </w:r>
      <w:r>
        <w:rPr>
          <w:rFonts w:hint="eastAsia"/>
          <w:color w:val="000000"/>
        </w:rPr>
        <w:t>月</w:t>
      </w:r>
      <w:r>
        <w:rPr>
          <w:rFonts w:hint="eastAsia"/>
          <w:color w:val="000000"/>
        </w:rPr>
        <w:t>20</w:t>
      </w:r>
      <w:r>
        <w:rPr>
          <w:rFonts w:hint="eastAsia"/>
          <w:color w:val="000000"/>
        </w:rPr>
        <w:t>日，根据宣布的考试结果，所有东帝汶法官、检察官以及公诉辩护人笔试都不及格，因此不能从见习法官向职业法官任命转变。但在</w:t>
      </w:r>
      <w:r>
        <w:rPr>
          <w:rFonts w:hint="eastAsia"/>
          <w:color w:val="000000"/>
        </w:rPr>
        <w:t>22</w:t>
      </w:r>
      <w:r>
        <w:rPr>
          <w:rFonts w:hint="eastAsia"/>
          <w:color w:val="000000"/>
        </w:rPr>
        <w:t>名法官中，有</w:t>
      </w:r>
      <w:r>
        <w:rPr>
          <w:rFonts w:hint="eastAsia"/>
          <w:color w:val="000000"/>
        </w:rPr>
        <w:t>5</w:t>
      </w:r>
      <w:r>
        <w:rPr>
          <w:rFonts w:hint="eastAsia"/>
          <w:color w:val="000000"/>
        </w:rPr>
        <w:t>名法官接受了最高司法理事会的任命，继续行使其职责，以便完成重罪和国家选举委员会的程序。除此之外，大多数东帝汶国家法官都不再行使其司法职责。在撰写本报告期间，东帝汶的刑事和民事案件仍然要在很大程度上靠国际法官审理。事实证明，利用国际法律专业人士特别有助于弥补法庭某些职能方面的不足问题，包括减少案件积压、强化地区法院的职能和提高判决的一致性。</w:t>
      </w:r>
    </w:p>
    <w:p w:rsidR="00692915" w:rsidRDefault="00692915" w:rsidP="009A1C1B">
      <w:pPr>
        <w:ind w:firstLine="31680"/>
        <w:rPr>
          <w:rFonts w:hint="eastAsia"/>
          <w:color w:val="000000"/>
        </w:rPr>
      </w:pPr>
      <w:r>
        <w:rPr>
          <w:color w:val="000000"/>
        </w:rPr>
        <w:t>83.</w:t>
      </w:r>
      <w:r>
        <w:rPr>
          <w:color w:val="000000"/>
        </w:rPr>
        <w:tab/>
      </w:r>
      <w:r>
        <w:rPr>
          <w:rFonts w:hint="eastAsia"/>
          <w:color w:val="000000"/>
        </w:rPr>
        <w:t>最近，情况有所改善，但从历史上来看，国家司法制度发生了严重倒退，这极大影响了普通东帝汶人民寻求司法援助的机会，对东帝汶妇女的影响更大，她们不能完全通过法庭要求采取补救措施，如有关</w:t>
      </w:r>
      <w:r>
        <w:rPr>
          <w:color w:val="000000"/>
        </w:rPr>
        <w:t>《消除对妇女一切形式歧视公约》</w:t>
      </w:r>
      <w:r>
        <w:rPr>
          <w:rFonts w:hint="eastAsia"/>
          <w:color w:val="000000"/>
        </w:rPr>
        <w:t>的文件所详细描述的那样。因此，未来在将全部责任移交给国家法院工作人员时，为了使那些妨碍人民有效寻求司法帮助的障碍不再出现，需要慎重处理，这一点很关键。</w:t>
      </w:r>
    </w:p>
    <w:p w:rsidR="00692915" w:rsidRDefault="00692915" w:rsidP="009A1C1B">
      <w:pPr>
        <w:ind w:firstLine="31680"/>
        <w:rPr>
          <w:rFonts w:hint="eastAsia"/>
          <w:color w:val="000000"/>
        </w:rPr>
      </w:pPr>
      <w:r>
        <w:rPr>
          <w:color w:val="000000"/>
        </w:rPr>
        <w:t>84.</w:t>
      </w:r>
      <w:r>
        <w:rPr>
          <w:color w:val="000000"/>
        </w:rPr>
        <w:tab/>
      </w:r>
      <w:r>
        <w:rPr>
          <w:rFonts w:hint="eastAsia"/>
          <w:color w:val="000000"/>
        </w:rPr>
        <w:t>20</w:t>
      </w:r>
      <w:r>
        <w:rPr>
          <w:rFonts w:hint="eastAsia"/>
          <w:color w:val="000000"/>
        </w:rPr>
        <w:t>位法律学者成功完成了第一阶段的培训计划，并将继续进行高级培训。根据预计，到</w:t>
      </w:r>
      <w:r>
        <w:rPr>
          <w:rFonts w:hint="eastAsia"/>
          <w:color w:val="000000"/>
        </w:rPr>
        <w:t>2007</w:t>
      </w:r>
      <w:r>
        <w:rPr>
          <w:rFonts w:hint="eastAsia"/>
          <w:color w:val="000000"/>
        </w:rPr>
        <w:t>年，该研究生培训方案将能够培养出一批合格的国家专业人才，因而将能更多地接替目前由国际顾问承担的职能。在过渡期间，帝汶法庭工作人员的培训和高效司法管理服务的提供还需继续得到国际支持。</w:t>
      </w:r>
    </w:p>
    <w:p w:rsidR="00692915" w:rsidRDefault="00692915" w:rsidP="009A1C1B">
      <w:pPr>
        <w:spacing w:after="240"/>
        <w:ind w:firstLine="31680"/>
        <w:rPr>
          <w:color w:val="000000"/>
        </w:rPr>
      </w:pPr>
      <w:r>
        <w:rPr>
          <w:color w:val="000000"/>
        </w:rPr>
        <w:t>85.</w:t>
      </w:r>
      <w:r>
        <w:rPr>
          <w:color w:val="000000"/>
        </w:rPr>
        <w:tab/>
      </w:r>
      <w:r>
        <w:rPr>
          <w:rFonts w:hint="eastAsia"/>
          <w:color w:val="000000"/>
        </w:rPr>
        <w:t>截止</w:t>
      </w:r>
      <w:r>
        <w:rPr>
          <w:rFonts w:hint="eastAsia"/>
          <w:color w:val="000000"/>
        </w:rPr>
        <w:t>2005</w:t>
      </w:r>
      <w:r>
        <w:rPr>
          <w:rFonts w:hint="eastAsia"/>
          <w:color w:val="000000"/>
        </w:rPr>
        <w:t>年</w:t>
      </w:r>
      <w:r>
        <w:rPr>
          <w:rFonts w:hint="eastAsia"/>
          <w:color w:val="000000"/>
        </w:rPr>
        <w:t>10</w:t>
      </w:r>
      <w:r>
        <w:rPr>
          <w:rFonts w:hint="eastAsia"/>
          <w:color w:val="000000"/>
        </w:rPr>
        <w:t>月，国际顾问援助人员包括</w:t>
      </w:r>
      <w:r>
        <w:rPr>
          <w:rFonts w:hint="eastAsia"/>
          <w:color w:val="000000"/>
        </w:rPr>
        <w:t>8</w:t>
      </w:r>
      <w:r>
        <w:rPr>
          <w:rFonts w:hint="eastAsia"/>
          <w:color w:val="000000"/>
        </w:rPr>
        <w:t>名国际法官、</w:t>
      </w:r>
      <w:r>
        <w:rPr>
          <w:rFonts w:hint="eastAsia"/>
          <w:color w:val="000000"/>
        </w:rPr>
        <w:t>5</w:t>
      </w:r>
      <w:r>
        <w:rPr>
          <w:rFonts w:hint="eastAsia"/>
          <w:color w:val="000000"/>
        </w:rPr>
        <w:t>名检察官、</w:t>
      </w:r>
      <w:r>
        <w:rPr>
          <w:rFonts w:hint="eastAsia"/>
          <w:color w:val="000000"/>
        </w:rPr>
        <w:t>7</w:t>
      </w:r>
      <w:r>
        <w:rPr>
          <w:rFonts w:hint="eastAsia"/>
          <w:color w:val="000000"/>
        </w:rPr>
        <w:t>名公诉辩护人和</w:t>
      </w:r>
      <w:r>
        <w:rPr>
          <w:rFonts w:hint="eastAsia"/>
          <w:color w:val="000000"/>
        </w:rPr>
        <w:t>5</w:t>
      </w:r>
      <w:r>
        <w:rPr>
          <w:rFonts w:hint="eastAsia"/>
          <w:color w:val="000000"/>
        </w:rPr>
        <w:t>名书记官。葡萄牙语、德顿语、印度尼西亚语和英语成为东帝汶所有法庭的工作语言。</w:t>
      </w:r>
      <w:r>
        <w:rPr>
          <w:rStyle w:val="FootnoteReference"/>
          <w:color w:val="000000"/>
        </w:rPr>
        <w:footnoteReference w:id="57"/>
      </w:r>
    </w:p>
    <w:p w:rsidR="00692915" w:rsidRDefault="00692915">
      <w:pPr>
        <w:pStyle w:val="Heading3"/>
        <w:jc w:val="both"/>
        <w:rPr>
          <w:rFonts w:eastAsia="KaiTi_GB2312"/>
          <w:color w:val="000000"/>
          <w:u w:val="none"/>
        </w:rPr>
      </w:pPr>
      <w:r>
        <w:rPr>
          <w:rFonts w:eastAsia="KaiTi_GB2312" w:hint="eastAsia"/>
          <w:color w:val="000000"/>
          <w:u w:val="none"/>
        </w:rPr>
        <w:t>最高司法理事会</w:t>
      </w:r>
    </w:p>
    <w:p w:rsidR="00692915" w:rsidRDefault="00692915" w:rsidP="009A1C1B">
      <w:pPr>
        <w:ind w:firstLine="31680"/>
        <w:rPr>
          <w:rFonts w:hint="eastAsia"/>
          <w:color w:val="000000"/>
        </w:rPr>
      </w:pPr>
      <w:r>
        <w:rPr>
          <w:color w:val="000000"/>
        </w:rPr>
        <w:t>86.</w:t>
      </w:r>
      <w:r>
        <w:rPr>
          <w:color w:val="000000"/>
        </w:rPr>
        <w:tab/>
      </w:r>
      <w:r>
        <w:rPr>
          <w:rFonts w:hint="eastAsia"/>
          <w:color w:val="000000"/>
        </w:rPr>
        <w:t>《宪法》规定成立最高司法理事会（</w:t>
      </w:r>
      <w:r>
        <w:rPr>
          <w:rFonts w:hint="eastAsia"/>
          <w:color w:val="000000"/>
        </w:rPr>
        <w:t>SCJ</w:t>
      </w:r>
      <w:r>
        <w:rPr>
          <w:rFonts w:hint="eastAsia"/>
          <w:color w:val="000000"/>
        </w:rPr>
        <w:t>），该理事会于</w:t>
      </w:r>
      <w:r>
        <w:rPr>
          <w:rFonts w:hint="eastAsia"/>
          <w:color w:val="000000"/>
        </w:rPr>
        <w:t>2003</w:t>
      </w:r>
      <w:r>
        <w:rPr>
          <w:rFonts w:hint="eastAsia"/>
          <w:color w:val="000000"/>
        </w:rPr>
        <w:t>年</w:t>
      </w:r>
      <w:r>
        <w:rPr>
          <w:rFonts w:hint="eastAsia"/>
          <w:color w:val="000000"/>
        </w:rPr>
        <w:t>6</w:t>
      </w:r>
      <w:r>
        <w:rPr>
          <w:rFonts w:hint="eastAsia"/>
          <w:color w:val="000000"/>
        </w:rPr>
        <w:t>月成立，是一个管理和纪律机构，负责法院的管理以及法官的任命、委派、调动和提升。</w:t>
      </w:r>
      <w:r>
        <w:rPr>
          <w:rStyle w:val="FootnoteReference"/>
          <w:color w:val="000000"/>
        </w:rPr>
        <w:footnoteReference w:id="58"/>
      </w:r>
      <w:r>
        <w:rPr>
          <w:rFonts w:hint="eastAsia"/>
          <w:color w:val="000000"/>
        </w:rPr>
        <w:t xml:space="preserve"> </w:t>
      </w:r>
      <w:r>
        <w:rPr>
          <w:rFonts w:hint="eastAsia"/>
          <w:color w:val="000000"/>
        </w:rPr>
        <w:t>《司法行政官条例》对最高司法理事会的组织与运行做出了规定，是防止人们借用司法管理影响司法独立性的一种机制。最高司法理事会的审议结果将在《政府公报》上公布，但该措施尚未实施。</w:t>
      </w:r>
    </w:p>
    <w:p w:rsidR="00692915" w:rsidRDefault="00692915" w:rsidP="009A1C1B">
      <w:pPr>
        <w:spacing w:after="240"/>
        <w:ind w:firstLine="31680"/>
        <w:rPr>
          <w:rFonts w:hint="eastAsia"/>
          <w:color w:val="000000"/>
        </w:rPr>
      </w:pPr>
      <w:r>
        <w:rPr>
          <w:color w:val="000000"/>
        </w:rPr>
        <w:t>87.</w:t>
      </w:r>
      <w:r>
        <w:rPr>
          <w:color w:val="000000"/>
        </w:rPr>
        <w:tab/>
      </w:r>
      <w:r>
        <w:rPr>
          <w:rFonts w:hint="eastAsia"/>
          <w:color w:val="000000"/>
        </w:rPr>
        <w:t>由于人员有限，最高司法理事会只是过渡性的，目前由</w:t>
      </w:r>
      <w:r>
        <w:rPr>
          <w:rFonts w:hint="eastAsia"/>
          <w:color w:val="000000"/>
        </w:rPr>
        <w:t>5</w:t>
      </w:r>
      <w:r>
        <w:rPr>
          <w:rFonts w:hint="eastAsia"/>
          <w:color w:val="000000"/>
        </w:rPr>
        <w:t>名帝汶法律学者组成，其中包括担任会长的上诉法院院长、司法部副部长和一名检察官。由司法秘书领导的秘书处为最高司法理事会提供支持，该处负责执行最高司法理事会做出的决定，而司法和财务检查人员以及检查秘书负责对法官进行评估。这些检查人员目前尚未任命。实际上，最高司法理事会的许多重要职位都还空着。</w:t>
      </w:r>
    </w:p>
    <w:p w:rsidR="00692915" w:rsidRDefault="00692915">
      <w:pPr>
        <w:pStyle w:val="Heading3"/>
        <w:jc w:val="both"/>
        <w:rPr>
          <w:rFonts w:eastAsia="KaiTi_GB2312" w:hint="eastAsia"/>
          <w:color w:val="000000"/>
          <w:u w:val="none"/>
        </w:rPr>
      </w:pPr>
      <w:r>
        <w:rPr>
          <w:rFonts w:eastAsia="KaiTi_GB2312" w:hint="eastAsia"/>
          <w:color w:val="000000"/>
          <w:u w:val="none"/>
        </w:rPr>
        <w:t>检察长办公室</w:t>
      </w:r>
    </w:p>
    <w:p w:rsidR="00692915" w:rsidRDefault="00692915" w:rsidP="009A1C1B">
      <w:pPr>
        <w:ind w:firstLine="31680"/>
        <w:rPr>
          <w:color w:val="000000"/>
        </w:rPr>
      </w:pPr>
      <w:r>
        <w:rPr>
          <w:color w:val="000000"/>
        </w:rPr>
        <w:t>88.</w:t>
      </w:r>
      <w:r>
        <w:rPr>
          <w:color w:val="000000"/>
        </w:rPr>
        <w:tab/>
      </w:r>
      <w:r>
        <w:rPr>
          <w:rFonts w:hint="eastAsia"/>
          <w:color w:val="000000"/>
        </w:rPr>
        <w:t>检察长办公室是《宪法》规定的一个独立机构，负责对刑事案件进行调查和起诉，并负责在民事诉讼中代表国家进行辩护。《宪法》第</w:t>
      </w:r>
      <w:r>
        <w:rPr>
          <w:rFonts w:hint="eastAsia"/>
          <w:color w:val="000000"/>
        </w:rPr>
        <w:t>132</w:t>
      </w:r>
      <w:r>
        <w:rPr>
          <w:rFonts w:hint="eastAsia"/>
          <w:color w:val="000000"/>
        </w:rPr>
        <w:t>条规定公诉辩护人的职责是：代表国家；提起刑事诉讼；维护民主合法性；确保未成年人、缺席人员以及残疾人员的权益得到维护；促进法律的实施。许多宪法条款都对检察官的独立性和自主性表示肯定，并规定公诉辩护人还应受到其自身法令的约束。同时检察官还负有保护嫌疑犯和受害人权利，确保公正的重要职责。</w:t>
      </w:r>
    </w:p>
    <w:p w:rsidR="00692915" w:rsidRDefault="00692915" w:rsidP="009A1C1B">
      <w:pPr>
        <w:ind w:firstLine="31680"/>
        <w:rPr>
          <w:color w:val="000000"/>
        </w:rPr>
      </w:pPr>
      <w:r>
        <w:rPr>
          <w:color w:val="000000"/>
        </w:rPr>
        <w:t>89.</w:t>
      </w:r>
      <w:r>
        <w:rPr>
          <w:color w:val="000000"/>
        </w:rPr>
        <w:tab/>
      </w:r>
      <w:r>
        <w:rPr>
          <w:rFonts w:hint="eastAsia"/>
          <w:color w:val="000000"/>
        </w:rPr>
        <w:t>检察长办公室是议会授权的独立实体，是最高的公诉权利机构，由共和国总统任命的总检察长实施领导。</w:t>
      </w:r>
      <w:r>
        <w:rPr>
          <w:rStyle w:val="FootnoteReference"/>
          <w:color w:val="000000"/>
        </w:rPr>
        <w:footnoteReference w:id="59"/>
      </w:r>
      <w:r>
        <w:rPr>
          <w:rFonts w:hint="eastAsia"/>
          <w:color w:val="000000"/>
        </w:rPr>
        <w:t>检察长办公室下设三个机构：（一）检察长行政办公室；（二）普通刑事组；及（三）国家中央局和国际刑警组织。</w:t>
      </w:r>
      <w:r>
        <w:rPr>
          <w:rStyle w:val="FootnoteReference"/>
          <w:color w:val="000000"/>
        </w:rPr>
        <w:footnoteReference w:id="60"/>
      </w:r>
      <w:r>
        <w:rPr>
          <w:rFonts w:hint="eastAsia"/>
          <w:color w:val="000000"/>
        </w:rPr>
        <w:t>之前的重案组于</w:t>
      </w:r>
      <w:r>
        <w:rPr>
          <w:rFonts w:hint="eastAsia"/>
          <w:color w:val="000000"/>
        </w:rPr>
        <w:t>2005</w:t>
      </w:r>
      <w:r>
        <w:rPr>
          <w:rFonts w:hint="eastAsia"/>
          <w:color w:val="000000"/>
        </w:rPr>
        <w:t>年</w:t>
      </w:r>
      <w:r>
        <w:rPr>
          <w:rFonts w:hint="eastAsia"/>
          <w:color w:val="000000"/>
        </w:rPr>
        <w:t>5</w:t>
      </w:r>
      <w:r>
        <w:rPr>
          <w:rFonts w:hint="eastAsia"/>
          <w:color w:val="000000"/>
        </w:rPr>
        <w:t>月解散。由政府任命的</w:t>
      </w:r>
      <w:r>
        <w:rPr>
          <w:rFonts w:hint="eastAsia"/>
          <w:color w:val="000000"/>
        </w:rPr>
        <w:t>10</w:t>
      </w:r>
      <w:r>
        <w:rPr>
          <w:rFonts w:hint="eastAsia"/>
          <w:color w:val="000000"/>
        </w:rPr>
        <w:t>名国家检察官目前正计划接受培训。</w:t>
      </w:r>
    </w:p>
    <w:p w:rsidR="00692915" w:rsidRDefault="00692915" w:rsidP="009A1C1B">
      <w:pPr>
        <w:spacing w:after="240"/>
        <w:ind w:firstLine="31680"/>
        <w:rPr>
          <w:rFonts w:hint="eastAsia"/>
          <w:color w:val="000000"/>
        </w:rPr>
      </w:pPr>
      <w:r>
        <w:rPr>
          <w:color w:val="000000"/>
        </w:rPr>
        <w:t>90.</w:t>
      </w:r>
      <w:r>
        <w:rPr>
          <w:color w:val="000000"/>
        </w:rPr>
        <w:tab/>
      </w:r>
      <w:r>
        <w:rPr>
          <w:rFonts w:hint="eastAsia"/>
          <w:color w:val="000000"/>
        </w:rPr>
        <w:t>2005</w:t>
      </w:r>
      <w:r>
        <w:rPr>
          <w:rFonts w:hint="eastAsia"/>
          <w:color w:val="000000"/>
        </w:rPr>
        <w:t>年</w:t>
      </w:r>
      <w:r>
        <w:rPr>
          <w:rFonts w:hint="eastAsia"/>
          <w:color w:val="000000"/>
        </w:rPr>
        <w:t>9</w:t>
      </w:r>
      <w:r>
        <w:rPr>
          <w:rFonts w:hint="eastAsia"/>
          <w:color w:val="000000"/>
        </w:rPr>
        <w:t>月，东帝汶通过了一项旨在成立最高公诉理事会的法律，该理事会是一个负责监督和纪律的机构，目前正在筹备之中。</w:t>
      </w:r>
    </w:p>
    <w:p w:rsidR="00692915" w:rsidRDefault="00692915">
      <w:pPr>
        <w:pStyle w:val="Heading3"/>
        <w:jc w:val="both"/>
        <w:rPr>
          <w:rFonts w:eastAsia="KaiTi_GB2312" w:hint="eastAsia"/>
          <w:color w:val="000000"/>
          <w:u w:val="none"/>
        </w:rPr>
      </w:pPr>
      <w:r>
        <w:rPr>
          <w:rFonts w:eastAsia="KaiTi_GB2312" w:hint="eastAsia"/>
          <w:color w:val="000000"/>
          <w:u w:val="none"/>
        </w:rPr>
        <w:t>公设辩护服务处</w:t>
      </w:r>
    </w:p>
    <w:p w:rsidR="00692915" w:rsidRDefault="00692915" w:rsidP="009A1C1B">
      <w:pPr>
        <w:ind w:firstLine="31680"/>
        <w:rPr>
          <w:rFonts w:hint="eastAsia"/>
          <w:color w:val="000000"/>
        </w:rPr>
      </w:pPr>
      <w:r>
        <w:rPr>
          <w:color w:val="000000"/>
        </w:rPr>
        <w:t>91.</w:t>
      </w:r>
      <w:r>
        <w:rPr>
          <w:color w:val="000000"/>
        </w:rPr>
        <w:tab/>
      </w:r>
      <w:r>
        <w:rPr>
          <w:rFonts w:hint="eastAsia"/>
          <w:color w:val="000000"/>
        </w:rPr>
        <w:t>公诉辩护人办公室的基本原则是无论经济状况如何，人人都享有法定代表权。根据《司法部组织法》规定，公诉辩护人办公室“是司法部下属的一个拥有技术自主权的机构，负责向贫困市民提供全面和免费的司法援助、法庭内外的援助”。</w:t>
      </w:r>
    </w:p>
    <w:p w:rsidR="00692915" w:rsidRDefault="00692915" w:rsidP="009A1C1B">
      <w:pPr>
        <w:ind w:firstLine="31680"/>
        <w:rPr>
          <w:rFonts w:hint="eastAsia"/>
          <w:color w:val="000000"/>
        </w:rPr>
      </w:pPr>
      <w:r>
        <w:rPr>
          <w:color w:val="000000"/>
        </w:rPr>
        <w:t>92.</w:t>
      </w:r>
      <w:r>
        <w:rPr>
          <w:color w:val="000000"/>
        </w:rPr>
        <w:tab/>
      </w:r>
      <w:r>
        <w:rPr>
          <w:rFonts w:hint="eastAsia"/>
          <w:color w:val="000000"/>
        </w:rPr>
        <w:t>如同法官考试一样，</w:t>
      </w:r>
      <w:r>
        <w:rPr>
          <w:rFonts w:hint="eastAsia"/>
          <w:color w:val="000000"/>
        </w:rPr>
        <w:t>2005</w:t>
      </w:r>
      <w:r>
        <w:rPr>
          <w:rFonts w:hint="eastAsia"/>
          <w:color w:val="000000"/>
        </w:rPr>
        <w:t>年年中，上诉法院院长克劳迪奥·希门内斯宣布接受过培训的帝汶检察官和公诉辩护人均未通过其最终评估。这些公诉辩护人将在</w:t>
      </w:r>
      <w:r>
        <w:rPr>
          <w:rFonts w:hint="eastAsia"/>
          <w:color w:val="000000"/>
        </w:rPr>
        <w:t>2007</w:t>
      </w:r>
      <w:r>
        <w:rPr>
          <w:rFonts w:hint="eastAsia"/>
          <w:color w:val="000000"/>
        </w:rPr>
        <w:t>年年中之前继续接受培训，届时，国际公诉辩护人小组将由国内公诉辩护人取而代之。目前，《公诉辩护人组织法》尚未出台，但一旦出台，将会填补目前辩护服务框架方面的制度空白。另外，还将设立公设辩护服务最高理事会，这是公诉辩护人的最高监督和纪律机构。</w:t>
      </w:r>
    </w:p>
    <w:p w:rsidR="00692915" w:rsidRDefault="00692915" w:rsidP="009A1C1B">
      <w:pPr>
        <w:spacing w:after="240"/>
        <w:ind w:firstLine="31680"/>
        <w:rPr>
          <w:rFonts w:hint="eastAsia"/>
          <w:color w:val="000000"/>
        </w:rPr>
      </w:pPr>
      <w:r>
        <w:rPr>
          <w:color w:val="000000"/>
        </w:rPr>
        <w:t>93.</w:t>
      </w:r>
      <w:r>
        <w:rPr>
          <w:color w:val="000000"/>
        </w:rPr>
        <w:tab/>
      </w:r>
      <w:r>
        <w:rPr>
          <w:rFonts w:hint="eastAsia"/>
          <w:color w:val="000000"/>
        </w:rPr>
        <w:t>检察长办公室和公诉辩护人服务处都建立了人员和案件管理制度，并制订了《年度行动计划》和相应的工作计划，以加强各自部门的工作。</w:t>
      </w:r>
    </w:p>
    <w:p w:rsidR="00692915" w:rsidRDefault="00692915">
      <w:pPr>
        <w:pStyle w:val="Heading3"/>
        <w:jc w:val="both"/>
        <w:rPr>
          <w:rFonts w:eastAsia="KaiTi_GB2312" w:hint="eastAsia"/>
          <w:color w:val="000000"/>
          <w:u w:val="none"/>
        </w:rPr>
      </w:pPr>
      <w:r>
        <w:rPr>
          <w:rFonts w:eastAsia="KaiTi_GB2312" w:hint="eastAsia"/>
          <w:color w:val="000000"/>
          <w:u w:val="none"/>
        </w:rPr>
        <w:t>司法培训中心</w:t>
      </w:r>
    </w:p>
    <w:p w:rsidR="00692915" w:rsidRDefault="00692915" w:rsidP="009A1C1B">
      <w:pPr>
        <w:ind w:firstLine="31680"/>
        <w:rPr>
          <w:rFonts w:hint="eastAsia"/>
          <w:color w:val="000000"/>
        </w:rPr>
      </w:pPr>
      <w:r>
        <w:rPr>
          <w:color w:val="000000"/>
        </w:rPr>
        <w:t>94.</w:t>
      </w:r>
      <w:r>
        <w:rPr>
          <w:color w:val="000000"/>
        </w:rPr>
        <w:tab/>
      </w:r>
      <w:r>
        <w:rPr>
          <w:rFonts w:hint="eastAsia"/>
          <w:color w:val="000000"/>
        </w:rPr>
        <w:t>2004</w:t>
      </w:r>
      <w:r>
        <w:rPr>
          <w:rFonts w:hint="eastAsia"/>
          <w:color w:val="000000"/>
        </w:rPr>
        <w:t>年</w:t>
      </w:r>
      <w:r>
        <w:rPr>
          <w:rFonts w:hint="eastAsia"/>
          <w:color w:val="000000"/>
        </w:rPr>
        <w:t>9</w:t>
      </w:r>
      <w:r>
        <w:rPr>
          <w:rFonts w:hint="eastAsia"/>
          <w:color w:val="000000"/>
        </w:rPr>
        <w:t>月，根据第</w:t>
      </w:r>
      <w:r>
        <w:rPr>
          <w:color w:val="000000"/>
        </w:rPr>
        <w:t>6/2004</w:t>
      </w:r>
      <w:r>
        <w:rPr>
          <w:rFonts w:hint="eastAsia"/>
          <w:color w:val="000000"/>
        </w:rPr>
        <w:t>号法令成立了司法培训中心（</w:t>
      </w:r>
      <w:r>
        <w:rPr>
          <w:rFonts w:hint="eastAsia"/>
          <w:color w:val="000000"/>
        </w:rPr>
        <w:t>JTC</w:t>
      </w:r>
      <w:r>
        <w:rPr>
          <w:rFonts w:hint="eastAsia"/>
          <w:color w:val="000000"/>
        </w:rPr>
        <w:t>），成立的部分原因是司法部门存在明显的缺口。司法培训中心业务归司法部管辖，享有一定的自治权，负责对法官、检察官、公诉辩护人、法庭书记官、监狱官员、调查员和其他司法管理人员以及法律、司法和公共管理方面的国内教员提供培训。</w:t>
      </w:r>
      <w:r>
        <w:rPr>
          <w:rStyle w:val="FootnoteReference"/>
          <w:color w:val="000000"/>
        </w:rPr>
        <w:footnoteReference w:id="61"/>
      </w:r>
    </w:p>
    <w:p w:rsidR="00692915" w:rsidRDefault="00692915" w:rsidP="009A1C1B">
      <w:pPr>
        <w:ind w:firstLine="31680"/>
        <w:rPr>
          <w:rFonts w:hint="eastAsia"/>
          <w:color w:val="000000"/>
        </w:rPr>
      </w:pPr>
      <w:r>
        <w:rPr>
          <w:color w:val="000000"/>
        </w:rPr>
        <w:t>95.</w:t>
      </w:r>
      <w:r>
        <w:rPr>
          <w:color w:val="000000"/>
        </w:rPr>
        <w:tab/>
      </w:r>
      <w:r>
        <w:rPr>
          <w:rFonts w:hint="eastAsia"/>
          <w:color w:val="000000"/>
        </w:rPr>
        <w:t>司法培训中心的核心任务是提高法庭工作人员的专业能力，巩固和加强司法制度。中心为包括法官、检察官和公诉辩护人在内的专业学员提供了一个为期</w:t>
      </w:r>
      <w:r>
        <w:rPr>
          <w:rFonts w:hint="eastAsia"/>
          <w:color w:val="000000"/>
        </w:rPr>
        <w:t>30</w:t>
      </w:r>
      <w:r>
        <w:rPr>
          <w:rFonts w:hint="eastAsia"/>
          <w:color w:val="000000"/>
        </w:rPr>
        <w:t>个月的培训计划。</w:t>
      </w:r>
      <w:r>
        <w:rPr>
          <w:rStyle w:val="FootnoteReference"/>
          <w:color w:val="000000"/>
        </w:rPr>
        <w:footnoteReference w:id="62"/>
      </w:r>
      <w:r>
        <w:rPr>
          <w:rFonts w:hint="eastAsia"/>
          <w:color w:val="000000"/>
        </w:rPr>
        <w:t>为了让学员获取和强化必要的人文、道德和专业的司法知识，</w:t>
      </w:r>
      <w:r>
        <w:rPr>
          <w:rFonts w:hint="eastAsia"/>
          <w:color w:val="000000"/>
        </w:rPr>
        <w:t>30</w:t>
      </w:r>
      <w:r>
        <w:rPr>
          <w:rFonts w:hint="eastAsia"/>
          <w:color w:val="000000"/>
        </w:rPr>
        <w:t>个月的培训是必不可少的。</w:t>
      </w:r>
      <w:r>
        <w:rPr>
          <w:rStyle w:val="FootnoteReference"/>
          <w:color w:val="000000"/>
        </w:rPr>
        <w:footnoteReference w:id="63"/>
      </w:r>
      <w:r>
        <w:rPr>
          <w:rFonts w:hint="eastAsia"/>
          <w:color w:val="000000"/>
        </w:rPr>
        <w:t>司法系统内的工作机会主要提供给那些成功接受了司法培训中心的严格培训，并在事后通过了兴趣和成绩评估的学员。</w:t>
      </w:r>
    </w:p>
    <w:p w:rsidR="00692915" w:rsidRDefault="00692915" w:rsidP="009A1C1B">
      <w:pPr>
        <w:ind w:firstLine="31680"/>
        <w:rPr>
          <w:rFonts w:hint="eastAsia"/>
          <w:color w:val="000000"/>
        </w:rPr>
      </w:pPr>
      <w:r>
        <w:rPr>
          <w:color w:val="000000"/>
        </w:rPr>
        <w:t>96.</w:t>
      </w:r>
      <w:r>
        <w:rPr>
          <w:color w:val="000000"/>
        </w:rPr>
        <w:tab/>
      </w:r>
      <w:r>
        <w:rPr>
          <w:rFonts w:hint="eastAsia"/>
          <w:color w:val="000000"/>
        </w:rPr>
        <w:t>2004</w:t>
      </w:r>
      <w:r>
        <w:rPr>
          <w:rFonts w:hint="eastAsia"/>
          <w:color w:val="000000"/>
        </w:rPr>
        <w:t>年和</w:t>
      </w:r>
      <w:r>
        <w:rPr>
          <w:rFonts w:hint="eastAsia"/>
          <w:color w:val="000000"/>
        </w:rPr>
        <w:t>2005</w:t>
      </w:r>
      <w:r>
        <w:rPr>
          <w:rFonts w:hint="eastAsia"/>
          <w:color w:val="000000"/>
        </w:rPr>
        <w:t>年对当时的见习法官、检察官和辩护人进行了评估，结果不尽人意，但却让司法界的领导人掌握了东帝汶到底有多少合格的职业法官、检察官和公诉辩护人，从而可以据此情况对那些不具备岗位任命资格的法官、检察官和公诉辩护人制定必要的培训计划。</w:t>
      </w:r>
    </w:p>
    <w:p w:rsidR="00692915" w:rsidRDefault="00692915" w:rsidP="009A1C1B">
      <w:pPr>
        <w:ind w:firstLine="31680"/>
        <w:rPr>
          <w:rFonts w:hint="eastAsia"/>
          <w:color w:val="000000"/>
        </w:rPr>
      </w:pPr>
      <w:r>
        <w:rPr>
          <w:color w:val="000000"/>
        </w:rPr>
        <w:t>97.</w:t>
      </w:r>
      <w:r>
        <w:rPr>
          <w:color w:val="000000"/>
        </w:rPr>
        <w:tab/>
      </w:r>
      <w:r>
        <w:rPr>
          <w:rFonts w:hint="eastAsia"/>
          <w:color w:val="000000"/>
        </w:rPr>
        <w:t>目前对</w:t>
      </w:r>
      <w:r>
        <w:rPr>
          <w:rFonts w:hint="eastAsia"/>
          <w:color w:val="000000"/>
        </w:rPr>
        <w:t>35</w:t>
      </w:r>
      <w:r>
        <w:rPr>
          <w:rFonts w:hint="eastAsia"/>
          <w:color w:val="000000"/>
        </w:rPr>
        <w:t>名国内法院工作者进行的培训将于</w:t>
      </w:r>
      <w:r>
        <w:rPr>
          <w:rFonts w:hint="eastAsia"/>
          <w:color w:val="000000"/>
        </w:rPr>
        <w:t>2006</w:t>
      </w:r>
      <w:r>
        <w:rPr>
          <w:rFonts w:hint="eastAsia"/>
          <w:color w:val="000000"/>
        </w:rPr>
        <w:t>年年中结束，之后这些人员将见习一年，在此期间内，他们将在国际专业人员的指导下开展工作。在这</w:t>
      </w:r>
      <w:r>
        <w:rPr>
          <w:rFonts w:hint="eastAsia"/>
          <w:color w:val="000000"/>
        </w:rPr>
        <w:t>35</w:t>
      </w:r>
      <w:r>
        <w:rPr>
          <w:rFonts w:hint="eastAsia"/>
          <w:color w:val="000000"/>
        </w:rPr>
        <w:t>名预备工作人员中，</w:t>
      </w:r>
      <w:r>
        <w:rPr>
          <w:rFonts w:hint="eastAsia"/>
          <w:color w:val="000000"/>
        </w:rPr>
        <w:t>10</w:t>
      </w:r>
      <w:r>
        <w:rPr>
          <w:rFonts w:hint="eastAsia"/>
          <w:color w:val="000000"/>
        </w:rPr>
        <w:t>名为女性（</w:t>
      </w:r>
      <w:r>
        <w:rPr>
          <w:rFonts w:hint="eastAsia"/>
          <w:color w:val="000000"/>
        </w:rPr>
        <w:t>5</w:t>
      </w:r>
      <w:r>
        <w:rPr>
          <w:rFonts w:hint="eastAsia"/>
          <w:color w:val="000000"/>
        </w:rPr>
        <w:t>名法官、</w:t>
      </w:r>
      <w:r>
        <w:rPr>
          <w:rFonts w:hint="eastAsia"/>
          <w:color w:val="000000"/>
        </w:rPr>
        <w:t>2</w:t>
      </w:r>
      <w:r>
        <w:rPr>
          <w:rFonts w:hint="eastAsia"/>
          <w:color w:val="000000"/>
        </w:rPr>
        <w:t>名检察官、</w:t>
      </w:r>
      <w:r>
        <w:rPr>
          <w:rFonts w:hint="eastAsia"/>
          <w:color w:val="000000"/>
        </w:rPr>
        <w:t>3</w:t>
      </w:r>
      <w:r>
        <w:rPr>
          <w:rFonts w:hint="eastAsia"/>
          <w:color w:val="000000"/>
        </w:rPr>
        <w:t>名辩护律师）。</w:t>
      </w:r>
      <w:r>
        <w:rPr>
          <w:rFonts w:hint="eastAsia"/>
          <w:color w:val="000000"/>
        </w:rPr>
        <w:t>2005</w:t>
      </w:r>
      <w:r>
        <w:rPr>
          <w:rFonts w:hint="eastAsia"/>
          <w:color w:val="000000"/>
        </w:rPr>
        <w:t>年</w:t>
      </w:r>
      <w:r>
        <w:rPr>
          <w:rFonts w:hint="eastAsia"/>
          <w:color w:val="000000"/>
        </w:rPr>
        <w:t>8</w:t>
      </w:r>
      <w:r>
        <w:rPr>
          <w:rFonts w:hint="eastAsia"/>
          <w:color w:val="000000"/>
        </w:rPr>
        <w:t>月至</w:t>
      </w:r>
      <w:r>
        <w:rPr>
          <w:rFonts w:hint="eastAsia"/>
          <w:color w:val="000000"/>
        </w:rPr>
        <w:t>2006</w:t>
      </w:r>
      <w:r>
        <w:rPr>
          <w:rFonts w:hint="eastAsia"/>
          <w:color w:val="000000"/>
        </w:rPr>
        <w:t>年</w:t>
      </w:r>
      <w:r>
        <w:rPr>
          <w:rFonts w:hint="eastAsia"/>
          <w:color w:val="000000"/>
        </w:rPr>
        <w:t>3</w:t>
      </w:r>
      <w:r>
        <w:rPr>
          <w:rFonts w:hint="eastAsia"/>
          <w:color w:val="000000"/>
        </w:rPr>
        <w:t>月期间，还对</w:t>
      </w:r>
      <w:r>
        <w:rPr>
          <w:rFonts w:hint="eastAsia"/>
          <w:color w:val="000000"/>
        </w:rPr>
        <w:t>36</w:t>
      </w:r>
      <w:r>
        <w:rPr>
          <w:rFonts w:hint="eastAsia"/>
          <w:color w:val="000000"/>
        </w:rPr>
        <w:t>名国内法庭书记员、法庭行政官和公诉服务官进行了培训，以加强司法管理。</w:t>
      </w:r>
    </w:p>
    <w:p w:rsidR="00692915" w:rsidRDefault="00692915" w:rsidP="009A1C1B">
      <w:pPr>
        <w:spacing w:afterLines="50" w:after="180"/>
        <w:ind w:firstLine="31680"/>
        <w:rPr>
          <w:rFonts w:hint="eastAsia"/>
          <w:color w:val="000000"/>
        </w:rPr>
      </w:pPr>
      <w:r>
        <w:rPr>
          <w:color w:val="000000"/>
        </w:rPr>
        <w:t>98.</w:t>
      </w:r>
      <w:r>
        <w:rPr>
          <w:color w:val="000000"/>
        </w:rPr>
        <w:tab/>
      </w:r>
      <w:r>
        <w:rPr>
          <w:rFonts w:hint="eastAsia"/>
          <w:color w:val="000000"/>
        </w:rPr>
        <w:t>司法培训中心将于</w:t>
      </w:r>
      <w:r>
        <w:rPr>
          <w:rFonts w:hint="eastAsia"/>
          <w:color w:val="000000"/>
        </w:rPr>
        <w:t>2006</w:t>
      </w:r>
      <w:r>
        <w:rPr>
          <w:rFonts w:hint="eastAsia"/>
          <w:color w:val="000000"/>
        </w:rPr>
        <w:t>年初开始招收新学员，由于需要继续对司法培训中心的培训进行投资，</w:t>
      </w:r>
      <w:r>
        <w:rPr>
          <w:rFonts w:hint="eastAsia"/>
          <w:color w:val="000000"/>
        </w:rPr>
        <w:t>2006</w:t>
      </w:r>
      <w:r>
        <w:rPr>
          <w:rFonts w:hint="eastAsia"/>
          <w:color w:val="000000"/>
        </w:rPr>
        <w:t>年年中将通过外部评估强化培训方案，这是司法系统方案总评估的一部分。东帝汶国立大学在葡萄牙的帮助下也开设了法律课程。约有</w:t>
      </w:r>
      <w:r>
        <w:rPr>
          <w:rFonts w:hint="eastAsia"/>
          <w:color w:val="000000"/>
        </w:rPr>
        <w:t>300</w:t>
      </w:r>
      <w:r>
        <w:rPr>
          <w:rFonts w:hint="eastAsia"/>
          <w:color w:val="000000"/>
        </w:rPr>
        <w:t>人报名参加该课程的学习。</w:t>
      </w:r>
    </w:p>
    <w:p w:rsidR="00692915" w:rsidRDefault="00692915">
      <w:pPr>
        <w:pStyle w:val="Heading3"/>
        <w:jc w:val="both"/>
        <w:rPr>
          <w:rFonts w:eastAsia="KaiTi_GB2312" w:hint="eastAsia"/>
          <w:color w:val="000000"/>
          <w:u w:val="none"/>
        </w:rPr>
      </w:pPr>
      <w:r>
        <w:rPr>
          <w:rFonts w:eastAsia="KaiTi_GB2312" w:hint="eastAsia"/>
          <w:color w:val="000000"/>
          <w:u w:val="none"/>
        </w:rPr>
        <w:t>重罪诉讼程序</w:t>
      </w:r>
    </w:p>
    <w:p w:rsidR="00692915" w:rsidRDefault="00692915" w:rsidP="009A1C1B">
      <w:pPr>
        <w:ind w:firstLine="31680"/>
        <w:rPr>
          <w:rFonts w:hint="eastAsia"/>
          <w:color w:val="000000"/>
        </w:rPr>
      </w:pPr>
      <w:r>
        <w:rPr>
          <w:color w:val="000000"/>
        </w:rPr>
        <w:t>99.</w:t>
      </w:r>
      <w:r>
        <w:rPr>
          <w:color w:val="000000"/>
        </w:rPr>
        <w:tab/>
      </w:r>
      <w:r>
        <w:rPr>
          <w:rFonts w:hint="eastAsia"/>
          <w:color w:val="000000"/>
        </w:rPr>
        <w:t>2000</w:t>
      </w:r>
      <w:r>
        <w:rPr>
          <w:rFonts w:hint="eastAsia"/>
          <w:color w:val="000000"/>
        </w:rPr>
        <w:t>年</w:t>
      </w:r>
      <w:r>
        <w:rPr>
          <w:rFonts w:hint="eastAsia"/>
          <w:color w:val="000000"/>
        </w:rPr>
        <w:t>6</w:t>
      </w:r>
      <w:r>
        <w:rPr>
          <w:rFonts w:hint="eastAsia"/>
          <w:color w:val="000000"/>
        </w:rPr>
        <w:t>月根据</w:t>
      </w:r>
      <w:r>
        <w:rPr>
          <w:color w:val="000000"/>
        </w:rPr>
        <w:t>东帝汶过渡当局</w:t>
      </w:r>
      <w:r>
        <w:rPr>
          <w:rFonts w:hint="eastAsia"/>
          <w:color w:val="000000"/>
        </w:rPr>
        <w:t>第</w:t>
      </w:r>
      <w:r>
        <w:rPr>
          <w:color w:val="000000"/>
        </w:rPr>
        <w:t>2000/15</w:t>
      </w:r>
      <w:r>
        <w:rPr>
          <w:rFonts w:hint="eastAsia"/>
          <w:color w:val="000000"/>
        </w:rPr>
        <w:t>号条例规定，成立了一个重罪特别审判小组（简称“特别审判小组”），负责处理</w:t>
      </w:r>
      <w:r>
        <w:rPr>
          <w:rFonts w:hint="eastAsia"/>
          <w:color w:val="000000"/>
        </w:rPr>
        <w:t>1999</w:t>
      </w:r>
      <w:r>
        <w:rPr>
          <w:rFonts w:hint="eastAsia"/>
          <w:color w:val="000000"/>
        </w:rPr>
        <w:t>年</w:t>
      </w:r>
      <w:r>
        <w:rPr>
          <w:rFonts w:hint="eastAsia"/>
          <w:color w:val="000000"/>
        </w:rPr>
        <w:t>1</w:t>
      </w:r>
      <w:r>
        <w:rPr>
          <w:rFonts w:hint="eastAsia"/>
          <w:color w:val="000000"/>
        </w:rPr>
        <w:t>月</w:t>
      </w:r>
      <w:r>
        <w:rPr>
          <w:rFonts w:hint="eastAsia"/>
          <w:color w:val="000000"/>
        </w:rPr>
        <w:t>1</w:t>
      </w:r>
      <w:r>
        <w:rPr>
          <w:rFonts w:hint="eastAsia"/>
          <w:color w:val="000000"/>
        </w:rPr>
        <w:t>日至</w:t>
      </w:r>
      <w:r>
        <w:rPr>
          <w:rFonts w:hint="eastAsia"/>
          <w:color w:val="000000"/>
        </w:rPr>
        <w:t>10</w:t>
      </w:r>
      <w:r>
        <w:rPr>
          <w:rFonts w:hint="eastAsia"/>
          <w:color w:val="000000"/>
        </w:rPr>
        <w:t>月</w:t>
      </w:r>
      <w:r>
        <w:rPr>
          <w:rFonts w:hint="eastAsia"/>
          <w:color w:val="000000"/>
        </w:rPr>
        <w:t>25</w:t>
      </w:r>
      <w:r>
        <w:rPr>
          <w:rFonts w:hint="eastAsia"/>
          <w:color w:val="000000"/>
        </w:rPr>
        <w:t>日期间发生的以下罪行：</w:t>
      </w:r>
    </w:p>
    <w:p w:rsidR="00692915" w:rsidRDefault="00692915" w:rsidP="009A1C1B">
      <w:pPr>
        <w:numPr>
          <w:ilvl w:val="0"/>
          <w:numId w:val="17"/>
        </w:numPr>
        <w:tabs>
          <w:tab w:val="clear" w:pos="927"/>
          <w:tab w:val="num" w:pos="1560"/>
        </w:tabs>
        <w:ind w:leftChars="400" w:left="31680" w:hangingChars="200" w:firstLine="31680"/>
        <w:rPr>
          <w:color w:val="000000"/>
        </w:rPr>
      </w:pPr>
      <w:r>
        <w:rPr>
          <w:rFonts w:hint="eastAsia"/>
          <w:color w:val="000000"/>
        </w:rPr>
        <w:t>种族灭绝罪；</w:t>
      </w:r>
    </w:p>
    <w:p w:rsidR="00692915" w:rsidRDefault="00692915" w:rsidP="009A1C1B">
      <w:pPr>
        <w:numPr>
          <w:ilvl w:val="0"/>
          <w:numId w:val="17"/>
        </w:numPr>
        <w:tabs>
          <w:tab w:val="clear" w:pos="927"/>
          <w:tab w:val="num" w:pos="1560"/>
        </w:tabs>
        <w:ind w:leftChars="400" w:left="31680" w:hangingChars="200" w:firstLine="31680"/>
        <w:rPr>
          <w:color w:val="000000"/>
        </w:rPr>
      </w:pPr>
      <w:r>
        <w:rPr>
          <w:rFonts w:hint="eastAsia"/>
          <w:color w:val="000000"/>
        </w:rPr>
        <w:t>战争罪；</w:t>
      </w:r>
    </w:p>
    <w:p w:rsidR="00692915" w:rsidRDefault="00692915" w:rsidP="009A1C1B">
      <w:pPr>
        <w:numPr>
          <w:ilvl w:val="0"/>
          <w:numId w:val="17"/>
        </w:numPr>
        <w:tabs>
          <w:tab w:val="clear" w:pos="927"/>
          <w:tab w:val="num" w:pos="1560"/>
        </w:tabs>
        <w:ind w:leftChars="400" w:left="31680" w:hangingChars="200" w:firstLine="31680"/>
        <w:rPr>
          <w:color w:val="000000"/>
        </w:rPr>
      </w:pPr>
      <w:r>
        <w:rPr>
          <w:rFonts w:hint="eastAsia"/>
          <w:color w:val="000000"/>
        </w:rPr>
        <w:t>反人类罪；</w:t>
      </w:r>
    </w:p>
    <w:p w:rsidR="00692915" w:rsidRDefault="00692915" w:rsidP="009A1C1B">
      <w:pPr>
        <w:numPr>
          <w:ilvl w:val="0"/>
          <w:numId w:val="17"/>
        </w:numPr>
        <w:tabs>
          <w:tab w:val="clear" w:pos="927"/>
          <w:tab w:val="num" w:pos="1560"/>
        </w:tabs>
        <w:ind w:leftChars="400" w:left="31680" w:hangingChars="200" w:firstLine="31680"/>
        <w:rPr>
          <w:color w:val="000000"/>
        </w:rPr>
      </w:pPr>
      <w:r>
        <w:rPr>
          <w:rFonts w:hint="eastAsia"/>
          <w:color w:val="000000"/>
        </w:rPr>
        <w:t>谋杀罪；</w:t>
      </w:r>
    </w:p>
    <w:p w:rsidR="00692915" w:rsidRDefault="00692915" w:rsidP="009A1C1B">
      <w:pPr>
        <w:numPr>
          <w:ilvl w:val="0"/>
          <w:numId w:val="17"/>
        </w:numPr>
        <w:tabs>
          <w:tab w:val="clear" w:pos="927"/>
          <w:tab w:val="num" w:pos="1560"/>
        </w:tabs>
        <w:ind w:leftChars="400" w:left="31680" w:hangingChars="200" w:firstLine="31680"/>
        <w:rPr>
          <w:color w:val="000000"/>
        </w:rPr>
      </w:pPr>
      <w:r>
        <w:rPr>
          <w:rFonts w:hint="eastAsia"/>
          <w:color w:val="000000"/>
        </w:rPr>
        <w:t>性犯罪；</w:t>
      </w:r>
    </w:p>
    <w:p w:rsidR="00692915" w:rsidRDefault="00692915" w:rsidP="009A1C1B">
      <w:pPr>
        <w:numPr>
          <w:ilvl w:val="0"/>
          <w:numId w:val="17"/>
        </w:numPr>
        <w:tabs>
          <w:tab w:val="clear" w:pos="927"/>
          <w:tab w:val="num" w:pos="1560"/>
        </w:tabs>
        <w:spacing w:after="240"/>
        <w:ind w:leftChars="400" w:left="31680" w:hangingChars="200" w:firstLine="31680"/>
        <w:rPr>
          <w:color w:val="000000"/>
        </w:rPr>
      </w:pPr>
      <w:r>
        <w:rPr>
          <w:rFonts w:hint="eastAsia"/>
          <w:color w:val="000000"/>
        </w:rPr>
        <w:t>酷刑。</w:t>
      </w:r>
    </w:p>
    <w:p w:rsidR="00692915" w:rsidRDefault="00692915" w:rsidP="009A1C1B">
      <w:pPr>
        <w:tabs>
          <w:tab w:val="left" w:pos="1170"/>
        </w:tabs>
        <w:spacing w:after="240"/>
        <w:ind w:firstLine="31680"/>
        <w:rPr>
          <w:rFonts w:hint="eastAsia"/>
          <w:color w:val="000000"/>
        </w:rPr>
      </w:pPr>
      <w:r>
        <w:rPr>
          <w:color w:val="000000"/>
        </w:rPr>
        <w:t>100.</w:t>
      </w:r>
      <w:r>
        <w:rPr>
          <w:color w:val="000000"/>
        </w:rPr>
        <w:tab/>
      </w:r>
      <w:r>
        <w:rPr>
          <w:rFonts w:hint="eastAsia"/>
          <w:color w:val="000000"/>
        </w:rPr>
        <w:t>特别审判小组具有广泛的权限，无论上述罪状发生在何地、由何人触犯和针对何人，该审判小组都有权处理。关于成立特别审判小组的规定几乎就是《罗马规约》实质性条款的翻版。“特别审判小组”对重罪具有专属管辖权，但如果成立了东帝汶国际法庭，并不排除该法庭对上述犯罪的管辖权。</w:t>
      </w:r>
      <w:r>
        <w:rPr>
          <w:rStyle w:val="FootnoteReference"/>
          <w:color w:val="000000"/>
        </w:rPr>
        <w:footnoteReference w:id="64"/>
      </w:r>
    </w:p>
    <w:p w:rsidR="00692915" w:rsidRDefault="00692915" w:rsidP="009A1C1B">
      <w:pPr>
        <w:tabs>
          <w:tab w:val="left" w:pos="1170"/>
        </w:tabs>
        <w:spacing w:after="240"/>
        <w:ind w:firstLine="31680"/>
        <w:rPr>
          <w:rFonts w:hint="eastAsia"/>
          <w:color w:val="000000"/>
        </w:rPr>
      </w:pPr>
      <w:r>
        <w:rPr>
          <w:color w:val="000000"/>
        </w:rPr>
        <w:t>101.</w:t>
      </w:r>
      <w:r>
        <w:rPr>
          <w:color w:val="000000"/>
        </w:rPr>
        <w:tab/>
      </w:r>
      <w:r>
        <w:rPr>
          <w:rFonts w:hint="eastAsia"/>
          <w:color w:val="000000"/>
        </w:rPr>
        <w:t>由于资源和时间限制，重罪股于</w:t>
      </w:r>
      <w:r>
        <w:rPr>
          <w:rFonts w:hint="eastAsia"/>
          <w:color w:val="000000"/>
        </w:rPr>
        <w:t>2001</w:t>
      </w:r>
      <w:r>
        <w:rPr>
          <w:rFonts w:hint="eastAsia"/>
          <w:color w:val="000000"/>
        </w:rPr>
        <w:t>年决定将重点放在</w:t>
      </w:r>
      <w:r>
        <w:rPr>
          <w:rFonts w:hint="eastAsia"/>
          <w:color w:val="000000"/>
        </w:rPr>
        <w:t>10</w:t>
      </w:r>
      <w:r>
        <w:rPr>
          <w:rFonts w:hint="eastAsia"/>
          <w:color w:val="000000"/>
        </w:rPr>
        <w:t>大“要案”以及其他反人类罪案件上。在选定这些“要案”时，需要考虑许多因素，其中包括犯罪的严重性、政治影响、受害者数量和类别，以及证据的充分性等。</w:t>
      </w:r>
      <w:r>
        <w:rPr>
          <w:rStyle w:val="FootnoteReference"/>
          <w:color w:val="000000"/>
        </w:rPr>
        <w:footnoteReference w:id="65"/>
      </w:r>
      <w:r>
        <w:rPr>
          <w:rFonts w:hint="eastAsia"/>
          <w:color w:val="000000"/>
        </w:rPr>
        <w:t>选定的案件应能够系统反映那些针对东帝汶人民的谋杀、酷刑和强奸情况。许多强奸案都被作为一种反人类罪受到指控。</w:t>
      </w:r>
    </w:p>
    <w:p w:rsidR="00692915" w:rsidRDefault="00692915" w:rsidP="009A1C1B">
      <w:pPr>
        <w:tabs>
          <w:tab w:val="left" w:pos="1170"/>
        </w:tabs>
        <w:spacing w:after="240"/>
        <w:ind w:firstLine="31680"/>
        <w:rPr>
          <w:rFonts w:hint="eastAsia"/>
          <w:color w:val="000000"/>
        </w:rPr>
      </w:pPr>
      <w:r>
        <w:rPr>
          <w:color w:val="000000"/>
        </w:rPr>
        <w:t>102.</w:t>
      </w:r>
      <w:r>
        <w:rPr>
          <w:color w:val="000000"/>
        </w:rPr>
        <w:tab/>
      </w:r>
      <w:r>
        <w:rPr>
          <w:rFonts w:hint="eastAsia"/>
          <w:color w:val="000000"/>
        </w:rPr>
        <w:t>在工作过程中，重罪特别审判小组根据对强奸案的调查结果，做出了二项判决。在</w:t>
      </w:r>
      <w:r>
        <w:rPr>
          <w:rFonts w:hint="eastAsia"/>
          <w:color w:val="000000"/>
        </w:rPr>
        <w:t>2002</w:t>
      </w:r>
      <w:r>
        <w:rPr>
          <w:rFonts w:hint="eastAsia"/>
          <w:color w:val="000000"/>
        </w:rPr>
        <w:t>年判决的案件中，根据印度尼西亚刑法，一名帝汶男子被判有强奸罪。该名男子在印度尼西亚军队服役期间，于</w:t>
      </w:r>
      <w:r>
        <w:rPr>
          <w:rFonts w:hint="eastAsia"/>
          <w:color w:val="000000"/>
        </w:rPr>
        <w:t>1999</w:t>
      </w:r>
      <w:r>
        <w:rPr>
          <w:rFonts w:hint="eastAsia"/>
          <w:color w:val="000000"/>
        </w:rPr>
        <w:t>年</w:t>
      </w:r>
      <w:r>
        <w:rPr>
          <w:rFonts w:hint="eastAsia"/>
          <w:color w:val="000000"/>
        </w:rPr>
        <w:t>9</w:t>
      </w:r>
      <w:r>
        <w:rPr>
          <w:rFonts w:hint="eastAsia"/>
          <w:color w:val="000000"/>
        </w:rPr>
        <w:t>月在帝力强奸了一名妇女，他被判处有期徒刑</w:t>
      </w:r>
      <w:r>
        <w:rPr>
          <w:rFonts w:hint="eastAsia"/>
          <w:color w:val="000000"/>
        </w:rPr>
        <w:t>4</w:t>
      </w:r>
      <w:r>
        <w:rPr>
          <w:rFonts w:hint="eastAsia"/>
          <w:color w:val="000000"/>
        </w:rPr>
        <w:t>年。</w:t>
      </w:r>
      <w:r>
        <w:rPr>
          <w:rStyle w:val="FootnoteReference"/>
          <w:color w:val="000000"/>
        </w:rPr>
        <w:footnoteReference w:id="66"/>
      </w:r>
      <w:r>
        <w:rPr>
          <w:rFonts w:hint="eastAsia"/>
          <w:color w:val="000000"/>
        </w:rPr>
        <w:t>第二项判决是</w:t>
      </w:r>
      <w:r>
        <w:rPr>
          <w:rFonts w:hint="eastAsia"/>
          <w:color w:val="000000"/>
        </w:rPr>
        <w:t>2003</w:t>
      </w:r>
      <w:r>
        <w:rPr>
          <w:rFonts w:hint="eastAsia"/>
          <w:color w:val="000000"/>
        </w:rPr>
        <w:t>年做出的，这是由重罪特别审判小组对一名强奸被告进行审判并按反人类罪处理的唯一案件。在本案中，被告因三起强奸案被判有期徒刑</w:t>
      </w:r>
      <w:r>
        <w:rPr>
          <w:rFonts w:hint="eastAsia"/>
          <w:color w:val="000000"/>
        </w:rPr>
        <w:t>9</w:t>
      </w:r>
      <w:r>
        <w:rPr>
          <w:rFonts w:hint="eastAsia"/>
          <w:color w:val="000000"/>
        </w:rPr>
        <w:t>年，在与其他犯罪并罚后，被判处有期徒刑</w:t>
      </w:r>
      <w:r>
        <w:rPr>
          <w:rFonts w:hint="eastAsia"/>
          <w:color w:val="000000"/>
        </w:rPr>
        <w:t>12</w:t>
      </w:r>
      <w:r>
        <w:rPr>
          <w:rFonts w:hint="eastAsia"/>
          <w:color w:val="000000"/>
        </w:rPr>
        <w:t>年。</w:t>
      </w:r>
      <w:r>
        <w:rPr>
          <w:rStyle w:val="FootnoteReference"/>
          <w:color w:val="000000"/>
        </w:rPr>
        <w:footnoteReference w:id="67"/>
      </w:r>
      <w:r>
        <w:rPr>
          <w:rFonts w:hint="eastAsia"/>
          <w:color w:val="000000"/>
        </w:rPr>
        <w:t>在第三起案件中，一名被告被指控于</w:t>
      </w:r>
      <w:r>
        <w:rPr>
          <w:rFonts w:hint="eastAsia"/>
          <w:color w:val="000000"/>
        </w:rPr>
        <w:t>1999</w:t>
      </w:r>
      <w:r>
        <w:rPr>
          <w:rFonts w:hint="eastAsia"/>
          <w:color w:val="000000"/>
        </w:rPr>
        <w:t>年在西帝汶强奸了一名妇女。</w:t>
      </w:r>
      <w:r>
        <w:rPr>
          <w:rStyle w:val="FootnoteReference"/>
          <w:color w:val="000000"/>
        </w:rPr>
        <w:footnoteReference w:id="68"/>
      </w:r>
      <w:r>
        <w:rPr>
          <w:rFonts w:hint="eastAsia"/>
          <w:color w:val="000000"/>
        </w:rPr>
        <w:t>但一年以后，特别审判小组认为它无权审理此案，因为被指控的犯罪发生在东帝汶领土之外。</w:t>
      </w:r>
    </w:p>
    <w:p w:rsidR="00692915" w:rsidRDefault="00692915" w:rsidP="009A1C1B">
      <w:pPr>
        <w:tabs>
          <w:tab w:val="left" w:pos="1170"/>
        </w:tabs>
        <w:spacing w:after="240"/>
        <w:ind w:firstLine="31680"/>
        <w:rPr>
          <w:rFonts w:hint="eastAsia"/>
          <w:color w:val="000000"/>
        </w:rPr>
      </w:pPr>
      <w:r>
        <w:rPr>
          <w:color w:val="000000"/>
        </w:rPr>
        <w:t>103.</w:t>
      </w:r>
      <w:r>
        <w:rPr>
          <w:color w:val="000000"/>
        </w:rPr>
        <w:tab/>
      </w:r>
      <w:r>
        <w:rPr>
          <w:rFonts w:hint="eastAsia"/>
          <w:color w:val="000000"/>
        </w:rPr>
        <w:t>特别审判小组共向</w:t>
      </w:r>
      <w:r>
        <w:rPr>
          <w:rFonts w:hint="eastAsia"/>
          <w:color w:val="000000"/>
        </w:rPr>
        <w:t>303</w:t>
      </w:r>
      <w:r>
        <w:rPr>
          <w:rFonts w:hint="eastAsia"/>
          <w:color w:val="000000"/>
        </w:rPr>
        <w:t>名被告发出了起诉书，但由于有些被告不在东帝汶而未能出庭，因此只有</w:t>
      </w:r>
      <w:r>
        <w:rPr>
          <w:rFonts w:hint="eastAsia"/>
          <w:color w:val="000000"/>
        </w:rPr>
        <w:t>87</w:t>
      </w:r>
      <w:r>
        <w:rPr>
          <w:rFonts w:hint="eastAsia"/>
          <w:color w:val="000000"/>
        </w:rPr>
        <w:t>名被告受到特别审判小组的审判。</w:t>
      </w:r>
      <w:r>
        <w:rPr>
          <w:rStyle w:val="FootnoteReference"/>
          <w:color w:val="000000"/>
        </w:rPr>
        <w:footnoteReference w:id="69"/>
      </w:r>
      <w:r>
        <w:rPr>
          <w:rFonts w:hint="eastAsia"/>
          <w:color w:val="000000"/>
        </w:rPr>
        <w:t>实际上，重罪诉讼程序最大的弱点就是没有引渡权，不能将那些罪大恶极的罪犯引渡回国。</w:t>
      </w:r>
      <w:r>
        <w:rPr>
          <w:rFonts w:hint="eastAsia"/>
          <w:color w:val="000000"/>
        </w:rPr>
        <w:t>2000</w:t>
      </w:r>
      <w:r>
        <w:rPr>
          <w:rFonts w:hint="eastAsia"/>
          <w:color w:val="000000"/>
        </w:rPr>
        <w:t>年</w:t>
      </w:r>
      <w:r>
        <w:rPr>
          <w:rFonts w:hint="eastAsia"/>
          <w:color w:val="000000"/>
        </w:rPr>
        <w:t>4</w:t>
      </w:r>
      <w:r>
        <w:rPr>
          <w:rFonts w:hint="eastAsia"/>
          <w:color w:val="000000"/>
        </w:rPr>
        <w:t>月联合国东帝汶过渡行政长官与印度尼西亚司法部长签署了一项引渡协议，但却未得到印度尼西亚国会的批准。</w:t>
      </w:r>
    </w:p>
    <w:p w:rsidR="00692915" w:rsidRDefault="00692915" w:rsidP="009A1C1B">
      <w:pPr>
        <w:tabs>
          <w:tab w:val="left" w:pos="1170"/>
        </w:tabs>
        <w:spacing w:after="240"/>
        <w:ind w:firstLine="31680"/>
        <w:rPr>
          <w:rFonts w:hint="eastAsia"/>
          <w:color w:val="000000"/>
        </w:rPr>
      </w:pPr>
      <w:r>
        <w:rPr>
          <w:color w:val="000000"/>
        </w:rPr>
        <w:t>104.</w:t>
      </w:r>
      <w:r>
        <w:rPr>
          <w:color w:val="000000"/>
        </w:rPr>
        <w:tab/>
      </w:r>
      <w:r>
        <w:rPr>
          <w:rFonts w:hint="eastAsia"/>
          <w:color w:val="000000"/>
        </w:rPr>
        <w:t>相反，显然只有</w:t>
      </w:r>
      <w:r>
        <w:rPr>
          <w:rFonts w:hint="eastAsia"/>
          <w:color w:val="000000"/>
        </w:rPr>
        <w:t>87</w:t>
      </w:r>
      <w:r>
        <w:rPr>
          <w:rFonts w:hint="eastAsia"/>
          <w:color w:val="000000"/>
        </w:rPr>
        <w:t>名帝汶国民（主要是前武装组织领导人或成员，当然也包括在印度尼西亚军队中服役的前帝汶军人）受到审判。其中</w:t>
      </w:r>
      <w:r>
        <w:rPr>
          <w:rFonts w:hint="eastAsia"/>
          <w:color w:val="000000"/>
        </w:rPr>
        <w:t>85</w:t>
      </w:r>
      <w:r>
        <w:rPr>
          <w:rFonts w:hint="eastAsia"/>
          <w:color w:val="000000"/>
        </w:rPr>
        <w:t>人被判有罪，被判处期限不等的有期徒刑。而那些罪大恶极的凶犯没有得到应有的惩罚，而且可能永远都不会被绳之以法。</w:t>
      </w:r>
    </w:p>
    <w:p w:rsidR="00692915" w:rsidRDefault="00692915">
      <w:pPr>
        <w:pStyle w:val="Heading3"/>
        <w:jc w:val="both"/>
        <w:rPr>
          <w:color w:val="000000"/>
          <w:u w:val="none"/>
        </w:rPr>
      </w:pPr>
      <w:r>
        <w:rPr>
          <w:rFonts w:eastAsia="KaiTi_GB2312" w:hint="eastAsia"/>
          <w:color w:val="000000"/>
          <w:u w:val="none"/>
        </w:rPr>
        <w:t>接纳、真相与和解委员会</w:t>
      </w:r>
    </w:p>
    <w:p w:rsidR="00692915" w:rsidRDefault="00692915" w:rsidP="009A1C1B">
      <w:pPr>
        <w:ind w:firstLine="31680"/>
        <w:rPr>
          <w:rFonts w:hint="eastAsia"/>
          <w:color w:val="000000"/>
        </w:rPr>
      </w:pPr>
      <w:r>
        <w:rPr>
          <w:color w:val="000000"/>
        </w:rPr>
        <w:t>105.</w:t>
      </w:r>
      <w:r>
        <w:rPr>
          <w:color w:val="000000"/>
        </w:rPr>
        <w:tab/>
        <w:t xml:space="preserve"> </w:t>
      </w:r>
      <w:r>
        <w:rPr>
          <w:rFonts w:hint="eastAsia"/>
          <w:color w:val="000000"/>
        </w:rPr>
        <w:t>东帝汶接纳、真相与和解委员会</w:t>
      </w:r>
      <w:r>
        <w:rPr>
          <w:color w:val="000000"/>
        </w:rPr>
        <w:t>（</w:t>
      </w:r>
      <w:r>
        <w:rPr>
          <w:color w:val="000000"/>
        </w:rPr>
        <w:t>CAVR</w:t>
      </w:r>
      <w:r>
        <w:rPr>
          <w:rStyle w:val="FootnoteReference"/>
          <w:color w:val="000000"/>
        </w:rPr>
        <w:footnoteReference w:id="70"/>
      </w:r>
      <w:r>
        <w:rPr>
          <w:color w:val="000000"/>
        </w:rPr>
        <w:t>）</w:t>
      </w:r>
      <w:r>
        <w:rPr>
          <w:rFonts w:hint="eastAsia"/>
          <w:color w:val="000000"/>
        </w:rPr>
        <w:t>于</w:t>
      </w:r>
      <w:r>
        <w:rPr>
          <w:rFonts w:hint="eastAsia"/>
          <w:color w:val="000000"/>
        </w:rPr>
        <w:t>2002</w:t>
      </w:r>
      <w:r>
        <w:rPr>
          <w:rFonts w:hint="eastAsia"/>
          <w:color w:val="000000"/>
        </w:rPr>
        <w:t>年</w:t>
      </w:r>
      <w:r>
        <w:rPr>
          <w:rFonts w:hint="eastAsia"/>
          <w:color w:val="000000"/>
        </w:rPr>
        <w:t>2</w:t>
      </w:r>
      <w:r>
        <w:rPr>
          <w:rFonts w:hint="eastAsia"/>
          <w:color w:val="000000"/>
        </w:rPr>
        <w:t>月</w:t>
      </w:r>
      <w:r>
        <w:rPr>
          <w:rFonts w:hint="eastAsia"/>
          <w:color w:val="000000"/>
        </w:rPr>
        <w:t>7</w:t>
      </w:r>
      <w:r>
        <w:rPr>
          <w:rFonts w:hint="eastAsia"/>
          <w:color w:val="000000"/>
        </w:rPr>
        <w:t>日成立。</w:t>
      </w:r>
      <w:r>
        <w:rPr>
          <w:bCs/>
          <w:color w:val="000000"/>
          <w:vertAlign w:val="superscript"/>
        </w:rPr>
        <w:footnoteReference w:id="71"/>
      </w:r>
      <w:r>
        <w:rPr>
          <w:rFonts w:hint="eastAsia"/>
          <w:color w:val="000000"/>
        </w:rPr>
        <w:t>该委员会是一个独立的国家机构，不受任何内阁成员的控制或指示。成立该委员会的最初决定是由帝汶抵抗运动全国委员会（抵委）在对东帝汶各地区进行了一系列访问后提出的。其后，由帝汶抵抗运动全国委员会、东帝汶非政府组织、难民署和</w:t>
      </w:r>
      <w:r>
        <w:rPr>
          <w:color w:val="000000"/>
        </w:rPr>
        <w:t>东帝汶过渡当局</w:t>
      </w:r>
      <w:r>
        <w:rPr>
          <w:rFonts w:hint="eastAsia"/>
          <w:color w:val="000000"/>
        </w:rPr>
        <w:t>代表组成的委员会对东帝汶各地区再次进行了一系列访问，并在征求公众对提议的意见之后，对最初决定进行了完善。</w:t>
      </w:r>
    </w:p>
    <w:p w:rsidR="00692915" w:rsidRDefault="00692915" w:rsidP="009A1C1B">
      <w:pPr>
        <w:tabs>
          <w:tab w:val="left" w:pos="1170"/>
        </w:tabs>
        <w:ind w:firstLine="31680"/>
        <w:rPr>
          <w:rFonts w:hint="eastAsia"/>
          <w:color w:val="000000"/>
        </w:rPr>
      </w:pPr>
      <w:r>
        <w:rPr>
          <w:color w:val="000000"/>
        </w:rPr>
        <w:t>106.</w:t>
      </w:r>
      <w:r>
        <w:rPr>
          <w:color w:val="000000"/>
        </w:rPr>
        <w:tab/>
      </w:r>
      <w:r>
        <w:rPr>
          <w:rFonts w:hint="eastAsia"/>
          <w:color w:val="000000"/>
        </w:rPr>
        <w:t>接纳、真相与和解委员会受托对</w:t>
      </w:r>
      <w:r>
        <w:rPr>
          <w:rFonts w:hint="eastAsia"/>
          <w:color w:val="000000"/>
        </w:rPr>
        <w:t>1974</w:t>
      </w:r>
      <w:r>
        <w:rPr>
          <w:rFonts w:hint="eastAsia"/>
          <w:color w:val="000000"/>
        </w:rPr>
        <w:t>年</w:t>
      </w:r>
      <w:r>
        <w:rPr>
          <w:rFonts w:hint="eastAsia"/>
          <w:color w:val="000000"/>
        </w:rPr>
        <w:t>4</w:t>
      </w:r>
      <w:r>
        <w:rPr>
          <w:rFonts w:hint="eastAsia"/>
          <w:color w:val="000000"/>
        </w:rPr>
        <w:t>月</w:t>
      </w:r>
      <w:r>
        <w:rPr>
          <w:rFonts w:hint="eastAsia"/>
          <w:color w:val="000000"/>
        </w:rPr>
        <w:t>25</w:t>
      </w:r>
      <w:r>
        <w:rPr>
          <w:rFonts w:hint="eastAsia"/>
          <w:color w:val="000000"/>
        </w:rPr>
        <w:t>日至</w:t>
      </w:r>
      <w:r>
        <w:rPr>
          <w:rFonts w:hint="eastAsia"/>
          <w:color w:val="000000"/>
        </w:rPr>
        <w:t>1999</w:t>
      </w:r>
      <w:r>
        <w:rPr>
          <w:rFonts w:hint="eastAsia"/>
          <w:color w:val="000000"/>
        </w:rPr>
        <w:t>年</w:t>
      </w:r>
      <w:r>
        <w:rPr>
          <w:rFonts w:hint="eastAsia"/>
          <w:color w:val="000000"/>
        </w:rPr>
        <w:t>10</w:t>
      </w:r>
      <w:r>
        <w:rPr>
          <w:rFonts w:hint="eastAsia"/>
          <w:color w:val="000000"/>
        </w:rPr>
        <w:t>月</w:t>
      </w:r>
      <w:r>
        <w:rPr>
          <w:rFonts w:hint="eastAsia"/>
          <w:color w:val="000000"/>
        </w:rPr>
        <w:t>25</w:t>
      </w:r>
      <w:r>
        <w:rPr>
          <w:rFonts w:hint="eastAsia"/>
          <w:color w:val="000000"/>
        </w:rPr>
        <w:t>日期间在东帝汶发生的反人权事实真相进行调查，开展社会和解，对受害者进行康复，并撰写最终报告，提出建议。</w:t>
      </w:r>
    </w:p>
    <w:p w:rsidR="00692915" w:rsidRDefault="00692915" w:rsidP="009A1C1B">
      <w:pPr>
        <w:tabs>
          <w:tab w:val="left" w:pos="1170"/>
        </w:tabs>
        <w:ind w:firstLine="31680"/>
        <w:rPr>
          <w:rFonts w:hint="eastAsia"/>
          <w:color w:val="000000"/>
        </w:rPr>
      </w:pPr>
      <w:r>
        <w:rPr>
          <w:color w:val="000000"/>
        </w:rPr>
        <w:t>107.</w:t>
      </w:r>
      <w:r>
        <w:rPr>
          <w:color w:val="000000"/>
        </w:rPr>
        <w:tab/>
      </w:r>
      <w:r>
        <w:rPr>
          <w:rFonts w:hint="eastAsia"/>
          <w:color w:val="000000"/>
        </w:rPr>
        <w:t>接纳、真相与和解委员会通过取证、调查和公共听证等广泛活动寻求事实真相。这些活动可分为如下几大主题：</w:t>
      </w:r>
    </w:p>
    <w:p w:rsidR="00692915" w:rsidRDefault="00692915" w:rsidP="009A1C1B">
      <w:pPr>
        <w:numPr>
          <w:ilvl w:val="0"/>
          <w:numId w:val="17"/>
        </w:numPr>
        <w:tabs>
          <w:tab w:val="clear" w:pos="927"/>
          <w:tab w:val="num" w:pos="1690"/>
        </w:tabs>
        <w:ind w:leftChars="450" w:left="31680" w:hangingChars="200" w:firstLine="31680"/>
        <w:rPr>
          <w:color w:val="000000"/>
        </w:rPr>
      </w:pPr>
      <w:r>
        <w:rPr>
          <w:rFonts w:hint="eastAsia"/>
          <w:color w:val="000000"/>
        </w:rPr>
        <w:t>政治监禁；</w:t>
      </w:r>
    </w:p>
    <w:p w:rsidR="00692915" w:rsidRDefault="00692915" w:rsidP="009A1C1B">
      <w:pPr>
        <w:numPr>
          <w:ilvl w:val="0"/>
          <w:numId w:val="17"/>
        </w:numPr>
        <w:tabs>
          <w:tab w:val="clear" w:pos="927"/>
          <w:tab w:val="num" w:pos="1690"/>
        </w:tabs>
        <w:ind w:leftChars="450" w:left="31680" w:hangingChars="200" w:firstLine="31680"/>
        <w:rPr>
          <w:color w:val="000000"/>
        </w:rPr>
      </w:pPr>
      <w:r>
        <w:rPr>
          <w:rFonts w:hint="eastAsia"/>
          <w:color w:val="000000"/>
        </w:rPr>
        <w:t>妇女与冲突；</w:t>
      </w:r>
    </w:p>
    <w:p w:rsidR="00692915" w:rsidRDefault="00692915" w:rsidP="009A1C1B">
      <w:pPr>
        <w:numPr>
          <w:ilvl w:val="0"/>
          <w:numId w:val="17"/>
        </w:numPr>
        <w:tabs>
          <w:tab w:val="clear" w:pos="927"/>
          <w:tab w:val="num" w:pos="1690"/>
        </w:tabs>
        <w:ind w:leftChars="450" w:left="31680" w:hangingChars="200" w:firstLine="31680"/>
        <w:rPr>
          <w:color w:val="000000"/>
        </w:rPr>
      </w:pPr>
      <w:r>
        <w:rPr>
          <w:rFonts w:hint="eastAsia"/>
          <w:color w:val="000000"/>
        </w:rPr>
        <w:t>强迫迁移和饥饿；</w:t>
      </w:r>
    </w:p>
    <w:p w:rsidR="00692915" w:rsidRDefault="00692915" w:rsidP="009A1C1B">
      <w:pPr>
        <w:numPr>
          <w:ilvl w:val="0"/>
          <w:numId w:val="17"/>
        </w:numPr>
        <w:tabs>
          <w:tab w:val="clear" w:pos="927"/>
          <w:tab w:val="num" w:pos="1690"/>
        </w:tabs>
        <w:ind w:leftChars="450" w:left="31680" w:hangingChars="200" w:firstLine="31680"/>
        <w:rPr>
          <w:color w:val="000000"/>
        </w:rPr>
      </w:pPr>
      <w:r>
        <w:rPr>
          <w:rFonts w:hint="eastAsia"/>
          <w:color w:val="000000"/>
        </w:rPr>
        <w:t>政党冲突；</w:t>
      </w:r>
    </w:p>
    <w:p w:rsidR="00692915" w:rsidRDefault="00692915" w:rsidP="009A1C1B">
      <w:pPr>
        <w:numPr>
          <w:ilvl w:val="0"/>
          <w:numId w:val="17"/>
        </w:numPr>
        <w:tabs>
          <w:tab w:val="clear" w:pos="927"/>
          <w:tab w:val="num" w:pos="1690"/>
        </w:tabs>
        <w:ind w:leftChars="450" w:left="31680" w:hangingChars="200" w:firstLine="31680"/>
        <w:rPr>
          <w:color w:val="000000"/>
        </w:rPr>
      </w:pPr>
      <w:r>
        <w:rPr>
          <w:rFonts w:hint="eastAsia"/>
          <w:color w:val="000000"/>
        </w:rPr>
        <w:t>屠杀与非法处决；</w:t>
      </w:r>
    </w:p>
    <w:p w:rsidR="00692915" w:rsidRDefault="00692915" w:rsidP="009A1C1B">
      <w:pPr>
        <w:numPr>
          <w:ilvl w:val="0"/>
          <w:numId w:val="17"/>
        </w:numPr>
        <w:tabs>
          <w:tab w:val="clear" w:pos="927"/>
          <w:tab w:val="num" w:pos="1690"/>
        </w:tabs>
        <w:ind w:leftChars="450" w:left="31680" w:hangingChars="200" w:firstLine="31680"/>
        <w:rPr>
          <w:color w:val="000000"/>
        </w:rPr>
      </w:pPr>
      <w:r>
        <w:rPr>
          <w:rFonts w:hint="eastAsia"/>
          <w:color w:val="000000"/>
        </w:rPr>
        <w:t>国际行为人；</w:t>
      </w:r>
    </w:p>
    <w:p w:rsidR="00692915" w:rsidRDefault="00692915" w:rsidP="009A1C1B">
      <w:pPr>
        <w:numPr>
          <w:ilvl w:val="0"/>
          <w:numId w:val="17"/>
        </w:numPr>
        <w:tabs>
          <w:tab w:val="clear" w:pos="927"/>
          <w:tab w:val="num" w:pos="1690"/>
        </w:tabs>
        <w:spacing w:after="240"/>
        <w:ind w:leftChars="450" w:left="31680" w:hangingChars="200" w:firstLine="31680"/>
        <w:rPr>
          <w:color w:val="000000"/>
        </w:rPr>
      </w:pPr>
      <w:r>
        <w:rPr>
          <w:rFonts w:hint="eastAsia"/>
          <w:color w:val="000000"/>
        </w:rPr>
        <w:t>儿童与冲突。</w:t>
      </w:r>
    </w:p>
    <w:p w:rsidR="00692915" w:rsidRDefault="00692915" w:rsidP="009A1C1B">
      <w:pPr>
        <w:tabs>
          <w:tab w:val="left" w:pos="1170"/>
        </w:tabs>
        <w:ind w:firstLine="31680"/>
        <w:rPr>
          <w:rFonts w:hint="eastAsia"/>
          <w:color w:val="000000"/>
        </w:rPr>
      </w:pPr>
      <w:r>
        <w:rPr>
          <w:color w:val="000000"/>
        </w:rPr>
        <w:t>108.</w:t>
      </w:r>
      <w:r>
        <w:rPr>
          <w:color w:val="000000"/>
        </w:rPr>
        <w:tab/>
      </w:r>
      <w:r>
        <w:rPr>
          <w:rFonts w:hint="eastAsia"/>
          <w:color w:val="000000"/>
        </w:rPr>
        <w:t>社区和解程序（</w:t>
      </w:r>
      <w:r>
        <w:rPr>
          <w:color w:val="000000"/>
        </w:rPr>
        <w:t>CRP</w:t>
      </w:r>
      <w:r>
        <w:rPr>
          <w:rFonts w:hint="eastAsia"/>
          <w:color w:val="000000"/>
        </w:rPr>
        <w:t>）是接纳、真相与和解委员会的另一项重要任务，其目的是让那些出于政治动机、危害较轻的犯罪者参与到村级恢复正义活动中来。社区和解程序依靠社区参与，目的在于让受害人和社区投入人力与犯罪者一起开展“和解行动”，这是正规司法体系和关押手段之外的另一种选择。此外，接纳、真相与和解委员会还通过县级听证、跟踪访问以及其他恢复性活动对受害者进行康复。</w:t>
      </w:r>
    </w:p>
    <w:p w:rsidR="00692915" w:rsidRDefault="00692915" w:rsidP="009A1C1B">
      <w:pPr>
        <w:tabs>
          <w:tab w:val="left" w:pos="1170"/>
        </w:tabs>
        <w:ind w:firstLine="31680"/>
        <w:rPr>
          <w:rFonts w:hint="eastAsia"/>
          <w:color w:val="000000"/>
        </w:rPr>
      </w:pPr>
      <w:r>
        <w:rPr>
          <w:color w:val="000000"/>
        </w:rPr>
        <w:t>109.</w:t>
      </w:r>
      <w:r>
        <w:rPr>
          <w:color w:val="000000"/>
        </w:rPr>
        <w:tab/>
      </w:r>
      <w:r>
        <w:rPr>
          <w:rFonts w:hint="eastAsia"/>
          <w:color w:val="000000"/>
        </w:rPr>
        <w:t>接纳、真相与和解委员会在调查期间取得的所有证据中，约五分之一的证据来自妇女，她们要么是侵犯人权的受害者，要么是见证人。鉴于妇女在冲突中所遭受的各种经历，接纳、真相与和解委员会成立了一个特别调查小组，负责调查有关妇女的问题，并举行了一次关于冲突中的妇女的全国公共听证会。作为全国妇女非政府组织之一的东帝汶妇女通讯论坛（</w:t>
      </w:r>
      <w:r>
        <w:rPr>
          <w:color w:val="000000"/>
        </w:rPr>
        <w:t>Fokupers</w:t>
      </w:r>
      <w:r>
        <w:rPr>
          <w:rFonts w:hint="eastAsia"/>
          <w:color w:val="000000"/>
        </w:rPr>
        <w:t>）一再呼吁，要特别针对冲突中的女性受害者制订赔偿方案。有关</w:t>
      </w:r>
      <w:r>
        <w:rPr>
          <w:color w:val="000000"/>
        </w:rPr>
        <w:t>《消除对妇女一切形式歧视公约》</w:t>
      </w:r>
      <w:r>
        <w:rPr>
          <w:rFonts w:hint="eastAsia"/>
          <w:color w:val="000000"/>
        </w:rPr>
        <w:t>的专门文件将对这些问题进行更深层次的探讨。</w:t>
      </w:r>
    </w:p>
    <w:p w:rsidR="00692915" w:rsidRDefault="00692915" w:rsidP="009A1C1B">
      <w:pPr>
        <w:tabs>
          <w:tab w:val="left" w:pos="1170"/>
        </w:tabs>
        <w:ind w:firstLine="31680"/>
        <w:rPr>
          <w:rFonts w:hint="eastAsia"/>
          <w:color w:val="000000"/>
        </w:rPr>
      </w:pPr>
      <w:r>
        <w:rPr>
          <w:color w:val="000000"/>
        </w:rPr>
        <w:t>110.</w:t>
      </w:r>
      <w:r>
        <w:rPr>
          <w:color w:val="000000"/>
        </w:rPr>
        <w:tab/>
      </w:r>
      <w:r>
        <w:rPr>
          <w:rFonts w:hint="eastAsia"/>
          <w:color w:val="000000"/>
        </w:rPr>
        <w:t>2005</w:t>
      </w:r>
      <w:r>
        <w:rPr>
          <w:rFonts w:hint="eastAsia"/>
          <w:color w:val="000000"/>
        </w:rPr>
        <w:t>年</w:t>
      </w:r>
      <w:r>
        <w:rPr>
          <w:rFonts w:hint="eastAsia"/>
          <w:color w:val="000000"/>
        </w:rPr>
        <w:t>10</w:t>
      </w:r>
      <w:r>
        <w:rPr>
          <w:rFonts w:hint="eastAsia"/>
          <w:color w:val="000000"/>
        </w:rPr>
        <w:t>月</w:t>
      </w:r>
      <w:r>
        <w:rPr>
          <w:rFonts w:hint="eastAsia"/>
          <w:color w:val="000000"/>
        </w:rPr>
        <w:t>31</w:t>
      </w:r>
      <w:r>
        <w:rPr>
          <w:rFonts w:hint="eastAsia"/>
          <w:color w:val="000000"/>
        </w:rPr>
        <w:t>日，接纳、真相与和解委员会向总统提交了报告，为期</w:t>
      </w:r>
      <w:r>
        <w:rPr>
          <w:rFonts w:hint="eastAsia"/>
          <w:color w:val="000000"/>
        </w:rPr>
        <w:t>3</w:t>
      </w:r>
      <w:r>
        <w:rPr>
          <w:rFonts w:hint="eastAsia"/>
          <w:color w:val="000000"/>
        </w:rPr>
        <w:t>年的紧张工作由此告一段落。在此期间，有</w:t>
      </w:r>
      <w:r>
        <w:rPr>
          <w:rFonts w:hint="eastAsia"/>
          <w:color w:val="000000"/>
        </w:rPr>
        <w:t>7 000</w:t>
      </w:r>
      <w:r>
        <w:rPr>
          <w:rFonts w:hint="eastAsia"/>
          <w:color w:val="000000"/>
        </w:rPr>
        <w:t>多名受害者对</w:t>
      </w:r>
      <w:r>
        <w:rPr>
          <w:rFonts w:hint="eastAsia"/>
          <w:color w:val="000000"/>
        </w:rPr>
        <w:t>1974</w:t>
      </w:r>
      <w:r>
        <w:rPr>
          <w:rFonts w:hint="eastAsia"/>
          <w:color w:val="000000"/>
        </w:rPr>
        <w:t>年</w:t>
      </w:r>
      <w:r>
        <w:rPr>
          <w:rFonts w:hint="eastAsia"/>
          <w:color w:val="000000"/>
        </w:rPr>
        <w:t>4</w:t>
      </w:r>
      <w:r>
        <w:rPr>
          <w:rFonts w:hint="eastAsia"/>
          <w:color w:val="000000"/>
        </w:rPr>
        <w:t>月至</w:t>
      </w:r>
      <w:r>
        <w:rPr>
          <w:rFonts w:hint="eastAsia"/>
          <w:color w:val="000000"/>
        </w:rPr>
        <w:t>1999</w:t>
      </w:r>
      <w:r>
        <w:rPr>
          <w:rFonts w:hint="eastAsia"/>
          <w:color w:val="000000"/>
        </w:rPr>
        <w:t>年</w:t>
      </w:r>
      <w:r>
        <w:rPr>
          <w:rFonts w:hint="eastAsia"/>
          <w:color w:val="000000"/>
        </w:rPr>
        <w:t>10</w:t>
      </w:r>
      <w:r>
        <w:rPr>
          <w:rFonts w:hint="eastAsia"/>
          <w:color w:val="000000"/>
        </w:rPr>
        <w:t>月期间在东帝汶发生的人权侵犯事件作证。随后，总统将该报告转给了联合国秘书长。</w:t>
      </w:r>
    </w:p>
    <w:p w:rsidR="00692915" w:rsidRDefault="00692915" w:rsidP="009A1C1B">
      <w:pPr>
        <w:tabs>
          <w:tab w:val="left" w:pos="1170"/>
        </w:tabs>
        <w:ind w:firstLine="31680"/>
        <w:rPr>
          <w:rFonts w:hint="eastAsia"/>
          <w:color w:val="000000"/>
        </w:rPr>
      </w:pPr>
      <w:r>
        <w:rPr>
          <w:color w:val="000000"/>
        </w:rPr>
        <w:t>111.</w:t>
      </w:r>
      <w:r>
        <w:rPr>
          <w:color w:val="000000"/>
        </w:rPr>
        <w:tab/>
      </w:r>
      <w:r>
        <w:rPr>
          <w:rFonts w:hint="eastAsia"/>
          <w:color w:val="000000"/>
        </w:rPr>
        <w:t>接纳、真相与和解委员会的最终报告指出，在</w:t>
      </w:r>
      <w:r>
        <w:rPr>
          <w:rFonts w:hint="eastAsia"/>
          <w:color w:val="000000"/>
        </w:rPr>
        <w:t>1974</w:t>
      </w:r>
      <w:r>
        <w:rPr>
          <w:rFonts w:hint="eastAsia"/>
          <w:color w:val="000000"/>
        </w:rPr>
        <w:t>年至</w:t>
      </w:r>
      <w:r>
        <w:rPr>
          <w:rFonts w:hint="eastAsia"/>
          <w:color w:val="000000"/>
        </w:rPr>
        <w:t>1999</w:t>
      </w:r>
      <w:r>
        <w:rPr>
          <w:rFonts w:hint="eastAsia"/>
          <w:color w:val="000000"/>
        </w:rPr>
        <w:t>年间：</w:t>
      </w:r>
    </w:p>
    <w:p w:rsidR="00692915" w:rsidRDefault="00692915" w:rsidP="009A1C1B">
      <w:pPr>
        <w:numPr>
          <w:ilvl w:val="0"/>
          <w:numId w:val="17"/>
        </w:numPr>
        <w:tabs>
          <w:tab w:val="clear" w:pos="927"/>
          <w:tab w:val="num" w:pos="1690"/>
        </w:tabs>
        <w:ind w:leftChars="450" w:left="31680" w:hangingChars="200" w:firstLine="31680"/>
        <w:rPr>
          <w:color w:val="000000"/>
        </w:rPr>
      </w:pPr>
      <w:r>
        <w:rPr>
          <w:rFonts w:hint="eastAsia"/>
          <w:color w:val="000000"/>
        </w:rPr>
        <w:t>估计至少有</w:t>
      </w:r>
      <w:r>
        <w:rPr>
          <w:color w:val="000000"/>
        </w:rPr>
        <w:t>102,800</w:t>
      </w:r>
      <w:r>
        <w:rPr>
          <w:rFonts w:hint="eastAsia"/>
          <w:color w:val="000000"/>
        </w:rPr>
        <w:t>名帝汶人惨遭杀害，或死于因印度尼西亚占领而直接导致的饥饿和疾病。这一数据是对东帝汶做出的最准确和最具科学根据的估计，是在接纳、真相与和解委员会数据库、死亡率回顾性调查和公墓普查的基础上做出的；</w:t>
      </w:r>
    </w:p>
    <w:p w:rsidR="00692915" w:rsidRDefault="00692915" w:rsidP="009A1C1B">
      <w:pPr>
        <w:numPr>
          <w:ilvl w:val="0"/>
          <w:numId w:val="17"/>
        </w:numPr>
        <w:tabs>
          <w:tab w:val="clear" w:pos="927"/>
          <w:tab w:val="num" w:pos="1690"/>
        </w:tabs>
        <w:ind w:leftChars="450" w:left="31680" w:hangingChars="200" w:firstLine="31680"/>
        <w:rPr>
          <w:color w:val="000000"/>
        </w:rPr>
      </w:pPr>
      <w:r>
        <w:rPr>
          <w:rFonts w:hint="eastAsia"/>
          <w:color w:val="000000"/>
        </w:rPr>
        <w:t>在直接向委员会报告的侵犯人权事件中，绝大多数（</w:t>
      </w:r>
      <w:r>
        <w:rPr>
          <w:rFonts w:hint="eastAsia"/>
          <w:color w:val="000000"/>
        </w:rPr>
        <w:t>85%</w:t>
      </w:r>
      <w:r>
        <w:rPr>
          <w:rFonts w:hint="eastAsia"/>
          <w:color w:val="000000"/>
        </w:rPr>
        <w:t>）是由印度尼西亚安全部队单独作为，或其后备人员所为；</w:t>
      </w:r>
    </w:p>
    <w:p w:rsidR="00692915" w:rsidRDefault="00692915" w:rsidP="009A1C1B">
      <w:pPr>
        <w:numPr>
          <w:ilvl w:val="0"/>
          <w:numId w:val="17"/>
        </w:numPr>
        <w:tabs>
          <w:tab w:val="clear" w:pos="927"/>
          <w:tab w:val="num" w:pos="1690"/>
        </w:tabs>
        <w:ind w:leftChars="450" w:left="31680" w:hangingChars="200" w:firstLine="31680"/>
        <w:rPr>
          <w:color w:val="000000"/>
        </w:rPr>
      </w:pPr>
      <w:r>
        <w:rPr>
          <w:rFonts w:hint="eastAsia"/>
          <w:color w:val="000000"/>
        </w:rPr>
        <w:t>人权侵犯是“大规模、广泛和有组织”进行的。印度尼西亚军队将饥饿作为一种战争武器，滥杀无辜，任何人如果对支持独立的武装力量存有同情的嫌疑，将会受到印尼军队的酷刑，其中包括对东帝汶妇女进行有组织的性奴役和性折磨；</w:t>
      </w:r>
    </w:p>
    <w:p w:rsidR="00692915" w:rsidRDefault="00692915" w:rsidP="009A1C1B">
      <w:pPr>
        <w:numPr>
          <w:ilvl w:val="0"/>
          <w:numId w:val="17"/>
        </w:numPr>
        <w:tabs>
          <w:tab w:val="clear" w:pos="927"/>
          <w:tab w:val="num" w:pos="1690"/>
        </w:tabs>
        <w:ind w:leftChars="450" w:left="31680" w:hangingChars="200" w:firstLine="31680"/>
        <w:rPr>
          <w:color w:val="000000"/>
        </w:rPr>
      </w:pPr>
      <w:r>
        <w:rPr>
          <w:rFonts w:hint="eastAsia"/>
          <w:color w:val="000000"/>
        </w:rPr>
        <w:t>印度尼西亚政府和印度尼西亚军队最高指挥官违反国际人道法，将平民作为战争目标；不加区别地进行军事攻击，有时甚至使用国际禁止的武器（如：凝固汽油弹）；以及肆意掠夺和毁坏平民财产；</w:t>
      </w:r>
    </w:p>
    <w:p w:rsidR="00692915" w:rsidRDefault="00692915" w:rsidP="009A1C1B">
      <w:pPr>
        <w:numPr>
          <w:ilvl w:val="0"/>
          <w:numId w:val="17"/>
        </w:numPr>
        <w:tabs>
          <w:tab w:val="clear" w:pos="927"/>
          <w:tab w:val="num" w:pos="1690"/>
        </w:tabs>
        <w:ind w:leftChars="450" w:left="31680" w:hangingChars="200" w:firstLine="31680"/>
        <w:rPr>
          <w:color w:val="000000"/>
        </w:rPr>
      </w:pPr>
      <w:r>
        <w:rPr>
          <w:rFonts w:hint="eastAsia"/>
          <w:color w:val="000000"/>
        </w:rPr>
        <w:t>在报告的侵犯人权事件中，约有</w:t>
      </w:r>
      <w:r>
        <w:rPr>
          <w:rFonts w:hint="eastAsia"/>
          <w:color w:val="000000"/>
        </w:rPr>
        <w:t>10%</w:t>
      </w:r>
      <w:r>
        <w:rPr>
          <w:rFonts w:hint="eastAsia"/>
          <w:color w:val="000000"/>
        </w:rPr>
        <w:t>是由东帝汶独立革命阵线领导的支持独立武装人员所为。但是与印度尼西亚军队不同的是，东帝汶独立革命阵线领导人承认其所犯的人权侵犯事实，愿意承担责任，并与接纳、真相与和解委员会配合；</w:t>
      </w:r>
    </w:p>
    <w:p w:rsidR="00692915" w:rsidRDefault="00692915" w:rsidP="009A1C1B">
      <w:pPr>
        <w:numPr>
          <w:ilvl w:val="0"/>
          <w:numId w:val="17"/>
        </w:numPr>
        <w:tabs>
          <w:tab w:val="clear" w:pos="927"/>
          <w:tab w:val="num" w:pos="1690"/>
        </w:tabs>
        <w:ind w:leftChars="450" w:left="31680" w:hangingChars="200" w:firstLine="31680"/>
        <w:rPr>
          <w:color w:val="000000"/>
        </w:rPr>
      </w:pPr>
      <w:r>
        <w:rPr>
          <w:rFonts w:hint="eastAsia"/>
          <w:color w:val="000000"/>
        </w:rPr>
        <w:t>1999</w:t>
      </w:r>
      <w:r>
        <w:rPr>
          <w:rFonts w:hint="eastAsia"/>
          <w:color w:val="000000"/>
        </w:rPr>
        <w:t>年所犯的罪行导致了一场有组织的针对印度尼西亚政府的运动；</w:t>
      </w:r>
    </w:p>
    <w:p w:rsidR="00692915" w:rsidRDefault="00692915" w:rsidP="009A1C1B">
      <w:pPr>
        <w:numPr>
          <w:ilvl w:val="0"/>
          <w:numId w:val="17"/>
        </w:numPr>
        <w:tabs>
          <w:tab w:val="clear" w:pos="927"/>
          <w:tab w:val="num" w:pos="1690"/>
        </w:tabs>
        <w:ind w:leftChars="450" w:left="31680" w:hangingChars="200" w:firstLine="31680"/>
        <w:rPr>
          <w:color w:val="000000"/>
        </w:rPr>
      </w:pPr>
      <w:r>
        <w:rPr>
          <w:rFonts w:hint="eastAsia"/>
          <w:color w:val="000000"/>
        </w:rPr>
        <w:t>报告详细列出了印度尼西亚军队主要领导人名单以及他们的指挥责任，这些人员对发生大规模暴行的东帝汶地区实施管辖。其中包括诸如</w:t>
      </w:r>
      <w:r>
        <w:rPr>
          <w:rFonts w:hint="eastAsia"/>
          <w:color w:val="000000"/>
        </w:rPr>
        <w:t>1999</w:t>
      </w:r>
      <w:r>
        <w:rPr>
          <w:rFonts w:hint="eastAsia"/>
          <w:color w:val="000000"/>
        </w:rPr>
        <w:t>年期间的维兰托将军、国防部长和武装部队总司令等高级军官。联合国于</w:t>
      </w:r>
      <w:r>
        <w:rPr>
          <w:rFonts w:hint="eastAsia"/>
          <w:color w:val="000000"/>
        </w:rPr>
        <w:t>2004</w:t>
      </w:r>
      <w:r>
        <w:rPr>
          <w:rFonts w:hint="eastAsia"/>
          <w:color w:val="000000"/>
        </w:rPr>
        <w:t>年在东帝汶设立的法庭要求逮捕维兰托将军；</w:t>
      </w:r>
    </w:p>
    <w:p w:rsidR="00692915" w:rsidRDefault="00692915" w:rsidP="009A1C1B">
      <w:pPr>
        <w:numPr>
          <w:ilvl w:val="0"/>
          <w:numId w:val="17"/>
        </w:numPr>
        <w:tabs>
          <w:tab w:val="clear" w:pos="927"/>
          <w:tab w:val="num" w:pos="1690"/>
        </w:tabs>
        <w:spacing w:after="240"/>
        <w:ind w:leftChars="450" w:left="31680" w:hangingChars="200" w:firstLine="31680"/>
        <w:rPr>
          <w:color w:val="000000"/>
        </w:rPr>
      </w:pPr>
      <w:r>
        <w:rPr>
          <w:rFonts w:hint="eastAsia"/>
          <w:color w:val="000000"/>
        </w:rPr>
        <w:t>联合国一直未能采取有效的行动阻止印度尼西亚占领和随之发生的暴行。联合国安理会常任理事国和某些非常任理事国将他们的经济利益和战略利益置于该组织的宗旨和原则之上。</w:t>
      </w:r>
    </w:p>
    <w:p w:rsidR="00692915" w:rsidRDefault="00692915" w:rsidP="009A1C1B">
      <w:pPr>
        <w:tabs>
          <w:tab w:val="left" w:pos="1170"/>
        </w:tabs>
        <w:ind w:firstLine="31680"/>
        <w:rPr>
          <w:rFonts w:hint="eastAsia"/>
          <w:color w:val="000000"/>
        </w:rPr>
      </w:pPr>
      <w:r>
        <w:rPr>
          <w:color w:val="000000"/>
        </w:rPr>
        <w:t>112.</w:t>
      </w:r>
      <w:r>
        <w:rPr>
          <w:color w:val="000000"/>
        </w:rPr>
        <w:tab/>
      </w:r>
      <w:r>
        <w:rPr>
          <w:rFonts w:hint="eastAsia"/>
          <w:color w:val="000000"/>
        </w:rPr>
        <w:t>除了对事实真相的这些调查结果外，还有许多详细的建议可供帝汶人民和政治领袖进行更深入的考虑。当然，政府对某些建议持有不同意见，如：由国际社会进行赔偿的建议和建立国际法庭等。</w:t>
      </w:r>
    </w:p>
    <w:p w:rsidR="00692915" w:rsidRDefault="00692915" w:rsidP="009A1C1B">
      <w:pPr>
        <w:tabs>
          <w:tab w:val="left" w:pos="1170"/>
        </w:tabs>
        <w:spacing w:after="240"/>
        <w:ind w:firstLine="31680"/>
        <w:rPr>
          <w:rFonts w:hint="eastAsia"/>
          <w:color w:val="000000"/>
        </w:rPr>
      </w:pPr>
      <w:r>
        <w:rPr>
          <w:color w:val="000000"/>
        </w:rPr>
        <w:t>113.</w:t>
      </w:r>
      <w:r>
        <w:rPr>
          <w:rFonts w:hint="eastAsia"/>
          <w:color w:val="000000"/>
        </w:rPr>
        <w:tab/>
      </w:r>
      <w:r>
        <w:rPr>
          <w:rFonts w:hint="eastAsia"/>
          <w:color w:val="000000"/>
        </w:rPr>
        <w:t>除上述建议外，接纳、真相与和解委员会的工作极大地促进了事实真相的确定和对过去的和解，并将永远提醒我们再也不要发生政治暴力。</w:t>
      </w:r>
    </w:p>
    <w:p w:rsidR="00692915" w:rsidRDefault="00692915">
      <w:pPr>
        <w:pStyle w:val="Heading3"/>
        <w:tabs>
          <w:tab w:val="left" w:pos="1170"/>
        </w:tabs>
        <w:jc w:val="both"/>
        <w:rPr>
          <w:rFonts w:hint="eastAsia"/>
          <w:color w:val="000000"/>
          <w:u w:val="none"/>
        </w:rPr>
      </w:pPr>
      <w:r>
        <w:rPr>
          <w:rFonts w:eastAsia="KaiTi_GB2312" w:hint="eastAsia"/>
          <w:color w:val="000000"/>
          <w:u w:val="none"/>
        </w:rPr>
        <w:t>真相与友谊委员会</w:t>
      </w:r>
      <w:r>
        <w:rPr>
          <w:rStyle w:val="FootnoteReference"/>
          <w:color w:val="000000"/>
          <w:u w:val="none"/>
        </w:rPr>
        <w:footnoteReference w:id="72"/>
      </w:r>
    </w:p>
    <w:p w:rsidR="00692915" w:rsidRDefault="00692915" w:rsidP="009A1C1B">
      <w:pPr>
        <w:tabs>
          <w:tab w:val="left" w:pos="1170"/>
        </w:tabs>
        <w:ind w:firstLine="31680"/>
        <w:rPr>
          <w:rFonts w:hint="eastAsia"/>
          <w:color w:val="000000"/>
        </w:rPr>
      </w:pPr>
      <w:r>
        <w:rPr>
          <w:color w:val="000000"/>
        </w:rPr>
        <w:t>114.</w:t>
      </w:r>
      <w:r>
        <w:rPr>
          <w:rFonts w:hint="eastAsia"/>
          <w:color w:val="000000"/>
        </w:rPr>
        <w:tab/>
      </w:r>
      <w:r>
        <w:rPr>
          <w:rFonts w:hint="eastAsia"/>
          <w:color w:val="000000"/>
        </w:rPr>
        <w:t>在认识到解决</w:t>
      </w:r>
      <w:r>
        <w:rPr>
          <w:rFonts w:hint="eastAsia"/>
          <w:color w:val="000000"/>
        </w:rPr>
        <w:t>1999</w:t>
      </w:r>
      <w:r>
        <w:rPr>
          <w:rFonts w:hint="eastAsia"/>
          <w:color w:val="000000"/>
        </w:rPr>
        <w:t>年事件相关问题的重要性之后，</w:t>
      </w:r>
      <w:r>
        <w:rPr>
          <w:rFonts w:hint="eastAsia"/>
          <w:color w:val="000000"/>
        </w:rPr>
        <w:t>2004</w:t>
      </w:r>
      <w:r>
        <w:rPr>
          <w:rFonts w:hint="eastAsia"/>
          <w:color w:val="000000"/>
        </w:rPr>
        <w:t>年</w:t>
      </w:r>
      <w:r>
        <w:rPr>
          <w:rFonts w:hint="eastAsia"/>
          <w:color w:val="000000"/>
        </w:rPr>
        <w:t>11</w:t>
      </w:r>
      <w:r>
        <w:rPr>
          <w:rFonts w:hint="eastAsia"/>
          <w:color w:val="000000"/>
        </w:rPr>
        <w:t>月</w:t>
      </w:r>
      <w:r>
        <w:rPr>
          <w:rFonts w:hint="eastAsia"/>
          <w:color w:val="000000"/>
        </w:rPr>
        <w:t>14</w:t>
      </w:r>
      <w:r>
        <w:rPr>
          <w:rFonts w:hint="eastAsia"/>
          <w:color w:val="000000"/>
        </w:rPr>
        <w:t>日，印度尼西亚共和国政府领导人和东帝汶民主共和国领导人在巴厘岛的</w:t>
      </w:r>
      <w:r>
        <w:rPr>
          <w:rFonts w:ascii="Arial" w:hAnsi="Arial" w:cs="Arial" w:hint="eastAsia"/>
          <w:color w:val="000000"/>
        </w:rPr>
        <w:t>坦帕克西林举行会晤，决定成立</w:t>
      </w:r>
      <w:r>
        <w:rPr>
          <w:rFonts w:hint="eastAsia"/>
          <w:color w:val="000000"/>
        </w:rPr>
        <w:t>真相与友谊委员会（</w:t>
      </w:r>
      <w:r>
        <w:rPr>
          <w:color w:val="000000"/>
        </w:rPr>
        <w:t>CTF</w:t>
      </w:r>
      <w:r>
        <w:rPr>
          <w:rFonts w:hint="eastAsia"/>
          <w:color w:val="000000"/>
        </w:rPr>
        <w:t>）。</w:t>
      </w:r>
    </w:p>
    <w:p w:rsidR="00692915" w:rsidRDefault="00692915" w:rsidP="009A1C1B">
      <w:pPr>
        <w:tabs>
          <w:tab w:val="left" w:pos="1170"/>
        </w:tabs>
        <w:ind w:firstLine="31680"/>
        <w:rPr>
          <w:rFonts w:hint="eastAsia"/>
          <w:color w:val="000000"/>
        </w:rPr>
      </w:pPr>
      <w:r>
        <w:rPr>
          <w:color w:val="000000"/>
        </w:rPr>
        <w:t>115.</w:t>
      </w:r>
      <w:r>
        <w:rPr>
          <w:rFonts w:hint="eastAsia"/>
          <w:color w:val="000000"/>
        </w:rPr>
        <w:tab/>
      </w:r>
      <w:r>
        <w:rPr>
          <w:rFonts w:hint="eastAsia"/>
          <w:color w:val="000000"/>
        </w:rPr>
        <w:t>该委员会的任务是确定</w:t>
      </w:r>
      <w:r>
        <w:rPr>
          <w:rFonts w:hint="eastAsia"/>
          <w:color w:val="000000"/>
        </w:rPr>
        <w:t>1999</w:t>
      </w:r>
      <w:r>
        <w:rPr>
          <w:rFonts w:hint="eastAsia"/>
          <w:color w:val="000000"/>
        </w:rPr>
        <w:t>年全民协商前后所发生的事件真相，以促进和解与友谊，确保类似情况不再发生。</w:t>
      </w:r>
    </w:p>
    <w:p w:rsidR="00692915" w:rsidRDefault="00692915" w:rsidP="009A1C1B">
      <w:pPr>
        <w:tabs>
          <w:tab w:val="left" w:pos="1170"/>
        </w:tabs>
        <w:ind w:firstLine="31680"/>
        <w:rPr>
          <w:rFonts w:hint="eastAsia"/>
          <w:color w:val="000000"/>
        </w:rPr>
      </w:pPr>
      <w:r>
        <w:rPr>
          <w:color w:val="000000"/>
        </w:rPr>
        <w:t>116.</w:t>
      </w:r>
      <w:r>
        <w:rPr>
          <w:rFonts w:hint="eastAsia"/>
          <w:color w:val="000000"/>
        </w:rPr>
        <w:tab/>
      </w:r>
      <w:r>
        <w:rPr>
          <w:rFonts w:hint="eastAsia"/>
          <w:color w:val="000000"/>
        </w:rPr>
        <w:t>委员会由</w:t>
      </w:r>
      <w:r>
        <w:rPr>
          <w:rFonts w:hint="eastAsia"/>
          <w:color w:val="000000"/>
        </w:rPr>
        <w:t>10</w:t>
      </w:r>
      <w:r>
        <w:rPr>
          <w:rFonts w:hint="eastAsia"/>
          <w:color w:val="000000"/>
        </w:rPr>
        <w:t>名委员和</w:t>
      </w:r>
      <w:r>
        <w:rPr>
          <w:rFonts w:hint="eastAsia"/>
          <w:color w:val="000000"/>
        </w:rPr>
        <w:t>6</w:t>
      </w:r>
      <w:r>
        <w:rPr>
          <w:rFonts w:hint="eastAsia"/>
          <w:color w:val="000000"/>
        </w:rPr>
        <w:t>名候选委员组成（</w:t>
      </w:r>
      <w:r>
        <w:rPr>
          <w:rFonts w:hint="eastAsia"/>
          <w:color w:val="000000"/>
        </w:rPr>
        <w:t>8</w:t>
      </w:r>
      <w:r>
        <w:rPr>
          <w:rFonts w:hint="eastAsia"/>
          <w:color w:val="000000"/>
        </w:rPr>
        <w:t>名来自印度尼西亚，</w:t>
      </w:r>
      <w:r>
        <w:rPr>
          <w:rFonts w:hint="eastAsia"/>
          <w:color w:val="000000"/>
        </w:rPr>
        <w:t>8</w:t>
      </w:r>
      <w:r>
        <w:rPr>
          <w:rFonts w:hint="eastAsia"/>
          <w:color w:val="000000"/>
        </w:rPr>
        <w:t>名来自东帝汶），委员按高标准进行挑选，主要从法律、人权、学术、宗教和社区领导人里面选取。东帝汶</w:t>
      </w:r>
      <w:r>
        <w:rPr>
          <w:rFonts w:hint="eastAsia"/>
          <w:color w:val="000000"/>
        </w:rPr>
        <w:t>8</w:t>
      </w:r>
      <w:r>
        <w:rPr>
          <w:rFonts w:hint="eastAsia"/>
          <w:color w:val="000000"/>
        </w:rPr>
        <w:t>名委员中有</w:t>
      </w:r>
      <w:r>
        <w:rPr>
          <w:rFonts w:hint="eastAsia"/>
          <w:color w:val="000000"/>
        </w:rPr>
        <w:t>2</w:t>
      </w:r>
      <w:r>
        <w:rPr>
          <w:rFonts w:hint="eastAsia"/>
          <w:color w:val="000000"/>
        </w:rPr>
        <w:t>名妇女，这承认了妇女在和解过程中所发挥的作用。</w:t>
      </w:r>
    </w:p>
    <w:p w:rsidR="00692915" w:rsidRDefault="00692915" w:rsidP="009A1C1B">
      <w:pPr>
        <w:tabs>
          <w:tab w:val="left" w:pos="1170"/>
        </w:tabs>
        <w:ind w:firstLine="31680"/>
        <w:rPr>
          <w:rFonts w:hint="eastAsia"/>
          <w:color w:val="000000"/>
        </w:rPr>
      </w:pPr>
      <w:r>
        <w:rPr>
          <w:color w:val="000000"/>
        </w:rPr>
        <w:t>117.</w:t>
      </w:r>
      <w:r>
        <w:rPr>
          <w:rFonts w:hint="eastAsia"/>
          <w:color w:val="000000"/>
        </w:rPr>
        <w:tab/>
      </w:r>
      <w:r>
        <w:rPr>
          <w:rFonts w:hint="eastAsia"/>
          <w:color w:val="000000"/>
        </w:rPr>
        <w:t>正如职权范围内所言，真相与友谊委员会将是一种独特的新尝试，对于有着相同近代史的两个国家而言，这体现了他们以史为鉴、乐观面对未来的勇气与远见。尽管未来将会面临重重的困难，但委员会将不遗余力致力地于两国之间的永久和平。</w:t>
      </w:r>
    </w:p>
    <w:p w:rsidR="00692915" w:rsidRDefault="00692915" w:rsidP="009A1C1B">
      <w:pPr>
        <w:tabs>
          <w:tab w:val="left" w:pos="1170"/>
        </w:tabs>
        <w:ind w:firstLine="31680"/>
        <w:rPr>
          <w:rFonts w:hint="eastAsia"/>
          <w:color w:val="000000"/>
        </w:rPr>
      </w:pPr>
      <w:r>
        <w:rPr>
          <w:color w:val="000000"/>
        </w:rPr>
        <w:t>118.</w:t>
      </w:r>
      <w:r>
        <w:rPr>
          <w:color w:val="000000"/>
        </w:rPr>
        <w:tab/>
      </w:r>
      <w:r>
        <w:rPr>
          <w:rFonts w:hint="eastAsia"/>
          <w:color w:val="000000"/>
        </w:rPr>
        <w:t>委员会将负责：</w:t>
      </w:r>
    </w:p>
    <w:p w:rsidR="00692915" w:rsidRDefault="00692915" w:rsidP="009A1C1B">
      <w:pPr>
        <w:tabs>
          <w:tab w:val="left" w:pos="1820"/>
        </w:tabs>
        <w:ind w:leftChars="400" w:left="31680" w:hangingChars="300" w:firstLine="31680"/>
        <w:rPr>
          <w:rFonts w:hint="eastAsia"/>
          <w:color w:val="000000"/>
        </w:rPr>
      </w:pPr>
      <w:r>
        <w:rPr>
          <w:color w:val="000000"/>
        </w:rPr>
        <w:t>（</w:t>
      </w:r>
      <w:r>
        <w:rPr>
          <w:color w:val="000000"/>
        </w:rPr>
        <w:t>a</w:t>
      </w:r>
      <w:r>
        <w:rPr>
          <w:color w:val="000000"/>
        </w:rPr>
        <w:t>）</w:t>
      </w:r>
      <w:r>
        <w:rPr>
          <w:color w:val="000000"/>
        </w:rPr>
        <w:tab/>
      </w:r>
      <w:r>
        <w:rPr>
          <w:rFonts w:hint="eastAsia"/>
          <w:color w:val="000000"/>
        </w:rPr>
        <w:t>针对</w:t>
      </w:r>
      <w:r>
        <w:rPr>
          <w:rFonts w:hint="eastAsia"/>
          <w:color w:val="000000"/>
        </w:rPr>
        <w:t>1999</w:t>
      </w:r>
      <w:r>
        <w:rPr>
          <w:rFonts w:hint="eastAsia"/>
          <w:color w:val="000000"/>
        </w:rPr>
        <w:t>年</w:t>
      </w:r>
      <w:r>
        <w:rPr>
          <w:rFonts w:hint="eastAsia"/>
          <w:color w:val="000000"/>
        </w:rPr>
        <w:t>8</w:t>
      </w:r>
      <w:r>
        <w:rPr>
          <w:rFonts w:hint="eastAsia"/>
          <w:color w:val="000000"/>
        </w:rPr>
        <w:t>月东帝汶全民协商前后所报道的侵犯人权事件本质、原因和程度，解开事实的真相；</w:t>
      </w:r>
    </w:p>
    <w:p w:rsidR="00692915" w:rsidRDefault="00692915" w:rsidP="009A1C1B">
      <w:pPr>
        <w:tabs>
          <w:tab w:val="left" w:pos="1820"/>
        </w:tabs>
        <w:ind w:leftChars="400" w:left="31680" w:hangingChars="300" w:firstLine="31680"/>
        <w:rPr>
          <w:rFonts w:hint="eastAsia"/>
          <w:color w:val="000000"/>
        </w:rPr>
      </w:pPr>
      <w:r>
        <w:rPr>
          <w:color w:val="000000"/>
        </w:rPr>
        <w:t>（</w:t>
      </w:r>
      <w:r>
        <w:rPr>
          <w:color w:val="000000"/>
        </w:rPr>
        <w:t>b</w:t>
      </w:r>
      <w:r>
        <w:rPr>
          <w:color w:val="000000"/>
        </w:rPr>
        <w:t>）</w:t>
      </w:r>
      <w:r>
        <w:rPr>
          <w:color w:val="000000"/>
        </w:rPr>
        <w:tab/>
      </w:r>
      <w:r>
        <w:rPr>
          <w:rFonts w:hint="eastAsia"/>
          <w:color w:val="000000"/>
        </w:rPr>
        <w:t>对“印度尼西亚调查</w:t>
      </w:r>
      <w:r>
        <w:rPr>
          <w:rFonts w:hint="eastAsia"/>
          <w:color w:val="000000"/>
        </w:rPr>
        <w:t>1999</w:t>
      </w:r>
      <w:r>
        <w:rPr>
          <w:rFonts w:hint="eastAsia"/>
          <w:color w:val="000000"/>
        </w:rPr>
        <w:t>年东帝汶境内侵犯人权行为全国委员会”（</w:t>
      </w:r>
      <w:r>
        <w:rPr>
          <w:color w:val="000000"/>
        </w:rPr>
        <w:t>KPP HAM</w:t>
      </w:r>
      <w:r>
        <w:rPr>
          <w:rFonts w:hint="eastAsia"/>
          <w:color w:val="000000"/>
        </w:rPr>
        <w:t>）、东帝汶问题特设人权法院、重罪特别审判小组和东帝汶接纳、真相与和解委员会所记载的所有资料进行审查；</w:t>
      </w:r>
    </w:p>
    <w:p w:rsidR="00692915" w:rsidRDefault="00692915" w:rsidP="009A1C1B">
      <w:pPr>
        <w:tabs>
          <w:tab w:val="left" w:pos="1820"/>
        </w:tabs>
        <w:ind w:leftChars="400" w:left="31680" w:hangingChars="300" w:firstLine="31680"/>
        <w:rPr>
          <w:rFonts w:hint="eastAsia"/>
          <w:color w:val="000000"/>
        </w:rPr>
      </w:pPr>
      <w:r>
        <w:rPr>
          <w:color w:val="000000"/>
        </w:rPr>
        <w:t>（</w:t>
      </w:r>
      <w:r>
        <w:rPr>
          <w:color w:val="000000"/>
        </w:rPr>
        <w:t>c</w:t>
      </w:r>
      <w:r>
        <w:rPr>
          <w:color w:val="000000"/>
        </w:rPr>
        <w:t>）</w:t>
      </w:r>
      <w:r>
        <w:rPr>
          <w:color w:val="000000"/>
        </w:rPr>
        <w:tab/>
      </w:r>
      <w:r>
        <w:rPr>
          <w:rFonts w:hint="eastAsia"/>
          <w:color w:val="000000"/>
        </w:rPr>
        <w:t>对报道的侵犯人权事件真相，包括印度尼西亚相关机构和重罪特别审判小组记载（指控书中列明）的行为方式，进行调查与核实，以便提出相应的后续措施，促进两国人民的和解与友谊；</w:t>
      </w:r>
    </w:p>
    <w:p w:rsidR="00692915" w:rsidRDefault="00692915" w:rsidP="009A1C1B">
      <w:pPr>
        <w:tabs>
          <w:tab w:val="left" w:pos="1820"/>
        </w:tabs>
        <w:ind w:leftChars="400" w:left="31680" w:hangingChars="300" w:firstLine="31680"/>
        <w:rPr>
          <w:rFonts w:hint="eastAsia"/>
          <w:color w:val="000000"/>
        </w:rPr>
      </w:pPr>
      <w:r>
        <w:rPr>
          <w:color w:val="000000"/>
        </w:rPr>
        <w:t>（</w:t>
      </w:r>
      <w:r>
        <w:rPr>
          <w:color w:val="000000"/>
        </w:rPr>
        <w:t>d</w:t>
      </w:r>
      <w:r>
        <w:rPr>
          <w:color w:val="000000"/>
        </w:rPr>
        <w:t>）</w:t>
      </w:r>
      <w:r>
        <w:rPr>
          <w:color w:val="000000"/>
        </w:rPr>
        <w:tab/>
      </w:r>
      <w:r>
        <w:rPr>
          <w:rFonts w:hint="eastAsia"/>
          <w:color w:val="000000"/>
        </w:rPr>
        <w:t>发表并向公众提供一份以印度尼西亚语、</w:t>
      </w:r>
      <w:r>
        <w:rPr>
          <w:rFonts w:ascii="Arial" w:hAnsi="Arial" w:cs="Arial" w:hint="eastAsia"/>
          <w:color w:val="000000"/>
        </w:rPr>
        <w:t>德顿语和英语印刷的报告，并将该报告翻译为葡萄牙语，公布共同</w:t>
      </w:r>
      <w:r>
        <w:rPr>
          <w:rFonts w:hint="eastAsia"/>
          <w:color w:val="000000"/>
        </w:rPr>
        <w:t>记载的</w:t>
      </w:r>
      <w:r>
        <w:rPr>
          <w:rFonts w:hint="eastAsia"/>
          <w:color w:val="000000"/>
        </w:rPr>
        <w:t>1999</w:t>
      </w:r>
      <w:r>
        <w:rPr>
          <w:rFonts w:hint="eastAsia"/>
          <w:color w:val="000000"/>
        </w:rPr>
        <w:t>年</w:t>
      </w:r>
      <w:r>
        <w:rPr>
          <w:rFonts w:hint="eastAsia"/>
          <w:color w:val="000000"/>
        </w:rPr>
        <w:t>8</w:t>
      </w:r>
      <w:r>
        <w:rPr>
          <w:rFonts w:hint="eastAsia"/>
          <w:color w:val="000000"/>
        </w:rPr>
        <w:t>月</w:t>
      </w:r>
      <w:r>
        <w:rPr>
          <w:rFonts w:ascii="Arial" w:hAnsi="Arial" w:cs="Arial" w:hint="eastAsia"/>
          <w:color w:val="000000"/>
        </w:rPr>
        <w:t>东帝汶全民咨询前后发生的侵犯人权事件；</w:t>
      </w:r>
    </w:p>
    <w:p w:rsidR="00692915" w:rsidRDefault="00692915" w:rsidP="009A1C1B">
      <w:pPr>
        <w:tabs>
          <w:tab w:val="left" w:pos="1820"/>
        </w:tabs>
        <w:ind w:leftChars="400" w:left="31680" w:hangingChars="300" w:firstLine="31680"/>
        <w:rPr>
          <w:rFonts w:hint="eastAsia"/>
          <w:color w:val="000000"/>
        </w:rPr>
      </w:pPr>
      <w:r>
        <w:rPr>
          <w:color w:val="000000"/>
        </w:rPr>
        <w:t>（</w:t>
      </w:r>
      <w:r>
        <w:rPr>
          <w:color w:val="000000"/>
        </w:rPr>
        <w:t>e</w:t>
      </w:r>
      <w:r>
        <w:rPr>
          <w:color w:val="000000"/>
        </w:rPr>
        <w:t>）</w:t>
      </w:r>
      <w:r>
        <w:rPr>
          <w:color w:val="000000"/>
        </w:rPr>
        <w:tab/>
      </w:r>
      <w:r>
        <w:rPr>
          <w:rFonts w:hint="eastAsia"/>
          <w:iCs/>
          <w:color w:val="000000"/>
        </w:rPr>
        <w:t>除其他方面以外，委员会还将找出各种方法与途径、提出适当的措施以治愈过去的创伤，恢复并重建人类尊严：</w:t>
      </w:r>
    </w:p>
    <w:p w:rsidR="00692915" w:rsidRDefault="00692915" w:rsidP="009A1C1B">
      <w:pPr>
        <w:pStyle w:val="Rom2"/>
        <w:numPr>
          <w:ilvl w:val="0"/>
          <w:numId w:val="0"/>
        </w:numPr>
        <w:tabs>
          <w:tab w:val="left" w:pos="2340"/>
        </w:tabs>
        <w:ind w:leftChars="650" w:left="31680" w:hangingChars="270" w:firstLine="31680"/>
        <w:rPr>
          <w:color w:val="000000"/>
          <w:lang w:eastAsia="zh-CN"/>
        </w:rPr>
      </w:pPr>
      <w:r>
        <w:rPr>
          <w:rFonts w:hint="eastAsia"/>
          <w:color w:val="000000"/>
          <w:lang w:eastAsia="zh-CN"/>
        </w:rPr>
        <w:t>（一）对那些在揭露真相过程中给予积极配合的人权侵犯者给予特赦；</w:t>
      </w:r>
    </w:p>
    <w:p w:rsidR="00692915" w:rsidRDefault="00692915" w:rsidP="009A1C1B">
      <w:pPr>
        <w:pStyle w:val="Rom2"/>
        <w:numPr>
          <w:ilvl w:val="0"/>
          <w:numId w:val="0"/>
        </w:numPr>
        <w:tabs>
          <w:tab w:val="left" w:pos="2340"/>
        </w:tabs>
        <w:ind w:leftChars="650" w:left="31680" w:hangingChars="270" w:firstLine="31680"/>
        <w:rPr>
          <w:color w:val="000000"/>
          <w:lang w:eastAsia="zh-CN"/>
        </w:rPr>
      </w:pPr>
      <w:r>
        <w:rPr>
          <w:rFonts w:hint="eastAsia"/>
          <w:color w:val="000000"/>
          <w:lang w:eastAsia="zh-CN"/>
        </w:rPr>
        <w:t>（二）对那些被错误指控为侵犯人权的人员提供康复措施；</w:t>
      </w:r>
    </w:p>
    <w:p w:rsidR="00692915" w:rsidRDefault="00692915" w:rsidP="009A1C1B">
      <w:pPr>
        <w:pStyle w:val="Rom2"/>
        <w:numPr>
          <w:ilvl w:val="0"/>
          <w:numId w:val="0"/>
        </w:numPr>
        <w:tabs>
          <w:tab w:val="left" w:pos="2340"/>
        </w:tabs>
        <w:ind w:leftChars="650" w:left="31680" w:hangingChars="270" w:firstLine="31680"/>
        <w:rPr>
          <w:color w:val="000000"/>
          <w:lang w:eastAsia="zh-CN"/>
        </w:rPr>
      </w:pPr>
      <w:r>
        <w:rPr>
          <w:rFonts w:hint="eastAsia"/>
          <w:color w:val="000000"/>
          <w:lang w:eastAsia="zh-CN"/>
        </w:rPr>
        <w:t>（三）根据传统和宗教价值观提出促进各民族和解的方法；</w:t>
      </w:r>
    </w:p>
    <w:p w:rsidR="00692915" w:rsidRDefault="00692915" w:rsidP="009A1C1B">
      <w:pPr>
        <w:pStyle w:val="Rom2"/>
        <w:numPr>
          <w:ilvl w:val="0"/>
          <w:numId w:val="0"/>
        </w:numPr>
        <w:tabs>
          <w:tab w:val="left" w:pos="2340"/>
        </w:tabs>
        <w:ind w:leftChars="650" w:left="31680" w:hangingChars="270" w:firstLine="31680"/>
        <w:rPr>
          <w:color w:val="000000"/>
          <w:lang w:eastAsia="zh-CN"/>
        </w:rPr>
      </w:pPr>
      <w:r>
        <w:rPr>
          <w:rFonts w:hint="eastAsia"/>
          <w:color w:val="000000"/>
          <w:lang w:eastAsia="zh-CN"/>
        </w:rPr>
        <w:t>（四）提出富有创新的人际交往与合作，进一步巩固和平与稳定。</w:t>
      </w:r>
    </w:p>
    <w:p w:rsidR="00692915" w:rsidRDefault="00692915" w:rsidP="009A1C1B">
      <w:pPr>
        <w:tabs>
          <w:tab w:val="left" w:pos="1170"/>
        </w:tabs>
        <w:ind w:firstLine="31680"/>
        <w:rPr>
          <w:rFonts w:hint="eastAsia"/>
          <w:color w:val="000000"/>
        </w:rPr>
      </w:pPr>
      <w:r>
        <w:rPr>
          <w:color w:val="000000"/>
        </w:rPr>
        <w:t>119.</w:t>
      </w:r>
      <w:r>
        <w:rPr>
          <w:color w:val="000000"/>
        </w:rPr>
        <w:tab/>
      </w:r>
      <w:r>
        <w:rPr>
          <w:rFonts w:hint="eastAsia"/>
          <w:color w:val="000000"/>
        </w:rPr>
        <w:t>要完成这些任务，委员会将遵守下列原则：</w:t>
      </w:r>
    </w:p>
    <w:p w:rsidR="00692915" w:rsidRDefault="00692915" w:rsidP="009A1C1B">
      <w:pPr>
        <w:numPr>
          <w:ilvl w:val="0"/>
          <w:numId w:val="17"/>
        </w:numPr>
        <w:tabs>
          <w:tab w:val="clear" w:pos="927"/>
          <w:tab w:val="num" w:pos="1690"/>
        </w:tabs>
        <w:ind w:leftChars="450" w:left="31680" w:hangingChars="200" w:firstLine="31680"/>
        <w:rPr>
          <w:color w:val="000000"/>
        </w:rPr>
      </w:pPr>
      <w:r>
        <w:rPr>
          <w:rFonts w:hint="eastAsia"/>
          <w:color w:val="000000"/>
        </w:rPr>
        <w:t>相关法律中所包含的相关原则；</w:t>
      </w:r>
      <w:r>
        <w:rPr>
          <w:rStyle w:val="FootnoteReference"/>
          <w:color w:val="000000"/>
        </w:rPr>
        <w:footnoteReference w:id="73"/>
      </w:r>
    </w:p>
    <w:p w:rsidR="00692915" w:rsidRDefault="00692915" w:rsidP="009A1C1B">
      <w:pPr>
        <w:numPr>
          <w:ilvl w:val="0"/>
          <w:numId w:val="17"/>
        </w:numPr>
        <w:tabs>
          <w:tab w:val="clear" w:pos="927"/>
          <w:tab w:val="num" w:pos="1690"/>
        </w:tabs>
        <w:ind w:leftChars="450" w:left="31680" w:hangingChars="200" w:firstLine="31680"/>
        <w:rPr>
          <w:color w:val="000000"/>
        </w:rPr>
      </w:pPr>
      <w:r>
        <w:rPr>
          <w:rFonts w:hint="eastAsia"/>
          <w:color w:val="000000"/>
        </w:rPr>
        <w:t>在行使其职责的过程中，真相与友谊委员会应牢记</w:t>
      </w:r>
      <w:r>
        <w:rPr>
          <w:rFonts w:hint="eastAsia"/>
          <w:color w:val="000000"/>
        </w:rPr>
        <w:t>1999</w:t>
      </w:r>
      <w:r>
        <w:rPr>
          <w:rFonts w:hint="eastAsia"/>
          <w:color w:val="000000"/>
        </w:rPr>
        <w:t>年过渡期间局势的复杂性，以进一步加强两国和两国人民之间的和解与友谊为目标；</w:t>
      </w:r>
    </w:p>
    <w:p w:rsidR="00692915" w:rsidRDefault="00692915" w:rsidP="009A1C1B">
      <w:pPr>
        <w:numPr>
          <w:ilvl w:val="0"/>
          <w:numId w:val="17"/>
        </w:numPr>
        <w:tabs>
          <w:tab w:val="clear" w:pos="927"/>
          <w:tab w:val="num" w:pos="1690"/>
        </w:tabs>
        <w:ind w:leftChars="450" w:left="31680" w:hangingChars="200" w:firstLine="31680"/>
        <w:rPr>
          <w:color w:val="000000"/>
        </w:rPr>
      </w:pPr>
      <w:r>
        <w:rPr>
          <w:rFonts w:hint="eastAsia"/>
          <w:color w:val="000000"/>
        </w:rPr>
        <w:t>本着向前看的精神与和解态度，真相与友谊委员会的工作程序将不会导致起诉，而将强调机构的责任；</w:t>
      </w:r>
    </w:p>
    <w:p w:rsidR="00692915" w:rsidRDefault="00692915" w:rsidP="009A1C1B">
      <w:pPr>
        <w:numPr>
          <w:ilvl w:val="0"/>
          <w:numId w:val="17"/>
        </w:numPr>
        <w:tabs>
          <w:tab w:val="clear" w:pos="927"/>
          <w:tab w:val="num" w:pos="1690"/>
        </w:tabs>
        <w:ind w:leftChars="450" w:left="31680" w:hangingChars="200" w:firstLine="31680"/>
        <w:rPr>
          <w:color w:val="000000"/>
        </w:rPr>
      </w:pPr>
      <w:r>
        <w:rPr>
          <w:rFonts w:hint="eastAsia"/>
          <w:color w:val="000000"/>
        </w:rPr>
        <w:t>进一步促进两国政府和两国人民之间的友谊与合作，促进社区内及社区间的和解，治愈过去的创伤；</w:t>
      </w:r>
    </w:p>
    <w:p w:rsidR="00692915" w:rsidRDefault="00692915" w:rsidP="009A1C1B">
      <w:pPr>
        <w:numPr>
          <w:ilvl w:val="0"/>
          <w:numId w:val="17"/>
        </w:numPr>
        <w:tabs>
          <w:tab w:val="clear" w:pos="927"/>
          <w:tab w:val="num" w:pos="1690"/>
        </w:tabs>
        <w:ind w:leftChars="450" w:left="31680" w:hangingChars="200" w:firstLine="31680"/>
        <w:rPr>
          <w:color w:val="000000"/>
        </w:rPr>
      </w:pPr>
      <w:r>
        <w:rPr>
          <w:rFonts w:hint="eastAsia"/>
          <w:color w:val="000000"/>
        </w:rPr>
        <w:t>关于报道的</w:t>
      </w:r>
      <w:r>
        <w:rPr>
          <w:rFonts w:hint="eastAsia"/>
          <w:color w:val="000000"/>
        </w:rPr>
        <w:t>1999</w:t>
      </w:r>
      <w:r>
        <w:rPr>
          <w:rFonts w:hint="eastAsia"/>
          <w:color w:val="000000"/>
        </w:rPr>
        <w:t>年东帝汶侵犯人权案件，真相与友谊委员会对现行司法程序不带任何成见，也不建议成立任何其他司法机构；</w:t>
      </w:r>
    </w:p>
    <w:p w:rsidR="00692915" w:rsidRDefault="00692915" w:rsidP="009A1C1B">
      <w:pPr>
        <w:numPr>
          <w:ilvl w:val="0"/>
          <w:numId w:val="17"/>
        </w:numPr>
        <w:tabs>
          <w:tab w:val="clear" w:pos="927"/>
          <w:tab w:val="num" w:pos="1690"/>
        </w:tabs>
        <w:spacing w:after="240"/>
        <w:ind w:leftChars="450" w:left="31680" w:hangingChars="200" w:firstLine="31680"/>
        <w:rPr>
          <w:color w:val="000000"/>
        </w:rPr>
      </w:pPr>
      <w:r>
        <w:rPr>
          <w:rFonts w:hint="eastAsia"/>
          <w:color w:val="000000"/>
        </w:rPr>
        <w:t>委员会职权范围还将确保相关信息的转移和使用，以及采访被认为掌握相关信息人员的权利。</w:t>
      </w:r>
      <w:r>
        <w:rPr>
          <w:rStyle w:val="FootnoteReference"/>
          <w:color w:val="000000"/>
        </w:rPr>
        <w:footnoteReference w:id="74"/>
      </w:r>
    </w:p>
    <w:p w:rsidR="00692915" w:rsidRDefault="00692915" w:rsidP="009A1C1B">
      <w:pPr>
        <w:tabs>
          <w:tab w:val="left" w:pos="1170"/>
        </w:tabs>
        <w:ind w:firstLine="31680"/>
        <w:rPr>
          <w:rFonts w:hint="eastAsia"/>
          <w:color w:val="000000"/>
        </w:rPr>
      </w:pPr>
      <w:r>
        <w:rPr>
          <w:color w:val="000000"/>
        </w:rPr>
        <w:t>120.</w:t>
      </w:r>
      <w:r>
        <w:rPr>
          <w:color w:val="000000"/>
        </w:rPr>
        <w:tab/>
      </w:r>
      <w:r>
        <w:rPr>
          <w:rFonts w:hint="eastAsia"/>
          <w:color w:val="000000"/>
        </w:rPr>
        <w:t>委员会于</w:t>
      </w:r>
      <w:r>
        <w:rPr>
          <w:rFonts w:hint="eastAsia"/>
          <w:color w:val="000000"/>
        </w:rPr>
        <w:t>2005</w:t>
      </w:r>
      <w:r>
        <w:rPr>
          <w:rFonts w:hint="eastAsia"/>
          <w:color w:val="000000"/>
        </w:rPr>
        <w:t>年</w:t>
      </w:r>
      <w:r>
        <w:rPr>
          <w:rFonts w:hint="eastAsia"/>
          <w:color w:val="000000"/>
        </w:rPr>
        <w:t>8</w:t>
      </w:r>
      <w:r>
        <w:rPr>
          <w:rFonts w:hint="eastAsia"/>
          <w:color w:val="000000"/>
        </w:rPr>
        <w:t>月开始行动，行动将开展</w:t>
      </w:r>
      <w:r>
        <w:rPr>
          <w:rFonts w:hint="eastAsia"/>
          <w:color w:val="000000"/>
        </w:rPr>
        <w:t>1</w:t>
      </w:r>
      <w:r>
        <w:rPr>
          <w:rFonts w:hint="eastAsia"/>
          <w:color w:val="000000"/>
        </w:rPr>
        <w:t>年，并有可能延长</w:t>
      </w:r>
      <w:r>
        <w:rPr>
          <w:rFonts w:hint="eastAsia"/>
          <w:color w:val="000000"/>
        </w:rPr>
        <w:t>1</w:t>
      </w:r>
      <w:r>
        <w:rPr>
          <w:rFonts w:hint="eastAsia"/>
          <w:color w:val="000000"/>
        </w:rPr>
        <w:t>年。首批任务之一就是研究那些从重罪股收到的、有关侵犯人权的重要问题和文件，以及从其他渠道得到的文件。委员会已在这些文件的基础上着手筹划公共听证，并开始针对那些被指控在东帝汶犯下的重罪，采访印度尼西亚军队（</w:t>
      </w:r>
      <w:r>
        <w:rPr>
          <w:rFonts w:hint="eastAsia"/>
          <w:color w:val="000000"/>
        </w:rPr>
        <w:t>TNI</w:t>
      </w:r>
      <w:r>
        <w:rPr>
          <w:rFonts w:hint="eastAsia"/>
          <w:color w:val="000000"/>
        </w:rPr>
        <w:t>）的成员。</w:t>
      </w:r>
    </w:p>
    <w:p w:rsidR="00692915" w:rsidRDefault="00692915" w:rsidP="009A1C1B">
      <w:pPr>
        <w:tabs>
          <w:tab w:val="left" w:pos="1170"/>
        </w:tabs>
        <w:spacing w:after="240"/>
        <w:ind w:firstLine="31680"/>
        <w:rPr>
          <w:rFonts w:hint="eastAsia"/>
          <w:color w:val="000000"/>
        </w:rPr>
      </w:pPr>
      <w:r>
        <w:rPr>
          <w:color w:val="000000"/>
        </w:rPr>
        <w:t>121.</w:t>
      </w:r>
      <w:r>
        <w:rPr>
          <w:color w:val="000000"/>
        </w:rPr>
        <w:tab/>
      </w:r>
      <w:r>
        <w:rPr>
          <w:rFonts w:hint="eastAsia"/>
          <w:color w:val="000000"/>
        </w:rPr>
        <w:t>对于真相与友谊委员会的成立，以及妇女在寻求相应补救措施处理印尼占领期间针对她们的各种罪行时，该委员会可能产生了影响，一些非政府组织进行了评述。有关</w:t>
      </w:r>
      <w:r>
        <w:rPr>
          <w:color w:val="000000"/>
        </w:rPr>
        <w:t>《消除对妇女一切形式歧视公约》</w:t>
      </w:r>
      <w:r>
        <w:rPr>
          <w:rFonts w:hint="eastAsia"/>
          <w:color w:val="000000"/>
        </w:rPr>
        <w:t>的专门文件对此将有更详细的论述。</w:t>
      </w:r>
    </w:p>
    <w:p w:rsidR="00692915" w:rsidRDefault="00692915" w:rsidP="009A1C1B">
      <w:pPr>
        <w:pStyle w:val="Heading1"/>
        <w:tabs>
          <w:tab w:val="left" w:pos="1170"/>
        </w:tabs>
        <w:ind w:left="1531" w:firstLine="31680"/>
        <w:jc w:val="left"/>
        <w:rPr>
          <w:rFonts w:eastAsia="SimHei" w:hint="eastAsia"/>
          <w:b w:val="0"/>
          <w:bCs/>
          <w:color w:val="000000"/>
        </w:rPr>
      </w:pPr>
      <w:bookmarkStart w:id="29" w:name="_Toc150514914"/>
      <w:bookmarkStart w:id="30" w:name="_Toc150684815"/>
      <w:r>
        <w:rPr>
          <w:rFonts w:eastAsia="SimHei" w:hint="eastAsia"/>
          <w:b w:val="0"/>
          <w:bCs/>
          <w:color w:val="000000"/>
        </w:rPr>
        <w:t>二</w:t>
      </w:r>
      <w:bookmarkEnd w:id="29"/>
      <w:bookmarkEnd w:id="30"/>
      <w:r>
        <w:rPr>
          <w:rFonts w:eastAsia="SimHei" w:hint="eastAsia"/>
          <w:b w:val="0"/>
          <w:bCs/>
          <w:color w:val="000000"/>
        </w:rPr>
        <w:t>、</w:t>
      </w:r>
      <w:r>
        <w:rPr>
          <w:rFonts w:eastAsia="SimHei" w:hint="eastAsia"/>
          <w:b w:val="0"/>
          <w:bCs/>
          <w:color w:val="000000"/>
          <w:u w:val="single"/>
        </w:rPr>
        <w:t>保护和促进人权的总体法律体系</w:t>
      </w:r>
    </w:p>
    <w:p w:rsidR="00692915" w:rsidRDefault="00692915">
      <w:pPr>
        <w:pStyle w:val="Heading2"/>
        <w:tabs>
          <w:tab w:val="left" w:pos="1170"/>
        </w:tabs>
        <w:rPr>
          <w:rFonts w:hint="eastAsia"/>
          <w:color w:val="000000"/>
          <w:sz w:val="24"/>
        </w:rPr>
      </w:pPr>
      <w:bookmarkStart w:id="31" w:name="_Toc150514915"/>
      <w:bookmarkStart w:id="32" w:name="_Toc150684816"/>
      <w:r>
        <w:rPr>
          <w:color w:val="000000"/>
          <w:sz w:val="24"/>
        </w:rPr>
        <w:t xml:space="preserve">A.  </w:t>
      </w:r>
      <w:bookmarkEnd w:id="31"/>
      <w:bookmarkEnd w:id="32"/>
      <w:r>
        <w:rPr>
          <w:rFonts w:hint="eastAsia"/>
          <w:color w:val="000000"/>
          <w:sz w:val="24"/>
          <w:u w:val="single"/>
        </w:rPr>
        <w:t>接受人权规范</w:t>
      </w:r>
    </w:p>
    <w:p w:rsidR="00692915" w:rsidRDefault="00692915" w:rsidP="009A1C1B">
      <w:pPr>
        <w:tabs>
          <w:tab w:val="left" w:pos="1170"/>
        </w:tabs>
        <w:spacing w:after="240"/>
        <w:ind w:firstLine="31680"/>
        <w:rPr>
          <w:rFonts w:hint="eastAsia"/>
          <w:color w:val="000000"/>
        </w:rPr>
      </w:pPr>
      <w:r>
        <w:rPr>
          <w:color w:val="000000"/>
        </w:rPr>
        <w:t>122.</w:t>
      </w:r>
      <w:r>
        <w:rPr>
          <w:color w:val="000000"/>
        </w:rPr>
        <w:tab/>
      </w:r>
      <w:r>
        <w:rPr>
          <w:rFonts w:hint="eastAsia"/>
          <w:color w:val="000000"/>
        </w:rPr>
        <w:t>关于</w:t>
      </w:r>
      <w:r>
        <w:rPr>
          <w:rFonts w:hint="eastAsia"/>
          <w:color w:val="000000"/>
        </w:rPr>
        <w:t>7</w:t>
      </w:r>
      <w:r>
        <w:rPr>
          <w:rFonts w:hint="eastAsia"/>
          <w:color w:val="000000"/>
        </w:rPr>
        <w:t>项核心人权条约及其附加议定书的相关信息，请参见附件二。附件三提到了东帝汶作为缔约国的其他条约。然而，在亚太地区，目前没有东帝汶可以加入的区域性人权条约。</w:t>
      </w:r>
      <w:r>
        <w:rPr>
          <w:rFonts w:hint="eastAsia"/>
          <w:color w:val="000000"/>
        </w:rPr>
        <w:t>2005</w:t>
      </w:r>
      <w:r>
        <w:rPr>
          <w:rFonts w:hint="eastAsia"/>
          <w:color w:val="000000"/>
        </w:rPr>
        <w:t>年年中，东帝汶成了东盟区域论坛</w:t>
      </w:r>
      <w:r>
        <w:rPr>
          <w:rStyle w:val="FootnoteReference"/>
          <w:color w:val="000000"/>
        </w:rPr>
        <w:footnoteReference w:id="75"/>
      </w:r>
      <w:r>
        <w:rPr>
          <w:rFonts w:hint="eastAsia"/>
          <w:color w:val="000000"/>
        </w:rPr>
        <w:t>的成员，希望在今后五年内加入东盟。</w:t>
      </w:r>
      <w:r>
        <w:rPr>
          <w:rStyle w:val="FootnoteReference"/>
          <w:color w:val="000000"/>
        </w:rPr>
        <w:footnoteReference w:id="76"/>
      </w:r>
      <w:r>
        <w:rPr>
          <w:rFonts w:hint="eastAsia"/>
          <w:color w:val="000000"/>
        </w:rPr>
        <w:t>对于该地区出现的任何人权条约，东帝汶都将表示支持。东帝汶还将定期参与由人权事务高级专员办事处为该地区各国政府所举行的年度会议，以加强该地区在保护和促进人权方面的合作。</w:t>
      </w:r>
    </w:p>
    <w:p w:rsidR="00692915" w:rsidRDefault="00692915">
      <w:pPr>
        <w:pStyle w:val="Heading2"/>
        <w:tabs>
          <w:tab w:val="left" w:pos="1170"/>
        </w:tabs>
        <w:rPr>
          <w:rFonts w:hint="eastAsia"/>
          <w:color w:val="000000"/>
          <w:sz w:val="24"/>
        </w:rPr>
      </w:pPr>
      <w:r>
        <w:rPr>
          <w:color w:val="000000"/>
          <w:sz w:val="24"/>
        </w:rPr>
        <w:t>B.</w:t>
      </w:r>
      <w:r>
        <w:rPr>
          <w:rFonts w:hint="eastAsia"/>
          <w:color w:val="000000"/>
          <w:sz w:val="24"/>
        </w:rPr>
        <w:t xml:space="preserve"> </w:t>
      </w:r>
      <w:r>
        <w:rPr>
          <w:rFonts w:hint="eastAsia"/>
          <w:color w:val="000000"/>
          <w:sz w:val="24"/>
          <w:u w:val="single"/>
        </w:rPr>
        <w:t>保护人权的总体法律体系</w:t>
      </w:r>
    </w:p>
    <w:p w:rsidR="00692915" w:rsidRDefault="00692915">
      <w:pPr>
        <w:pStyle w:val="Heading2"/>
        <w:tabs>
          <w:tab w:val="left" w:pos="1170"/>
        </w:tabs>
        <w:jc w:val="both"/>
        <w:rPr>
          <w:rFonts w:hint="eastAsia"/>
          <w:color w:val="000000"/>
          <w:sz w:val="24"/>
        </w:rPr>
      </w:pPr>
      <w:bookmarkStart w:id="33" w:name="_Toc150514917"/>
      <w:bookmarkStart w:id="34" w:name="_Toc150684818"/>
      <w:r>
        <w:rPr>
          <w:color w:val="000000"/>
          <w:sz w:val="24"/>
        </w:rPr>
        <w:t xml:space="preserve">1.  </w:t>
      </w:r>
      <w:bookmarkEnd w:id="33"/>
      <w:bookmarkEnd w:id="34"/>
      <w:r>
        <w:rPr>
          <w:rFonts w:hint="eastAsia"/>
          <w:color w:val="000000"/>
          <w:sz w:val="24"/>
          <w:u w:val="single"/>
        </w:rPr>
        <w:t>国内适用的权利</w:t>
      </w:r>
      <w:r>
        <w:rPr>
          <w:rFonts w:hint="eastAsia"/>
          <w:color w:val="000000"/>
          <w:sz w:val="24"/>
          <w:u w:val="single"/>
        </w:rPr>
        <w:t xml:space="preserve"> </w:t>
      </w:r>
    </w:p>
    <w:p w:rsidR="00692915" w:rsidRDefault="00692915" w:rsidP="009A1C1B">
      <w:pPr>
        <w:tabs>
          <w:tab w:val="left" w:pos="1170"/>
        </w:tabs>
        <w:ind w:firstLine="31680"/>
        <w:rPr>
          <w:rFonts w:hint="eastAsia"/>
          <w:color w:val="000000"/>
        </w:rPr>
      </w:pPr>
      <w:r>
        <w:rPr>
          <w:color w:val="000000"/>
        </w:rPr>
        <w:t>123.</w:t>
      </w:r>
      <w:r>
        <w:rPr>
          <w:color w:val="000000"/>
        </w:rPr>
        <w:tab/>
      </w:r>
      <w:r>
        <w:rPr>
          <w:rFonts w:hint="eastAsia"/>
          <w:color w:val="000000"/>
        </w:rPr>
        <w:t>根据《宪法》第</w:t>
      </w:r>
      <w:r>
        <w:rPr>
          <w:rFonts w:hint="eastAsia"/>
          <w:color w:val="000000"/>
        </w:rPr>
        <w:t>9</w:t>
      </w:r>
      <w:r>
        <w:rPr>
          <w:rFonts w:hint="eastAsia"/>
          <w:color w:val="000000"/>
        </w:rPr>
        <w:t>条规定，东帝汶签署的所有国际公约、条约和协定都是其国内法的一部分。这自然包括各项核心人权条约。根据《宪法》规定，任何有违这类国际条约的规定都是无效的。将各项人权条约纳入东帝汶国内法是全面实现国际人权标准的重要一步。</w:t>
      </w:r>
    </w:p>
    <w:p w:rsidR="00692915" w:rsidRDefault="00692915" w:rsidP="009A1C1B">
      <w:pPr>
        <w:tabs>
          <w:tab w:val="left" w:pos="1170"/>
        </w:tabs>
        <w:ind w:firstLine="31680"/>
        <w:rPr>
          <w:rFonts w:hint="eastAsia"/>
          <w:color w:val="000000"/>
        </w:rPr>
      </w:pPr>
      <w:r>
        <w:rPr>
          <w:color w:val="000000"/>
        </w:rPr>
        <w:t>124.</w:t>
      </w:r>
      <w:r>
        <w:rPr>
          <w:color w:val="000000"/>
        </w:rPr>
        <w:tab/>
      </w:r>
      <w:r>
        <w:rPr>
          <w:rFonts w:hint="eastAsia"/>
          <w:color w:val="000000"/>
        </w:rPr>
        <w:t>《宪法》第</w:t>
      </w:r>
      <w:r>
        <w:rPr>
          <w:rFonts w:hint="eastAsia"/>
          <w:color w:val="000000"/>
        </w:rPr>
        <w:t>23</w:t>
      </w:r>
      <w:r>
        <w:rPr>
          <w:rFonts w:hint="eastAsia"/>
          <w:color w:val="000000"/>
        </w:rPr>
        <w:t>条明确规定，庄严载入《宪法》的基本权利不应排除法律规定的任何其他权利，并且应根据《世界人权宣言》予以解释。</w:t>
      </w:r>
    </w:p>
    <w:p w:rsidR="00692915" w:rsidRDefault="00692915" w:rsidP="009A1C1B">
      <w:pPr>
        <w:tabs>
          <w:tab w:val="left" w:pos="1170"/>
        </w:tabs>
        <w:ind w:firstLine="31680"/>
        <w:rPr>
          <w:rFonts w:hint="eastAsia"/>
          <w:color w:val="000000"/>
        </w:rPr>
      </w:pPr>
      <w:r>
        <w:rPr>
          <w:color w:val="000000"/>
        </w:rPr>
        <w:t>125.</w:t>
      </w:r>
      <w:r>
        <w:rPr>
          <w:color w:val="000000"/>
        </w:rPr>
        <w:tab/>
      </w:r>
      <w:r>
        <w:rPr>
          <w:rFonts w:hint="eastAsia"/>
          <w:color w:val="000000"/>
        </w:rPr>
        <w:t>一方面，在一般情况下，权利适用于东帝汶的所有个人；另一方面，某些权利只适用于公民。只适用于公民的这类权利范围要比国际核心人权条约的范围更广。其中包括：</w:t>
      </w:r>
    </w:p>
    <w:p w:rsidR="00692915" w:rsidRDefault="00692915" w:rsidP="009A1C1B">
      <w:pPr>
        <w:numPr>
          <w:ilvl w:val="0"/>
          <w:numId w:val="17"/>
        </w:numPr>
        <w:tabs>
          <w:tab w:val="clear" w:pos="927"/>
          <w:tab w:val="num" w:pos="1690"/>
        </w:tabs>
        <w:ind w:leftChars="450" w:left="31680" w:hangingChars="200" w:firstLine="31680"/>
        <w:rPr>
          <w:color w:val="000000"/>
        </w:rPr>
      </w:pPr>
      <w:r>
        <w:rPr>
          <w:rFonts w:hint="eastAsia"/>
          <w:color w:val="000000"/>
        </w:rPr>
        <w:t>法律面前人人平等的权利；</w:t>
      </w:r>
      <w:r>
        <w:rPr>
          <w:rStyle w:val="FootnoteReference"/>
          <w:color w:val="000000"/>
        </w:rPr>
        <w:footnoteReference w:id="77"/>
      </w:r>
      <w:r>
        <w:rPr>
          <w:rFonts w:hint="eastAsia"/>
          <w:color w:val="000000"/>
        </w:rPr>
        <w:t xml:space="preserve"> </w:t>
      </w:r>
    </w:p>
    <w:p w:rsidR="00692915" w:rsidRDefault="00692915" w:rsidP="009A1C1B">
      <w:pPr>
        <w:numPr>
          <w:ilvl w:val="0"/>
          <w:numId w:val="17"/>
        </w:numPr>
        <w:tabs>
          <w:tab w:val="clear" w:pos="927"/>
          <w:tab w:val="num" w:pos="1690"/>
        </w:tabs>
        <w:ind w:leftChars="450" w:left="31680" w:hangingChars="200" w:firstLine="31680"/>
        <w:rPr>
          <w:rFonts w:hint="eastAsia"/>
          <w:color w:val="000000"/>
        </w:rPr>
      </w:pPr>
      <w:r>
        <w:rPr>
          <w:rFonts w:hint="eastAsia"/>
          <w:color w:val="000000"/>
        </w:rPr>
        <w:t>长者受国家保护的权利；</w:t>
      </w:r>
      <w:r>
        <w:rPr>
          <w:color w:val="000000"/>
          <w:vertAlign w:val="superscript"/>
        </w:rPr>
        <w:footnoteReference w:id="78"/>
      </w:r>
    </w:p>
    <w:p w:rsidR="00692915" w:rsidRDefault="00692915" w:rsidP="009A1C1B">
      <w:pPr>
        <w:numPr>
          <w:ilvl w:val="0"/>
          <w:numId w:val="17"/>
        </w:numPr>
        <w:tabs>
          <w:tab w:val="clear" w:pos="927"/>
          <w:tab w:val="num" w:pos="1690"/>
        </w:tabs>
        <w:ind w:leftChars="450" w:left="31680" w:hangingChars="200" w:firstLine="31680"/>
        <w:rPr>
          <w:rFonts w:hint="eastAsia"/>
          <w:color w:val="000000"/>
        </w:rPr>
      </w:pPr>
      <w:r>
        <w:rPr>
          <w:rFonts w:hint="eastAsia"/>
          <w:color w:val="000000"/>
        </w:rPr>
        <w:t>残疾人享有平等和受保护的权利；</w:t>
      </w:r>
      <w:r>
        <w:rPr>
          <w:color w:val="000000"/>
          <w:vertAlign w:val="superscript"/>
        </w:rPr>
        <w:footnoteReference w:id="79"/>
      </w:r>
    </w:p>
    <w:p w:rsidR="00692915" w:rsidRDefault="00692915" w:rsidP="009A1C1B">
      <w:pPr>
        <w:numPr>
          <w:ilvl w:val="0"/>
          <w:numId w:val="17"/>
        </w:numPr>
        <w:tabs>
          <w:tab w:val="clear" w:pos="927"/>
          <w:tab w:val="num" w:pos="1690"/>
        </w:tabs>
        <w:ind w:leftChars="450" w:left="31680" w:hangingChars="200" w:firstLine="31680"/>
        <w:rPr>
          <w:color w:val="000000"/>
        </w:rPr>
      </w:pPr>
      <w:r>
        <w:rPr>
          <w:rFonts w:hint="eastAsia"/>
          <w:color w:val="000000"/>
        </w:rPr>
        <w:t>海外东帝汶公民受国家保护的权利；</w:t>
      </w:r>
      <w:r>
        <w:rPr>
          <w:color w:val="000000"/>
          <w:vertAlign w:val="superscript"/>
        </w:rPr>
        <w:footnoteReference w:id="80"/>
      </w:r>
      <w:r>
        <w:rPr>
          <w:rFonts w:hint="eastAsia"/>
          <w:color w:val="000000"/>
        </w:rPr>
        <w:t xml:space="preserve"> </w:t>
      </w:r>
    </w:p>
    <w:p w:rsidR="00692915" w:rsidRDefault="00692915" w:rsidP="009A1C1B">
      <w:pPr>
        <w:numPr>
          <w:ilvl w:val="0"/>
          <w:numId w:val="17"/>
        </w:numPr>
        <w:tabs>
          <w:tab w:val="clear" w:pos="927"/>
          <w:tab w:val="num" w:pos="1690"/>
        </w:tabs>
        <w:ind w:leftChars="450" w:left="31680" w:hangingChars="200" w:firstLine="31680"/>
        <w:rPr>
          <w:rFonts w:hint="eastAsia"/>
          <w:color w:val="000000"/>
        </w:rPr>
      </w:pPr>
      <w:r>
        <w:rPr>
          <w:rFonts w:hint="eastAsia"/>
          <w:color w:val="000000"/>
        </w:rPr>
        <w:t>向监察员申诉的权利；</w:t>
      </w:r>
      <w:r>
        <w:rPr>
          <w:color w:val="000000"/>
          <w:vertAlign w:val="superscript"/>
        </w:rPr>
        <w:footnoteReference w:id="81"/>
      </w:r>
      <w:r>
        <w:rPr>
          <w:rFonts w:hint="eastAsia"/>
          <w:color w:val="000000"/>
        </w:rPr>
        <w:t xml:space="preserve"> </w:t>
      </w:r>
    </w:p>
    <w:p w:rsidR="00692915" w:rsidRDefault="00692915" w:rsidP="009A1C1B">
      <w:pPr>
        <w:numPr>
          <w:ilvl w:val="0"/>
          <w:numId w:val="17"/>
        </w:numPr>
        <w:tabs>
          <w:tab w:val="clear" w:pos="927"/>
          <w:tab w:val="num" w:pos="1690"/>
        </w:tabs>
        <w:ind w:leftChars="450" w:left="31680" w:hangingChars="200" w:firstLine="31680"/>
        <w:rPr>
          <w:color w:val="000000"/>
        </w:rPr>
      </w:pPr>
      <w:r>
        <w:rPr>
          <w:rFonts w:hint="eastAsia"/>
          <w:color w:val="000000"/>
        </w:rPr>
        <w:t>对各种影响其基本权利和保障的非法指令，表示不服从和反抗的权利；</w:t>
      </w:r>
      <w:r>
        <w:rPr>
          <w:color w:val="000000"/>
          <w:vertAlign w:val="superscript"/>
        </w:rPr>
        <w:footnoteReference w:id="82"/>
      </w:r>
      <w:r>
        <w:rPr>
          <w:rFonts w:hint="eastAsia"/>
          <w:color w:val="000000"/>
        </w:rPr>
        <w:t xml:space="preserve"> </w:t>
      </w:r>
    </w:p>
    <w:p w:rsidR="00692915" w:rsidRDefault="00692915" w:rsidP="009A1C1B">
      <w:pPr>
        <w:numPr>
          <w:ilvl w:val="0"/>
          <w:numId w:val="17"/>
        </w:numPr>
        <w:tabs>
          <w:tab w:val="clear" w:pos="927"/>
          <w:tab w:val="num" w:pos="1690"/>
        </w:tabs>
        <w:ind w:leftChars="450" w:left="31680" w:hangingChars="200" w:firstLine="31680"/>
        <w:rPr>
          <w:color w:val="000000"/>
        </w:rPr>
      </w:pPr>
      <w:r>
        <w:rPr>
          <w:rFonts w:hint="eastAsia"/>
          <w:color w:val="000000"/>
        </w:rPr>
        <w:t>获取计算机系统内存储的个人数据的权利；</w:t>
      </w:r>
      <w:r>
        <w:rPr>
          <w:color w:val="000000"/>
          <w:vertAlign w:val="superscript"/>
        </w:rPr>
        <w:footnoteReference w:id="83"/>
      </w:r>
      <w:r>
        <w:rPr>
          <w:rFonts w:hint="eastAsia"/>
          <w:color w:val="000000"/>
        </w:rPr>
        <w:t xml:space="preserve"> </w:t>
      </w:r>
    </w:p>
    <w:p w:rsidR="00692915" w:rsidRDefault="00692915" w:rsidP="009A1C1B">
      <w:pPr>
        <w:numPr>
          <w:ilvl w:val="0"/>
          <w:numId w:val="17"/>
        </w:numPr>
        <w:tabs>
          <w:tab w:val="clear" w:pos="927"/>
          <w:tab w:val="num" w:pos="1690"/>
        </w:tabs>
        <w:ind w:leftChars="450" w:left="31680" w:hangingChars="200" w:firstLine="31680"/>
        <w:rPr>
          <w:color w:val="000000"/>
        </w:rPr>
      </w:pPr>
      <w:r>
        <w:rPr>
          <w:rFonts w:hint="eastAsia"/>
          <w:color w:val="000000"/>
        </w:rPr>
        <w:t>请愿、参政和投票的权利；</w:t>
      </w:r>
      <w:r>
        <w:rPr>
          <w:color w:val="000000"/>
          <w:vertAlign w:val="superscript"/>
        </w:rPr>
        <w:footnoteReference w:id="84"/>
      </w:r>
      <w:r>
        <w:rPr>
          <w:rFonts w:hint="eastAsia"/>
          <w:color w:val="000000"/>
        </w:rPr>
        <w:t xml:space="preserve"> </w:t>
      </w:r>
    </w:p>
    <w:p w:rsidR="00692915" w:rsidRDefault="00692915" w:rsidP="009A1C1B">
      <w:pPr>
        <w:numPr>
          <w:ilvl w:val="0"/>
          <w:numId w:val="17"/>
        </w:numPr>
        <w:tabs>
          <w:tab w:val="clear" w:pos="927"/>
          <w:tab w:val="num" w:pos="1690"/>
        </w:tabs>
        <w:ind w:leftChars="450" w:left="31680" w:hangingChars="200" w:firstLine="31680"/>
        <w:rPr>
          <w:color w:val="000000"/>
        </w:rPr>
      </w:pPr>
      <w:r>
        <w:rPr>
          <w:rFonts w:hint="eastAsia"/>
          <w:color w:val="000000"/>
        </w:rPr>
        <w:t>维护国家主权的权利和义务；</w:t>
      </w:r>
      <w:r>
        <w:rPr>
          <w:color w:val="000000"/>
          <w:vertAlign w:val="superscript"/>
        </w:rPr>
        <w:footnoteReference w:id="85"/>
      </w:r>
      <w:r>
        <w:rPr>
          <w:rFonts w:hint="eastAsia"/>
          <w:color w:val="000000"/>
        </w:rPr>
        <w:t xml:space="preserve"> </w:t>
      </w:r>
    </w:p>
    <w:p w:rsidR="00692915" w:rsidRDefault="00692915" w:rsidP="009A1C1B">
      <w:pPr>
        <w:numPr>
          <w:ilvl w:val="0"/>
          <w:numId w:val="17"/>
        </w:numPr>
        <w:tabs>
          <w:tab w:val="clear" w:pos="927"/>
          <w:tab w:val="num" w:pos="1690"/>
        </w:tabs>
        <w:ind w:leftChars="450" w:left="31680" w:hangingChars="200" w:firstLine="31680"/>
        <w:rPr>
          <w:color w:val="000000"/>
        </w:rPr>
      </w:pPr>
      <w:r>
        <w:rPr>
          <w:rFonts w:hint="eastAsia"/>
          <w:color w:val="000000"/>
        </w:rPr>
        <w:t>工作的权利；</w:t>
      </w:r>
      <w:r>
        <w:rPr>
          <w:color w:val="000000"/>
          <w:vertAlign w:val="superscript"/>
        </w:rPr>
        <w:footnoteReference w:id="86"/>
      </w:r>
      <w:r>
        <w:rPr>
          <w:rFonts w:hint="eastAsia"/>
          <w:color w:val="000000"/>
        </w:rPr>
        <w:t xml:space="preserve"> </w:t>
      </w:r>
      <w:r>
        <w:rPr>
          <w:rFonts w:hint="eastAsia"/>
          <w:color w:val="000000"/>
        </w:rPr>
        <w:t>以及</w:t>
      </w:r>
    </w:p>
    <w:p w:rsidR="00692915" w:rsidRDefault="00692915" w:rsidP="009A1C1B">
      <w:pPr>
        <w:numPr>
          <w:ilvl w:val="0"/>
          <w:numId w:val="17"/>
        </w:numPr>
        <w:tabs>
          <w:tab w:val="clear" w:pos="927"/>
          <w:tab w:val="num" w:pos="1690"/>
        </w:tabs>
        <w:spacing w:afterLines="50" w:after="180"/>
        <w:ind w:leftChars="450" w:left="31680" w:hangingChars="200" w:firstLine="31680"/>
        <w:rPr>
          <w:color w:val="000000"/>
        </w:rPr>
      </w:pPr>
      <w:r>
        <w:rPr>
          <w:rFonts w:hint="eastAsia"/>
          <w:color w:val="000000"/>
        </w:rPr>
        <w:t>受教育的权利和对文化的权利。</w:t>
      </w:r>
      <w:r>
        <w:rPr>
          <w:color w:val="000000"/>
          <w:vertAlign w:val="superscript"/>
        </w:rPr>
        <w:footnoteReference w:id="87"/>
      </w:r>
      <w:r>
        <w:rPr>
          <w:rFonts w:hint="eastAsia"/>
          <w:color w:val="000000"/>
        </w:rPr>
        <w:t xml:space="preserve"> </w:t>
      </w:r>
    </w:p>
    <w:p w:rsidR="00692915" w:rsidRDefault="00692915" w:rsidP="009A1C1B">
      <w:pPr>
        <w:tabs>
          <w:tab w:val="left" w:pos="1170"/>
        </w:tabs>
        <w:ind w:firstLine="31680"/>
        <w:rPr>
          <w:rFonts w:hint="eastAsia"/>
          <w:color w:val="000000"/>
        </w:rPr>
      </w:pPr>
      <w:r>
        <w:rPr>
          <w:color w:val="000000"/>
        </w:rPr>
        <w:t>126.</w:t>
      </w:r>
      <w:r>
        <w:rPr>
          <w:color w:val="000000"/>
        </w:rPr>
        <w:tab/>
      </w:r>
      <w:r>
        <w:rPr>
          <w:rFonts w:hint="eastAsia"/>
          <w:color w:val="000000"/>
        </w:rPr>
        <w:t>对公民和非公民之间进行这种区别，与受保护权利的性质与程度，以及这类权利对国家产生的互惠性义务有关。受保护权利和义务的性质决定它们只适用于那些与国家有着永久性直接关系的人员，以及那些对国家有贡献和与国家密不可分的人员。</w:t>
      </w:r>
    </w:p>
    <w:p w:rsidR="00692915" w:rsidRDefault="00692915" w:rsidP="009A1C1B">
      <w:pPr>
        <w:tabs>
          <w:tab w:val="left" w:pos="1170"/>
        </w:tabs>
        <w:ind w:firstLine="31680"/>
        <w:rPr>
          <w:rFonts w:hint="eastAsia"/>
          <w:color w:val="000000"/>
        </w:rPr>
      </w:pPr>
      <w:r>
        <w:rPr>
          <w:color w:val="000000"/>
        </w:rPr>
        <w:t>127.</w:t>
      </w:r>
      <w:r>
        <w:rPr>
          <w:rFonts w:hint="eastAsia"/>
          <w:color w:val="000000"/>
        </w:rPr>
        <w:tab/>
      </w:r>
      <w:r>
        <w:rPr>
          <w:rFonts w:hint="eastAsia"/>
          <w:color w:val="000000"/>
        </w:rPr>
        <w:t>《宪法》第</w:t>
      </w:r>
      <w:r>
        <w:rPr>
          <w:rFonts w:hint="eastAsia"/>
          <w:color w:val="000000"/>
        </w:rPr>
        <w:t>3</w:t>
      </w:r>
      <w:r>
        <w:rPr>
          <w:rFonts w:hint="eastAsia"/>
          <w:color w:val="000000"/>
        </w:rPr>
        <w:t>条明确规定，那些出生在东帝汶领土内，并且符合以下条件的个人为东帝汶的原始公民：</w:t>
      </w:r>
    </w:p>
    <w:p w:rsidR="00692915" w:rsidRDefault="00692915" w:rsidP="009A1C1B">
      <w:pPr>
        <w:numPr>
          <w:ilvl w:val="0"/>
          <w:numId w:val="17"/>
        </w:numPr>
        <w:tabs>
          <w:tab w:val="clear" w:pos="927"/>
          <w:tab w:val="num" w:pos="1690"/>
        </w:tabs>
        <w:ind w:leftChars="450" w:left="31680" w:hangingChars="200" w:firstLine="31680"/>
        <w:rPr>
          <w:color w:val="000000"/>
        </w:rPr>
      </w:pPr>
      <w:r>
        <w:rPr>
          <w:rFonts w:hint="eastAsia"/>
          <w:color w:val="000000"/>
        </w:rPr>
        <w:t>其父亲和母亲出生在东帝汶；</w:t>
      </w:r>
      <w:r>
        <w:rPr>
          <w:rFonts w:hint="eastAsia"/>
          <w:color w:val="000000"/>
        </w:rPr>
        <w:t xml:space="preserve"> </w:t>
      </w:r>
    </w:p>
    <w:p w:rsidR="00692915" w:rsidRDefault="00692915" w:rsidP="009A1C1B">
      <w:pPr>
        <w:numPr>
          <w:ilvl w:val="0"/>
          <w:numId w:val="17"/>
        </w:numPr>
        <w:tabs>
          <w:tab w:val="clear" w:pos="927"/>
          <w:tab w:val="num" w:pos="1690"/>
        </w:tabs>
        <w:ind w:leftChars="450" w:left="31680" w:hangingChars="200" w:firstLine="31680"/>
        <w:rPr>
          <w:rFonts w:hint="eastAsia"/>
          <w:color w:val="000000"/>
        </w:rPr>
      </w:pPr>
      <w:r>
        <w:rPr>
          <w:rFonts w:hint="eastAsia"/>
          <w:color w:val="000000"/>
        </w:rPr>
        <w:t>其父母下落不明、无国籍或国籍不明；</w:t>
      </w:r>
    </w:p>
    <w:p w:rsidR="00692915" w:rsidRDefault="00692915" w:rsidP="009A1C1B">
      <w:pPr>
        <w:numPr>
          <w:ilvl w:val="0"/>
          <w:numId w:val="17"/>
        </w:numPr>
        <w:tabs>
          <w:tab w:val="clear" w:pos="927"/>
          <w:tab w:val="num" w:pos="1690"/>
        </w:tabs>
        <w:spacing w:afterLines="50" w:after="180"/>
        <w:ind w:leftChars="450" w:left="31680" w:hangingChars="200" w:firstLine="31680"/>
        <w:rPr>
          <w:color w:val="000000"/>
        </w:rPr>
      </w:pPr>
      <w:r>
        <w:rPr>
          <w:rFonts w:hint="eastAsia"/>
          <w:color w:val="000000"/>
        </w:rPr>
        <w:t>其父亲或母亲为</w:t>
      </w:r>
      <w:r>
        <w:rPr>
          <w:rFonts w:hint="eastAsia"/>
          <w:color w:val="000000"/>
        </w:rPr>
        <w:t>17</w:t>
      </w:r>
      <w:r>
        <w:rPr>
          <w:rFonts w:hint="eastAsia"/>
          <w:color w:val="000000"/>
        </w:rPr>
        <w:t>岁以上的外国人，并且宣称愿意加入东帝汶国籍。</w:t>
      </w:r>
      <w:r>
        <w:rPr>
          <w:rFonts w:hint="eastAsia"/>
          <w:color w:val="000000"/>
        </w:rPr>
        <w:t xml:space="preserve"> </w:t>
      </w:r>
    </w:p>
    <w:p w:rsidR="00692915" w:rsidRDefault="00692915" w:rsidP="009A1C1B">
      <w:pPr>
        <w:tabs>
          <w:tab w:val="left" w:pos="1170"/>
        </w:tabs>
        <w:spacing w:after="240"/>
        <w:ind w:firstLine="31680"/>
        <w:rPr>
          <w:rFonts w:hint="eastAsia"/>
          <w:color w:val="000000"/>
        </w:rPr>
      </w:pPr>
      <w:r>
        <w:rPr>
          <w:rFonts w:hint="eastAsia"/>
          <w:color w:val="000000"/>
        </w:rPr>
        <w:t>出生在国外，但其父亲或母亲为东帝汶国籍的儿童也属于东帝汶的公民（见下文第三节第</w:t>
      </w:r>
      <w:r>
        <w:rPr>
          <w:color w:val="000000"/>
        </w:rPr>
        <w:t>C.1</w:t>
      </w:r>
      <w:r>
        <w:rPr>
          <w:rFonts w:hint="eastAsia"/>
          <w:color w:val="000000"/>
        </w:rPr>
        <w:t>部分关于国籍权利的内容）。</w:t>
      </w:r>
    </w:p>
    <w:p w:rsidR="00692915" w:rsidRDefault="00692915" w:rsidP="009A1C1B">
      <w:pPr>
        <w:tabs>
          <w:tab w:val="left" w:pos="1170"/>
        </w:tabs>
        <w:ind w:firstLine="31680"/>
        <w:rPr>
          <w:rFonts w:hint="eastAsia"/>
          <w:color w:val="000000"/>
        </w:rPr>
      </w:pPr>
      <w:r>
        <w:rPr>
          <w:color w:val="000000"/>
        </w:rPr>
        <w:t>128.</w:t>
      </w:r>
      <w:r>
        <w:rPr>
          <w:color w:val="000000"/>
        </w:rPr>
        <w:tab/>
      </w:r>
      <w:r>
        <w:rPr>
          <w:rFonts w:hint="eastAsia"/>
          <w:color w:val="000000"/>
        </w:rPr>
        <w:t>除了《宪法》规定外，国家的各种立法方案也对促进和保护人权问题做了进一步规定。</w:t>
      </w:r>
    </w:p>
    <w:p w:rsidR="00692915" w:rsidRDefault="00692915" w:rsidP="009A1C1B">
      <w:pPr>
        <w:tabs>
          <w:tab w:val="left" w:pos="1170"/>
        </w:tabs>
        <w:ind w:firstLine="31680"/>
        <w:rPr>
          <w:rFonts w:hint="eastAsia"/>
          <w:color w:val="000000"/>
        </w:rPr>
      </w:pPr>
      <w:r>
        <w:rPr>
          <w:color w:val="000000"/>
        </w:rPr>
        <w:t>129.</w:t>
      </w:r>
      <w:r>
        <w:rPr>
          <w:color w:val="000000"/>
        </w:rPr>
        <w:tab/>
      </w:r>
      <w:r>
        <w:rPr>
          <w:rFonts w:hint="eastAsia"/>
          <w:color w:val="000000"/>
          <w:spacing w:val="8"/>
        </w:rPr>
        <w:t>为建立关键的民主制度，维护程序性及行政性权益保障措施，已出台了一系列的新法律。其中包括：《人权与正义监察员办公室条例》；</w:t>
      </w:r>
      <w:r>
        <w:rPr>
          <w:rStyle w:val="FootnoteReference"/>
          <w:color w:val="000000"/>
          <w:spacing w:val="8"/>
        </w:rPr>
        <w:footnoteReference w:id="88"/>
      </w:r>
      <w:r>
        <w:rPr>
          <w:rFonts w:hint="eastAsia"/>
          <w:color w:val="000000"/>
          <w:spacing w:val="8"/>
        </w:rPr>
        <w:t>《东帝汶国家警察组织法》（据此成立了职业道德操守办公室）；</w:t>
      </w:r>
      <w:r>
        <w:rPr>
          <w:rStyle w:val="FootnoteReference"/>
          <w:color w:val="000000"/>
          <w:spacing w:val="8"/>
        </w:rPr>
        <w:footnoteReference w:id="89"/>
      </w:r>
      <w:r>
        <w:rPr>
          <w:rFonts w:hint="eastAsia"/>
          <w:color w:val="000000"/>
          <w:spacing w:val="8"/>
        </w:rPr>
        <w:t>《东帝汶武装部队组织法》；</w:t>
      </w:r>
      <w:r>
        <w:rPr>
          <w:rStyle w:val="FootnoteReference"/>
          <w:color w:val="000000"/>
          <w:spacing w:val="8"/>
        </w:rPr>
        <w:footnoteReference w:id="90"/>
      </w:r>
      <w:r>
        <w:rPr>
          <w:rFonts w:hint="eastAsia"/>
          <w:color w:val="000000"/>
          <w:spacing w:val="8"/>
        </w:rPr>
        <w:t xml:space="preserve">       </w:t>
      </w:r>
      <w:r>
        <w:rPr>
          <w:rFonts w:hint="eastAsia"/>
          <w:color w:val="000000"/>
        </w:rPr>
        <w:t>《东帝汶过渡当局关于建立东帝汶法律援助服务处的条例》；东帝汶过渡当局关于建立接纳、真相与和解委员会的条例》；</w:t>
      </w:r>
      <w:r>
        <w:rPr>
          <w:rStyle w:val="FootnoteReference"/>
          <w:color w:val="000000"/>
        </w:rPr>
        <w:footnoteReference w:id="91"/>
      </w:r>
      <w:r>
        <w:rPr>
          <w:rFonts w:hint="eastAsia"/>
          <w:color w:val="000000"/>
        </w:rPr>
        <w:t>关于政党以及乡长和乡委会选举的各种法律。</w:t>
      </w:r>
      <w:r>
        <w:rPr>
          <w:rStyle w:val="FootnoteReference"/>
          <w:color w:val="000000"/>
        </w:rPr>
        <w:footnoteReference w:id="92"/>
      </w:r>
    </w:p>
    <w:p w:rsidR="00692915" w:rsidRDefault="00692915" w:rsidP="009A1C1B">
      <w:pPr>
        <w:tabs>
          <w:tab w:val="left" w:pos="1170"/>
        </w:tabs>
        <w:spacing w:afterLines="50" w:after="180"/>
        <w:ind w:firstLine="31680"/>
        <w:rPr>
          <w:rFonts w:hint="eastAsia"/>
          <w:color w:val="000000"/>
        </w:rPr>
      </w:pPr>
      <w:r>
        <w:rPr>
          <w:color w:val="000000"/>
        </w:rPr>
        <w:t>130.</w:t>
      </w:r>
      <w:r>
        <w:rPr>
          <w:color w:val="000000"/>
        </w:rPr>
        <w:tab/>
      </w:r>
      <w:r>
        <w:rPr>
          <w:rFonts w:hint="eastAsia"/>
          <w:color w:val="000000"/>
        </w:rPr>
        <w:t>最近还通过了《刑事诉讼法》、《民事诉讼法》、《健康法》和其他重要立法，这些法律旨在为各种重要的程序性权益保障措施和实质性权利（包括健康权和投票权）赋予效力或提供保护。最近正在准备的其他立法规定将从多个方面进一步扩大权利保护的立法框架，其中包括：《反家庭暴力法》、《教育法案》、《民法》、业经修订的《就业法》和《儿童法》。目前，其中很多立法还只是草案。</w:t>
      </w:r>
    </w:p>
    <w:p w:rsidR="00692915" w:rsidRDefault="00692915" w:rsidP="009A1C1B">
      <w:pPr>
        <w:tabs>
          <w:tab w:val="left" w:pos="1170"/>
        </w:tabs>
        <w:ind w:firstLine="31680"/>
        <w:rPr>
          <w:rFonts w:hint="eastAsia"/>
          <w:color w:val="000000"/>
        </w:rPr>
      </w:pPr>
      <w:r>
        <w:rPr>
          <w:color w:val="000000"/>
        </w:rPr>
        <w:t>131.</w:t>
      </w:r>
      <w:r>
        <w:rPr>
          <w:color w:val="000000"/>
        </w:rPr>
        <w:tab/>
      </w:r>
      <w:r>
        <w:rPr>
          <w:rFonts w:hint="eastAsia"/>
          <w:color w:val="000000"/>
        </w:rPr>
        <w:t>随着这些法律和其他重要法律的通过，关键问题将是确保这些法律有效为社会服务，以切实实现其预期目标。</w:t>
      </w:r>
    </w:p>
    <w:p w:rsidR="00692915" w:rsidRDefault="00692915" w:rsidP="009A1C1B">
      <w:pPr>
        <w:tabs>
          <w:tab w:val="left" w:pos="1170"/>
        </w:tabs>
        <w:ind w:firstLine="31680"/>
        <w:rPr>
          <w:rFonts w:hint="eastAsia"/>
          <w:color w:val="000000"/>
        </w:rPr>
      </w:pPr>
      <w:r>
        <w:rPr>
          <w:color w:val="000000"/>
        </w:rPr>
        <w:t>132.</w:t>
      </w:r>
      <w:r>
        <w:rPr>
          <w:color w:val="000000"/>
        </w:rPr>
        <w:tab/>
      </w:r>
      <w:r>
        <w:rPr>
          <w:rFonts w:hint="eastAsia"/>
          <w:color w:val="000000"/>
        </w:rPr>
        <w:t>除了《宪法》和法律框架外，政府已经致力于各种发展举措，以促进其他关键领域的发展，尤其是强化司法部门的作用、减少贫困和食品不安全问题、提高医疗和教育水平。</w:t>
      </w:r>
    </w:p>
    <w:p w:rsidR="00692915" w:rsidRDefault="00692915" w:rsidP="009A1C1B">
      <w:pPr>
        <w:tabs>
          <w:tab w:val="left" w:pos="1170"/>
        </w:tabs>
        <w:ind w:firstLine="31680"/>
        <w:rPr>
          <w:rFonts w:hint="eastAsia"/>
          <w:color w:val="000000"/>
        </w:rPr>
      </w:pPr>
      <w:r>
        <w:rPr>
          <w:color w:val="000000"/>
        </w:rPr>
        <w:t>133.</w:t>
      </w:r>
      <w:r>
        <w:rPr>
          <w:color w:val="000000"/>
        </w:rPr>
        <w:tab/>
      </w:r>
      <w:r>
        <w:rPr>
          <w:rFonts w:hint="eastAsia"/>
          <w:color w:val="000000"/>
        </w:rPr>
        <w:t>在《国家发展计划》（</w:t>
      </w:r>
      <w:r>
        <w:rPr>
          <w:rFonts w:hint="eastAsia"/>
          <w:color w:val="000000"/>
        </w:rPr>
        <w:t>NDP</w:t>
      </w:r>
      <w:r>
        <w:rPr>
          <w:rFonts w:hint="eastAsia"/>
          <w:color w:val="000000"/>
        </w:rPr>
        <w:t>）的指导下，政府正在迈向发展的道路，当然，目前还只是刚刚起步。《国家发展计划》的关键领域是：</w:t>
      </w:r>
    </w:p>
    <w:p w:rsidR="00692915" w:rsidRDefault="00692915" w:rsidP="009A1C1B">
      <w:pPr>
        <w:numPr>
          <w:ilvl w:val="0"/>
          <w:numId w:val="17"/>
        </w:numPr>
        <w:tabs>
          <w:tab w:val="clear" w:pos="927"/>
          <w:tab w:val="num" w:pos="1690"/>
        </w:tabs>
        <w:ind w:leftChars="450" w:left="31680" w:hangingChars="200" w:firstLine="31680"/>
        <w:rPr>
          <w:rFonts w:hint="eastAsia"/>
          <w:color w:val="000000"/>
        </w:rPr>
      </w:pPr>
      <w:r>
        <w:rPr>
          <w:rFonts w:hint="eastAsia"/>
          <w:color w:val="000000"/>
        </w:rPr>
        <w:t>减少国家各部门和各地区的贫困；以及</w:t>
      </w:r>
    </w:p>
    <w:p w:rsidR="00692915" w:rsidRDefault="00692915" w:rsidP="009A1C1B">
      <w:pPr>
        <w:numPr>
          <w:ilvl w:val="0"/>
          <w:numId w:val="17"/>
        </w:numPr>
        <w:tabs>
          <w:tab w:val="clear" w:pos="927"/>
          <w:tab w:val="num" w:pos="1690"/>
        </w:tabs>
        <w:spacing w:after="240"/>
        <w:ind w:leftChars="450" w:left="31680" w:hangingChars="200" w:firstLine="31680"/>
        <w:rPr>
          <w:color w:val="000000"/>
        </w:rPr>
      </w:pPr>
      <w:r>
        <w:rPr>
          <w:rFonts w:hint="eastAsia"/>
          <w:color w:val="000000"/>
        </w:rPr>
        <w:t>促进经济增长，支助减少贫困，确保可持续的生计和提高福利水平。</w:t>
      </w:r>
      <w:r>
        <w:rPr>
          <w:rFonts w:hint="eastAsia"/>
          <w:color w:val="000000"/>
        </w:rPr>
        <w:t xml:space="preserve">  </w:t>
      </w:r>
    </w:p>
    <w:p w:rsidR="00692915" w:rsidRDefault="00692915" w:rsidP="009A1C1B">
      <w:pPr>
        <w:tabs>
          <w:tab w:val="left" w:pos="1170"/>
        </w:tabs>
        <w:ind w:firstLine="31680"/>
        <w:rPr>
          <w:rFonts w:hint="eastAsia"/>
          <w:color w:val="000000"/>
        </w:rPr>
      </w:pPr>
      <w:r>
        <w:rPr>
          <w:color w:val="000000"/>
        </w:rPr>
        <w:t>134.</w:t>
      </w:r>
      <w:r>
        <w:rPr>
          <w:color w:val="000000"/>
        </w:rPr>
        <w:tab/>
      </w:r>
      <w:r>
        <w:rPr>
          <w:rFonts w:hint="eastAsia"/>
          <w:color w:val="000000"/>
        </w:rPr>
        <w:t>政府已经做出共同努力，以加强政策制订与方案之间的联系，实现《国家发展计划》的目的和目标，增强为实现这些目标分配年度预算的能力，提高指导水平促进发展伙伴对重点项目的援助。</w:t>
      </w:r>
      <w:r>
        <w:rPr>
          <w:rFonts w:hint="eastAsia"/>
          <w:color w:val="000000"/>
        </w:rPr>
        <w:t>2003</w:t>
      </w:r>
      <w:r>
        <w:rPr>
          <w:rFonts w:hint="eastAsia"/>
          <w:color w:val="000000"/>
        </w:rPr>
        <w:t>年</w:t>
      </w:r>
      <w:r>
        <w:rPr>
          <w:rFonts w:hint="eastAsia"/>
          <w:color w:val="000000"/>
        </w:rPr>
        <w:t>8</w:t>
      </w:r>
      <w:r>
        <w:rPr>
          <w:rFonts w:hint="eastAsia"/>
          <w:color w:val="000000"/>
        </w:rPr>
        <w:t>月，国家推出了《部门投资方案》（</w:t>
      </w:r>
      <w:r>
        <w:rPr>
          <w:rFonts w:hint="eastAsia"/>
          <w:color w:val="000000"/>
        </w:rPr>
        <w:t>SIP</w:t>
      </w:r>
      <w:r>
        <w:rPr>
          <w:rFonts w:hint="eastAsia"/>
          <w:color w:val="000000"/>
        </w:rPr>
        <w:t>），这是加强能力建设的另一举措，有助于确定各种有助于将政策、方案和支出联系起来的部门框架，从而为部门内部和部门之间的重点支出项目提供指导。</w:t>
      </w:r>
    </w:p>
    <w:p w:rsidR="00692915" w:rsidRDefault="00692915" w:rsidP="009A1C1B">
      <w:pPr>
        <w:tabs>
          <w:tab w:val="left" w:pos="1170"/>
        </w:tabs>
        <w:ind w:firstLine="31680"/>
        <w:rPr>
          <w:rFonts w:hint="eastAsia"/>
          <w:color w:val="000000"/>
        </w:rPr>
      </w:pPr>
      <w:r>
        <w:rPr>
          <w:color w:val="000000"/>
        </w:rPr>
        <w:t>135.</w:t>
      </w:r>
      <w:r>
        <w:rPr>
          <w:color w:val="000000"/>
        </w:rPr>
        <w:tab/>
      </w:r>
      <w:r>
        <w:rPr>
          <w:rFonts w:hint="eastAsia"/>
          <w:color w:val="000000"/>
        </w:rPr>
        <w:t>从总体上来说，政府发展议程的目标远大，涉及面广。《部门投资方案》和《年度行动计划》对政府发展议程的政策、方案和支出做出了明确规定，这表明政府在保护和促进人权方面所下的决心</w:t>
      </w:r>
      <w:r>
        <w:rPr>
          <w:rFonts w:ascii="SimHei" w:eastAsia="SimHei" w:hint="eastAsia"/>
          <w:color w:val="000000"/>
          <w:spacing w:val="0"/>
        </w:rPr>
        <w:t>——</w:t>
      </w:r>
      <w:r>
        <w:rPr>
          <w:rFonts w:hint="eastAsia"/>
          <w:color w:val="000000"/>
        </w:rPr>
        <w:t>为促进政府在民事、政治、经济、社会和文化权利方面的义务，政府已做出了很多努力。政府出台了各种以权利为本的远景规划，如：制定了各种计划以确保：司法管理的透明度和正当程序；在</w:t>
      </w:r>
      <w:r>
        <w:rPr>
          <w:rFonts w:hint="eastAsia"/>
          <w:color w:val="000000"/>
        </w:rPr>
        <w:t>2015</w:t>
      </w:r>
      <w:r>
        <w:rPr>
          <w:rFonts w:hint="eastAsia"/>
          <w:color w:val="000000"/>
        </w:rPr>
        <w:t>年前，对所有小学适龄儿童实行免费教育，提高最边远地区儿童的入学水平；降低目前居高不下的总死亡率；大幅提高全国基本医疗服务的覆盖水平；让更多的城乡家庭能够用上清洁和安全的饮用水等。《共同核心文件》（</w:t>
      </w:r>
      <w:r>
        <w:rPr>
          <w:color w:val="000000"/>
        </w:rPr>
        <w:t>CCD</w:t>
      </w:r>
      <w:r>
        <w:rPr>
          <w:rFonts w:hint="eastAsia"/>
          <w:color w:val="000000"/>
        </w:rPr>
        <w:t>）的各个部分以及有关条约的专门文件都对这类计划的性质做了详细说明。有关人权与发展的第二节第</w:t>
      </w:r>
      <w:r>
        <w:rPr>
          <w:color w:val="000000"/>
        </w:rPr>
        <w:t>C.8</w:t>
      </w:r>
      <w:r>
        <w:rPr>
          <w:rFonts w:hint="eastAsia"/>
          <w:color w:val="000000"/>
        </w:rPr>
        <w:t>部分也对此进行了讨论。</w:t>
      </w:r>
    </w:p>
    <w:p w:rsidR="00692915" w:rsidRDefault="00692915" w:rsidP="009A1C1B">
      <w:pPr>
        <w:tabs>
          <w:tab w:val="left" w:pos="1170"/>
        </w:tabs>
        <w:spacing w:afterLines="50" w:after="180"/>
        <w:ind w:firstLine="31680"/>
        <w:rPr>
          <w:rFonts w:hint="eastAsia"/>
          <w:color w:val="000000"/>
        </w:rPr>
      </w:pPr>
      <w:r>
        <w:rPr>
          <w:color w:val="000000"/>
        </w:rPr>
        <w:t>136.</w:t>
      </w:r>
      <w:r>
        <w:rPr>
          <w:color w:val="000000"/>
        </w:rPr>
        <w:tab/>
      </w:r>
      <w:r>
        <w:rPr>
          <w:rFonts w:hint="eastAsia"/>
          <w:color w:val="000000"/>
        </w:rPr>
        <w:t>与立法一样，未来面临的艰难挑战是：超越政策框架，切实实现政府所确定的宏伟发展目标。</w:t>
      </w:r>
    </w:p>
    <w:p w:rsidR="00692915" w:rsidRDefault="00692915">
      <w:pPr>
        <w:pStyle w:val="Heading2"/>
        <w:tabs>
          <w:tab w:val="left" w:pos="1170"/>
        </w:tabs>
        <w:jc w:val="both"/>
        <w:rPr>
          <w:rFonts w:hint="eastAsia"/>
          <w:color w:val="000000"/>
          <w:sz w:val="24"/>
        </w:rPr>
      </w:pPr>
      <w:bookmarkStart w:id="35" w:name="_Toc150514918"/>
      <w:bookmarkStart w:id="36" w:name="_Toc150684819"/>
      <w:r>
        <w:rPr>
          <w:color w:val="000000"/>
          <w:sz w:val="24"/>
        </w:rPr>
        <w:t xml:space="preserve">2.  </w:t>
      </w:r>
      <w:bookmarkEnd w:id="35"/>
      <w:bookmarkEnd w:id="36"/>
      <w:r>
        <w:rPr>
          <w:rFonts w:hint="eastAsia"/>
          <w:color w:val="000000"/>
          <w:sz w:val="24"/>
          <w:u w:val="single"/>
        </w:rPr>
        <w:t>权利限制</w:t>
      </w:r>
    </w:p>
    <w:p w:rsidR="00692915" w:rsidRDefault="00692915" w:rsidP="009A1C1B">
      <w:pPr>
        <w:tabs>
          <w:tab w:val="left" w:pos="1170"/>
        </w:tabs>
        <w:ind w:firstLine="31680"/>
        <w:rPr>
          <w:rFonts w:hint="eastAsia"/>
          <w:color w:val="000000"/>
        </w:rPr>
      </w:pPr>
      <w:r>
        <w:rPr>
          <w:color w:val="000000"/>
        </w:rPr>
        <w:t>137.</w:t>
      </w:r>
      <w:r>
        <w:rPr>
          <w:color w:val="000000"/>
        </w:rPr>
        <w:tab/>
      </w:r>
      <w:r>
        <w:rPr>
          <w:rFonts w:hint="eastAsia"/>
          <w:color w:val="000000"/>
        </w:rPr>
        <w:t>《宪法》第</w:t>
      </w:r>
      <w:r>
        <w:rPr>
          <w:rFonts w:hint="eastAsia"/>
          <w:color w:val="000000"/>
        </w:rPr>
        <w:t>24</w:t>
      </w:r>
      <w:r>
        <w:rPr>
          <w:rFonts w:hint="eastAsia"/>
          <w:color w:val="000000"/>
        </w:rPr>
        <w:t>条规定，只有通过法律才可以对权利、自由和权益保障进行限制，以维护《宪法》保护的其他权益，也只有在《宪法》明确规定的某些情况下，才可以对这些权利进行限制。任何此类限制都必须是普遍性的，不得针对任何个人施加这种限制，不得破坏宪法条款的基本范畴和内容，包括受《宪法》保护的各种权利，对权利的限制不能脱离具体的历史环境。</w:t>
      </w:r>
    </w:p>
    <w:p w:rsidR="00692915" w:rsidRDefault="00692915" w:rsidP="009A1C1B">
      <w:pPr>
        <w:tabs>
          <w:tab w:val="left" w:pos="1170"/>
        </w:tabs>
        <w:spacing w:after="240"/>
        <w:ind w:firstLine="31680"/>
        <w:rPr>
          <w:rFonts w:hint="eastAsia"/>
          <w:color w:val="000000"/>
        </w:rPr>
      </w:pPr>
      <w:r>
        <w:rPr>
          <w:color w:val="000000"/>
        </w:rPr>
        <w:t>138.</w:t>
      </w:r>
      <w:r>
        <w:rPr>
          <w:color w:val="000000"/>
        </w:rPr>
        <w:tab/>
      </w:r>
      <w:r>
        <w:rPr>
          <w:rFonts w:hint="eastAsia"/>
          <w:color w:val="000000"/>
        </w:rPr>
        <w:t>根据以上对限制范围的界定，做出了以下限制性规定。</w:t>
      </w:r>
    </w:p>
    <w:p w:rsidR="00692915" w:rsidRDefault="00692915">
      <w:pPr>
        <w:pStyle w:val="Heading3"/>
        <w:tabs>
          <w:tab w:val="left" w:pos="1170"/>
        </w:tabs>
        <w:jc w:val="both"/>
        <w:rPr>
          <w:rFonts w:ascii="KaiTi_GB2312" w:eastAsia="KaiTi_GB2312" w:hint="eastAsia"/>
          <w:color w:val="000000"/>
        </w:rPr>
      </w:pPr>
      <w:bookmarkStart w:id="37" w:name="_Toc150514919"/>
      <w:bookmarkStart w:id="38" w:name="_Toc150684820"/>
      <w:r>
        <w:rPr>
          <w:rFonts w:ascii="KaiTi_GB2312" w:eastAsia="KaiTi_GB2312"/>
          <w:color w:val="000000"/>
          <w:u w:val="none"/>
        </w:rPr>
        <w:t>（a）</w:t>
      </w:r>
      <w:bookmarkEnd w:id="37"/>
      <w:bookmarkEnd w:id="38"/>
      <w:r>
        <w:rPr>
          <w:rFonts w:ascii="KaiTi_GB2312" w:eastAsia="KaiTi_GB2312" w:hint="eastAsia"/>
          <w:color w:val="000000"/>
        </w:rPr>
        <w:t>限制外国人拥有土地的权利</w:t>
      </w:r>
    </w:p>
    <w:p w:rsidR="00692915" w:rsidRDefault="00692915" w:rsidP="009A1C1B">
      <w:pPr>
        <w:tabs>
          <w:tab w:val="left" w:pos="1170"/>
        </w:tabs>
        <w:spacing w:after="240"/>
        <w:ind w:firstLine="31680"/>
        <w:rPr>
          <w:rFonts w:hint="eastAsia"/>
          <w:color w:val="000000"/>
        </w:rPr>
      </w:pPr>
      <w:r>
        <w:rPr>
          <w:color w:val="000000"/>
        </w:rPr>
        <w:t>139.</w:t>
      </w:r>
      <w:r>
        <w:rPr>
          <w:color w:val="000000"/>
        </w:rPr>
        <w:tab/>
      </w:r>
      <w:r>
        <w:rPr>
          <w:rFonts w:hint="eastAsia"/>
          <w:color w:val="000000"/>
        </w:rPr>
        <w:t>《东帝汶宪法》第</w:t>
      </w:r>
      <w:r>
        <w:rPr>
          <w:color w:val="000000"/>
        </w:rPr>
        <w:t>54</w:t>
      </w:r>
      <w:r>
        <w:rPr>
          <w:color w:val="000000"/>
        </w:rPr>
        <w:t>（</w:t>
      </w:r>
      <w:r>
        <w:rPr>
          <w:color w:val="000000"/>
        </w:rPr>
        <w:t>4</w:t>
      </w:r>
      <w:r>
        <w:rPr>
          <w:color w:val="000000"/>
        </w:rPr>
        <w:t>）</w:t>
      </w:r>
      <w:r>
        <w:rPr>
          <w:rFonts w:hint="eastAsia"/>
          <w:color w:val="000000"/>
        </w:rPr>
        <w:t>条规定，只有国民才有权拥有土地，因此，限制了东帝汶境内外国人对私有财产的拥有权。这种限制是为了确保东帝汶人可以保留东帝汶土地的购买权，同时也是为了确保那些有权拥有、管理和处置土地的个人是那些与东帝汶国家有永久关系的人，这些个人要受制于所有的公民义务和责任。</w:t>
      </w:r>
    </w:p>
    <w:p w:rsidR="00692915" w:rsidRDefault="00692915">
      <w:pPr>
        <w:pStyle w:val="Heading3"/>
        <w:tabs>
          <w:tab w:val="left" w:pos="1170"/>
        </w:tabs>
        <w:jc w:val="both"/>
        <w:rPr>
          <w:rFonts w:eastAsia="KaiTi_GB2312" w:hint="eastAsia"/>
          <w:color w:val="000000"/>
        </w:rPr>
      </w:pPr>
      <w:bookmarkStart w:id="39" w:name="_Toc150514920"/>
      <w:bookmarkStart w:id="40" w:name="_Toc150684821"/>
      <w:r>
        <w:rPr>
          <w:color w:val="000000"/>
          <w:u w:val="none"/>
        </w:rPr>
        <w:t>（</w:t>
      </w:r>
      <w:r>
        <w:rPr>
          <w:color w:val="000000"/>
          <w:u w:val="none"/>
        </w:rPr>
        <w:t>b</w:t>
      </w:r>
      <w:r>
        <w:rPr>
          <w:color w:val="000000"/>
          <w:u w:val="none"/>
        </w:rPr>
        <w:t>）</w:t>
      </w:r>
      <w:bookmarkEnd w:id="39"/>
      <w:bookmarkEnd w:id="40"/>
      <w:r>
        <w:rPr>
          <w:rFonts w:eastAsia="KaiTi_GB2312" w:hint="eastAsia"/>
          <w:color w:val="000000"/>
        </w:rPr>
        <w:t>限制外国人参与政治事务的权利</w:t>
      </w:r>
    </w:p>
    <w:p w:rsidR="00692915" w:rsidRDefault="00692915" w:rsidP="009A1C1B">
      <w:pPr>
        <w:tabs>
          <w:tab w:val="left" w:pos="1170"/>
        </w:tabs>
        <w:spacing w:after="240"/>
        <w:ind w:firstLine="31680"/>
        <w:rPr>
          <w:rFonts w:hint="eastAsia"/>
          <w:color w:val="000000"/>
        </w:rPr>
      </w:pPr>
      <w:r>
        <w:rPr>
          <w:color w:val="000000"/>
        </w:rPr>
        <w:t>140.</w:t>
      </w:r>
      <w:r>
        <w:rPr>
          <w:color w:val="000000"/>
        </w:rPr>
        <w:tab/>
      </w:r>
      <w:r>
        <w:rPr>
          <w:rFonts w:hint="eastAsia"/>
          <w:color w:val="000000"/>
        </w:rPr>
        <w:t xml:space="preserve"> </w:t>
      </w:r>
      <w:r>
        <w:rPr>
          <w:rFonts w:hint="eastAsia"/>
          <w:color w:val="000000"/>
        </w:rPr>
        <w:t>第</w:t>
      </w:r>
      <w:r>
        <w:rPr>
          <w:color w:val="000000"/>
        </w:rPr>
        <w:t>9/2003</w:t>
      </w:r>
      <w:r>
        <w:rPr>
          <w:rFonts w:hint="eastAsia"/>
          <w:color w:val="000000"/>
        </w:rPr>
        <w:t>号法律《移民及庇护法》第</w:t>
      </w:r>
      <w:r>
        <w:rPr>
          <w:rFonts w:hint="eastAsia"/>
          <w:color w:val="000000"/>
        </w:rPr>
        <w:t>11</w:t>
      </w:r>
      <w:r>
        <w:rPr>
          <w:rFonts w:hint="eastAsia"/>
          <w:color w:val="000000"/>
        </w:rPr>
        <w:t>条对外国人可能进行的活动性质进行了各种限制。基本上来说，外国人不得从事干预国家事务的政治活动，只有那些与国家之间有着永久关系并且受制于各种公民权利与义务的人才适合从事这类活动。这种限制符合《宪法》对公民参与国家政治生活的权利和义务所做的规定，只有公民才具有这种权利和义务。</w:t>
      </w:r>
      <w:r>
        <w:rPr>
          <w:rStyle w:val="FootnoteReference"/>
          <w:color w:val="000000"/>
        </w:rPr>
        <w:footnoteReference w:id="93"/>
      </w:r>
      <w:r>
        <w:rPr>
          <w:rFonts w:hint="eastAsia"/>
          <w:color w:val="000000"/>
        </w:rPr>
        <w:t>另外，还限制国外对国家大众媒体公司和国内商业航空公司的控股权，以促进国家对这些服务领域的所有权。</w:t>
      </w:r>
    </w:p>
    <w:p w:rsidR="00692915" w:rsidRDefault="00692915">
      <w:pPr>
        <w:pStyle w:val="Heading3"/>
        <w:tabs>
          <w:tab w:val="left" w:pos="1170"/>
        </w:tabs>
        <w:jc w:val="both"/>
        <w:rPr>
          <w:rFonts w:eastAsia="KaiTi_GB2312" w:hint="eastAsia"/>
          <w:bCs/>
          <w:color w:val="000000"/>
          <w:szCs w:val="24"/>
        </w:rPr>
      </w:pPr>
      <w:bookmarkStart w:id="41" w:name="_Toc150514921"/>
      <w:bookmarkStart w:id="42" w:name="_Toc150684822"/>
      <w:r>
        <w:rPr>
          <w:bCs/>
          <w:color w:val="000000"/>
          <w:szCs w:val="24"/>
          <w:u w:val="none"/>
        </w:rPr>
        <w:t>（</w:t>
      </w:r>
      <w:r>
        <w:rPr>
          <w:bCs/>
          <w:color w:val="000000"/>
          <w:szCs w:val="24"/>
          <w:u w:val="none"/>
        </w:rPr>
        <w:t>c</w:t>
      </w:r>
      <w:r>
        <w:rPr>
          <w:bCs/>
          <w:color w:val="000000"/>
          <w:szCs w:val="24"/>
          <w:u w:val="none"/>
        </w:rPr>
        <w:t>）</w:t>
      </w:r>
      <w:bookmarkEnd w:id="41"/>
      <w:bookmarkEnd w:id="42"/>
      <w:r>
        <w:rPr>
          <w:rFonts w:eastAsia="KaiTi_GB2312" w:hint="eastAsia"/>
          <w:bCs/>
          <w:color w:val="000000"/>
          <w:szCs w:val="24"/>
        </w:rPr>
        <w:t>限制自由进行和平集会和示威的权利</w:t>
      </w:r>
    </w:p>
    <w:p w:rsidR="00692915" w:rsidRDefault="00692915" w:rsidP="009A1C1B">
      <w:pPr>
        <w:tabs>
          <w:tab w:val="left" w:pos="1170"/>
        </w:tabs>
        <w:ind w:firstLine="31680"/>
        <w:rPr>
          <w:color w:val="000000"/>
        </w:rPr>
      </w:pPr>
      <w:r>
        <w:rPr>
          <w:color w:val="000000"/>
        </w:rPr>
        <w:t>141.</w:t>
      </w:r>
      <w:r>
        <w:rPr>
          <w:color w:val="000000"/>
        </w:rPr>
        <w:tab/>
      </w:r>
      <w:r>
        <w:rPr>
          <w:rFonts w:hint="eastAsia"/>
          <w:color w:val="000000"/>
        </w:rPr>
        <w:t>2004</w:t>
      </w:r>
      <w:r>
        <w:rPr>
          <w:rFonts w:hint="eastAsia"/>
          <w:color w:val="000000"/>
        </w:rPr>
        <w:t>年</w:t>
      </w:r>
      <w:r>
        <w:rPr>
          <w:rFonts w:hint="eastAsia"/>
          <w:color w:val="000000"/>
        </w:rPr>
        <w:t>12</w:t>
      </w:r>
      <w:r>
        <w:rPr>
          <w:rFonts w:hint="eastAsia"/>
          <w:color w:val="000000"/>
        </w:rPr>
        <w:t>月，议会通过了《自由集会和示威法》，该法律旨在允许东帝汶公民享有和平集会和示威的权利，同时维护法律与秩序，防止第三方阻止或妨碍示威者行使这种权利。为此，法律对示威的时间和地点进行了具体限制，并从总体上对各种有损宪法秩序，或冒犯国家荣誉和名誉的行为进行了限制。这种限制旨在尊重个人依照《宪法》享有的个人自由和安全的权利，以及行动自由的权利。</w:t>
      </w:r>
      <w:r>
        <w:rPr>
          <w:rStyle w:val="FootnoteReference"/>
          <w:color w:val="000000"/>
        </w:rPr>
        <w:footnoteReference w:id="94"/>
      </w:r>
    </w:p>
    <w:p w:rsidR="00692915" w:rsidRDefault="00692915" w:rsidP="009A1C1B">
      <w:pPr>
        <w:tabs>
          <w:tab w:val="left" w:pos="1170"/>
        </w:tabs>
        <w:spacing w:after="240"/>
        <w:ind w:firstLine="31680"/>
        <w:rPr>
          <w:rFonts w:hint="eastAsia"/>
          <w:color w:val="000000"/>
        </w:rPr>
      </w:pPr>
      <w:r>
        <w:rPr>
          <w:color w:val="000000"/>
        </w:rPr>
        <w:t>142.</w:t>
      </w:r>
      <w:r>
        <w:rPr>
          <w:color w:val="000000"/>
        </w:rPr>
        <w:tab/>
      </w:r>
      <w:r>
        <w:rPr>
          <w:rFonts w:hint="eastAsia"/>
          <w:color w:val="000000"/>
        </w:rPr>
        <w:t>2005</w:t>
      </w:r>
      <w:r>
        <w:rPr>
          <w:rFonts w:hint="eastAsia"/>
          <w:color w:val="000000"/>
        </w:rPr>
        <w:t>年</w:t>
      </w:r>
      <w:r>
        <w:rPr>
          <w:rFonts w:hint="eastAsia"/>
          <w:color w:val="000000"/>
        </w:rPr>
        <w:t>5</w:t>
      </w:r>
      <w:r>
        <w:rPr>
          <w:rFonts w:hint="eastAsia"/>
          <w:color w:val="000000"/>
        </w:rPr>
        <w:t>月</w:t>
      </w:r>
      <w:r>
        <w:rPr>
          <w:rFonts w:hint="eastAsia"/>
          <w:color w:val="000000"/>
        </w:rPr>
        <w:t>9</w:t>
      </w:r>
      <w:r>
        <w:rPr>
          <w:rFonts w:hint="eastAsia"/>
          <w:color w:val="000000"/>
        </w:rPr>
        <w:t>日上诉法院做出裁定认为，以上法律对有损宪法秩序，或冒犯国家荣誉和名誉的行为所做出的限制性规定违反了《宪法》。另外，还进一步对有关当局审查集会和示威通知的权利和程序，以及施加各种条件的权利和程序做出了明确规定。继这次裁定之后，总统于</w:t>
      </w:r>
      <w:r>
        <w:rPr>
          <w:rFonts w:hint="eastAsia"/>
          <w:color w:val="000000"/>
        </w:rPr>
        <w:t>7</w:t>
      </w:r>
      <w:r>
        <w:rPr>
          <w:rFonts w:hint="eastAsia"/>
          <w:color w:val="000000"/>
        </w:rPr>
        <w:t>月</w:t>
      </w:r>
      <w:r>
        <w:rPr>
          <w:rFonts w:hint="eastAsia"/>
          <w:color w:val="000000"/>
        </w:rPr>
        <w:t>18</w:t>
      </w:r>
      <w:r>
        <w:rPr>
          <w:rFonts w:hint="eastAsia"/>
          <w:color w:val="000000"/>
        </w:rPr>
        <w:t>日将议案退给了国民议会，要求“根据上诉法院的裁决，重新制定相关条例”。也在</w:t>
      </w:r>
      <w:r>
        <w:rPr>
          <w:rFonts w:hint="eastAsia"/>
          <w:color w:val="000000"/>
        </w:rPr>
        <w:t>7</w:t>
      </w:r>
      <w:r>
        <w:rPr>
          <w:rFonts w:hint="eastAsia"/>
          <w:color w:val="000000"/>
        </w:rPr>
        <w:t>月</w:t>
      </w:r>
      <w:r>
        <w:rPr>
          <w:rFonts w:hint="eastAsia"/>
          <w:color w:val="000000"/>
        </w:rPr>
        <w:t>18</w:t>
      </w:r>
      <w:r>
        <w:rPr>
          <w:rFonts w:hint="eastAsia"/>
          <w:color w:val="000000"/>
        </w:rPr>
        <w:t>日，议会通过了一项议案，删除了两款被上诉法院裁定为违反《宪法》的规定。重要的是，该法律规定，对于当局根据该法律做出的任何决定，都可以向法院提出上诉。屡经修订之后，该法律最终得以颁布，于</w:t>
      </w:r>
      <w:r>
        <w:rPr>
          <w:rFonts w:hint="eastAsia"/>
          <w:color w:val="000000"/>
        </w:rPr>
        <w:t>2006</w:t>
      </w:r>
      <w:r>
        <w:rPr>
          <w:rFonts w:hint="eastAsia"/>
          <w:color w:val="000000"/>
        </w:rPr>
        <w:t>年</w:t>
      </w:r>
      <w:r>
        <w:rPr>
          <w:rFonts w:hint="eastAsia"/>
          <w:color w:val="000000"/>
        </w:rPr>
        <w:t>1</w:t>
      </w:r>
      <w:r>
        <w:rPr>
          <w:rFonts w:hint="eastAsia"/>
          <w:color w:val="000000"/>
        </w:rPr>
        <w:t>月开始生效。</w:t>
      </w:r>
    </w:p>
    <w:p w:rsidR="00692915" w:rsidRDefault="00692915">
      <w:pPr>
        <w:pStyle w:val="Heading2"/>
        <w:tabs>
          <w:tab w:val="left" w:pos="1170"/>
        </w:tabs>
        <w:jc w:val="both"/>
        <w:rPr>
          <w:rFonts w:hint="eastAsia"/>
          <w:color w:val="000000"/>
          <w:sz w:val="24"/>
        </w:rPr>
      </w:pPr>
      <w:bookmarkStart w:id="43" w:name="_Toc150684823"/>
      <w:r>
        <w:rPr>
          <w:color w:val="000000"/>
          <w:sz w:val="24"/>
        </w:rPr>
        <w:t xml:space="preserve">3. </w:t>
      </w:r>
      <w:bookmarkEnd w:id="43"/>
      <w:r>
        <w:rPr>
          <w:rFonts w:hint="eastAsia"/>
          <w:color w:val="000000"/>
          <w:sz w:val="24"/>
          <w:u w:val="single"/>
        </w:rPr>
        <w:t>《刑法典》</w:t>
      </w:r>
    </w:p>
    <w:p w:rsidR="00692915" w:rsidRDefault="00692915" w:rsidP="009A1C1B">
      <w:pPr>
        <w:tabs>
          <w:tab w:val="left" w:pos="1170"/>
        </w:tabs>
        <w:spacing w:after="240"/>
        <w:ind w:firstLine="31680"/>
        <w:rPr>
          <w:rFonts w:hint="eastAsia"/>
          <w:color w:val="000000"/>
        </w:rPr>
      </w:pPr>
      <w:r>
        <w:rPr>
          <w:color w:val="000000"/>
        </w:rPr>
        <w:t>143.</w:t>
      </w:r>
      <w:r>
        <w:rPr>
          <w:color w:val="000000"/>
        </w:rPr>
        <w:tab/>
      </w:r>
      <w:r>
        <w:rPr>
          <w:rFonts w:hint="eastAsia"/>
          <w:color w:val="000000"/>
        </w:rPr>
        <w:t>根据《宪法》第</w:t>
      </w:r>
      <w:r>
        <w:rPr>
          <w:rFonts w:hint="eastAsia"/>
          <w:color w:val="000000"/>
        </w:rPr>
        <w:t>96</w:t>
      </w:r>
      <w:r>
        <w:rPr>
          <w:rFonts w:hint="eastAsia"/>
          <w:color w:val="000000"/>
        </w:rPr>
        <w:t>条规定，国民议会授权政府编写和通过一部《刑法典》，对诽谤罪做出规定，从而对言论自由做了限制性规定。随后，部长理事会审议并通过了议会授权编写的法典草案，但总统没有颁布该法典，</w:t>
      </w:r>
      <w:r>
        <w:rPr>
          <w:rFonts w:hint="eastAsia"/>
          <w:color w:val="000000"/>
        </w:rPr>
        <w:t xml:space="preserve"> </w:t>
      </w:r>
      <w:r>
        <w:rPr>
          <w:rFonts w:hint="eastAsia"/>
          <w:color w:val="000000"/>
        </w:rPr>
        <w:t>因为公众对其中有关诽谤罪的规定表示了强烈批评。总统与总理之间进行了非正式讨论，以便将诽谤罪的处罚从关押减为罚款。但最终未能在总统颁布法典的时限内，或有关法典其他事宜的时限内（见《宪法》第</w:t>
      </w:r>
      <w:r>
        <w:rPr>
          <w:rFonts w:hint="eastAsia"/>
          <w:color w:val="000000"/>
        </w:rPr>
        <w:t>88</w:t>
      </w:r>
      <w:r>
        <w:rPr>
          <w:rFonts w:hint="eastAsia"/>
          <w:color w:val="000000"/>
        </w:rPr>
        <w:t>条）达成折中方案或做出修订。尽管将时限延长了，但国内却出现了政治和社会危机，至今未能对《刑法典》进行修订。在撰写本稿时，《刑法典》仍有待修订，至于诽谤行为，究竟是应予以刑事处罚，还是进行罚款或采取其他措施，目前尚不清楚。但人们普遍认为，应尽快通过该法典，因为即将出台的其他很多法律（如，有关家庭暴力、青少年司法制度、社区服务和监管的法律）需要在本法典颁布后，才能实施。目前，东帝汶有关刑法的规定比较混乱，预计《刑法典》的通过将能改善这一局面。</w:t>
      </w:r>
    </w:p>
    <w:p w:rsidR="00692915" w:rsidRDefault="00692915">
      <w:pPr>
        <w:pStyle w:val="Heading2"/>
        <w:tabs>
          <w:tab w:val="left" w:pos="1170"/>
        </w:tabs>
        <w:jc w:val="both"/>
        <w:rPr>
          <w:rFonts w:hint="eastAsia"/>
          <w:color w:val="000000"/>
          <w:sz w:val="24"/>
        </w:rPr>
      </w:pPr>
      <w:bookmarkStart w:id="44" w:name="_Toc150514922"/>
      <w:bookmarkStart w:id="45" w:name="_Toc150684824"/>
      <w:r>
        <w:rPr>
          <w:color w:val="000000"/>
          <w:sz w:val="24"/>
        </w:rPr>
        <w:t>4.</w:t>
      </w:r>
      <w:bookmarkEnd w:id="44"/>
      <w:bookmarkEnd w:id="45"/>
      <w:r>
        <w:rPr>
          <w:rFonts w:hint="eastAsia"/>
          <w:color w:val="000000"/>
          <w:sz w:val="24"/>
        </w:rPr>
        <w:t xml:space="preserve"> </w:t>
      </w:r>
      <w:r>
        <w:rPr>
          <w:rFonts w:hint="eastAsia"/>
          <w:color w:val="000000"/>
          <w:sz w:val="24"/>
          <w:u w:val="single"/>
        </w:rPr>
        <w:t>紧急状态</w:t>
      </w:r>
    </w:p>
    <w:p w:rsidR="00692915" w:rsidRDefault="00692915" w:rsidP="009A1C1B">
      <w:pPr>
        <w:tabs>
          <w:tab w:val="left" w:pos="1170"/>
        </w:tabs>
        <w:ind w:firstLine="31680"/>
        <w:rPr>
          <w:rFonts w:hint="eastAsia"/>
          <w:color w:val="000000"/>
        </w:rPr>
      </w:pPr>
      <w:r>
        <w:rPr>
          <w:color w:val="000000"/>
        </w:rPr>
        <w:t>144.</w:t>
      </w:r>
      <w:r>
        <w:rPr>
          <w:rFonts w:hint="eastAsia"/>
          <w:color w:val="000000"/>
        </w:rPr>
        <w:t>《宪法》第</w:t>
      </w:r>
      <w:r>
        <w:rPr>
          <w:rFonts w:hint="eastAsia"/>
          <w:color w:val="000000"/>
        </w:rPr>
        <w:t>25</w:t>
      </w:r>
      <w:r>
        <w:rPr>
          <w:rFonts w:hint="eastAsia"/>
          <w:color w:val="000000"/>
        </w:rPr>
        <w:t>条规定，“只有当国外势力实际入侵或即将入侵的情况下，民主宪法秩序已经受到或将要受到严重干扰的情况下，以及出现公共灾害的情况下，才可宣布”进入紧急状态。在国民议会授权后，总统有义务与国务院、政府、国防与安全最高委员会进行协商决定是否宣布戒严状态或紧急状态。</w:t>
      </w:r>
      <w:r>
        <w:rPr>
          <w:rStyle w:val="FootnoteReference"/>
          <w:color w:val="000000"/>
        </w:rPr>
        <w:footnoteReference w:id="95"/>
      </w:r>
      <w:r>
        <w:rPr>
          <w:rFonts w:hint="eastAsia"/>
          <w:color w:val="000000"/>
        </w:rPr>
        <w:t>幸运的是，自独立以来，一直没有宣布过紧急状态。因此，至于本规定最终是否能够反应具体情况，目前尚不清楚。</w:t>
      </w:r>
    </w:p>
    <w:p w:rsidR="00692915" w:rsidRDefault="00692915" w:rsidP="009A1C1B">
      <w:pPr>
        <w:tabs>
          <w:tab w:val="left" w:pos="1170"/>
        </w:tabs>
        <w:ind w:firstLine="31680"/>
        <w:rPr>
          <w:rFonts w:hint="eastAsia"/>
          <w:color w:val="000000"/>
        </w:rPr>
      </w:pPr>
      <w:r>
        <w:rPr>
          <w:color w:val="000000"/>
        </w:rPr>
        <w:t>145.</w:t>
      </w:r>
      <w:r>
        <w:rPr>
          <w:color w:val="000000"/>
        </w:rPr>
        <w:tab/>
      </w:r>
      <w:r>
        <w:rPr>
          <w:rFonts w:hint="eastAsia"/>
          <w:color w:val="000000"/>
        </w:rPr>
        <w:t>根据《宪法》规定，只有当总统已经宣布国家进入戒严状态或紧急状态的情况下，才可以暂停基本权利与自由。在绝对必要和有可能恢复的情况下，只能暂停这种权利</w:t>
      </w:r>
      <w:r>
        <w:rPr>
          <w:rFonts w:hint="eastAsia"/>
          <w:color w:val="000000"/>
        </w:rPr>
        <w:t>30</w:t>
      </w:r>
      <w:r>
        <w:rPr>
          <w:rFonts w:hint="eastAsia"/>
          <w:color w:val="000000"/>
        </w:rPr>
        <w:t>天，当局有义务尽快使宪法规定恢复正常。</w:t>
      </w:r>
    </w:p>
    <w:p w:rsidR="00692915" w:rsidRDefault="00692915" w:rsidP="009A1C1B">
      <w:pPr>
        <w:tabs>
          <w:tab w:val="left" w:pos="1170"/>
        </w:tabs>
        <w:ind w:firstLine="31680"/>
        <w:rPr>
          <w:color w:val="000000"/>
        </w:rPr>
      </w:pPr>
      <w:r>
        <w:rPr>
          <w:color w:val="000000"/>
        </w:rPr>
        <w:t>146.</w:t>
      </w:r>
      <w:r>
        <w:rPr>
          <w:color w:val="000000"/>
        </w:rPr>
        <w:tab/>
      </w:r>
      <w:r>
        <w:rPr>
          <w:rFonts w:hint="eastAsia"/>
          <w:color w:val="000000"/>
        </w:rPr>
        <w:t>值得注意的是，在任何情况下，都不得暂时中止以下权利：</w:t>
      </w:r>
      <w:r>
        <w:rPr>
          <w:rStyle w:val="FootnoteReference"/>
          <w:color w:val="000000"/>
        </w:rPr>
        <w:footnoteReference w:id="96"/>
      </w:r>
    </w:p>
    <w:p w:rsidR="00692915" w:rsidRDefault="00692915" w:rsidP="009A1C1B">
      <w:pPr>
        <w:numPr>
          <w:ilvl w:val="0"/>
          <w:numId w:val="17"/>
        </w:numPr>
        <w:tabs>
          <w:tab w:val="clear" w:pos="927"/>
          <w:tab w:val="num" w:pos="1690"/>
        </w:tabs>
        <w:ind w:leftChars="450" w:left="31680" w:hangingChars="200" w:firstLine="31680"/>
        <w:rPr>
          <w:color w:val="000000"/>
        </w:rPr>
      </w:pPr>
      <w:r>
        <w:rPr>
          <w:rFonts w:hint="eastAsia"/>
          <w:color w:val="000000"/>
        </w:rPr>
        <w:t>生命权；</w:t>
      </w:r>
    </w:p>
    <w:p w:rsidR="00692915" w:rsidRDefault="00692915" w:rsidP="009A1C1B">
      <w:pPr>
        <w:numPr>
          <w:ilvl w:val="0"/>
          <w:numId w:val="17"/>
        </w:numPr>
        <w:tabs>
          <w:tab w:val="clear" w:pos="927"/>
          <w:tab w:val="num" w:pos="1690"/>
        </w:tabs>
        <w:ind w:leftChars="450" w:left="31680" w:hangingChars="200" w:firstLine="31680"/>
        <w:rPr>
          <w:color w:val="000000"/>
        </w:rPr>
      </w:pPr>
      <w:r>
        <w:rPr>
          <w:rFonts w:hint="eastAsia"/>
          <w:color w:val="000000"/>
        </w:rPr>
        <w:t>人身安全权；</w:t>
      </w:r>
    </w:p>
    <w:p w:rsidR="00692915" w:rsidRDefault="00692915" w:rsidP="009A1C1B">
      <w:pPr>
        <w:numPr>
          <w:ilvl w:val="0"/>
          <w:numId w:val="17"/>
        </w:numPr>
        <w:tabs>
          <w:tab w:val="clear" w:pos="927"/>
          <w:tab w:val="num" w:pos="1690"/>
        </w:tabs>
        <w:ind w:leftChars="450" w:left="31680" w:hangingChars="200" w:firstLine="31680"/>
        <w:rPr>
          <w:color w:val="000000"/>
        </w:rPr>
      </w:pPr>
      <w:r>
        <w:rPr>
          <w:rFonts w:hint="eastAsia"/>
          <w:color w:val="000000"/>
        </w:rPr>
        <w:t>公民身份权；</w:t>
      </w:r>
    </w:p>
    <w:p w:rsidR="00692915" w:rsidRDefault="00692915" w:rsidP="009A1C1B">
      <w:pPr>
        <w:numPr>
          <w:ilvl w:val="0"/>
          <w:numId w:val="17"/>
        </w:numPr>
        <w:tabs>
          <w:tab w:val="clear" w:pos="927"/>
          <w:tab w:val="num" w:pos="1690"/>
        </w:tabs>
        <w:ind w:leftChars="450" w:left="31680" w:hangingChars="200" w:firstLine="31680"/>
        <w:rPr>
          <w:rFonts w:hint="eastAsia"/>
          <w:color w:val="000000"/>
        </w:rPr>
      </w:pPr>
      <w:r>
        <w:rPr>
          <w:rFonts w:hint="eastAsia"/>
          <w:color w:val="000000"/>
        </w:rPr>
        <w:t>刑法</w:t>
      </w:r>
      <w:r>
        <w:rPr>
          <w:rFonts w:ascii="Arial" w:hAnsi="Arial" w:cs="Arial" w:hint="eastAsia"/>
          <w:color w:val="000000"/>
        </w:rPr>
        <w:t>不溯及既往的权利；</w:t>
      </w:r>
    </w:p>
    <w:p w:rsidR="00692915" w:rsidRDefault="00692915" w:rsidP="009A1C1B">
      <w:pPr>
        <w:numPr>
          <w:ilvl w:val="0"/>
          <w:numId w:val="17"/>
        </w:numPr>
        <w:tabs>
          <w:tab w:val="clear" w:pos="927"/>
          <w:tab w:val="num" w:pos="1690"/>
        </w:tabs>
        <w:ind w:leftChars="450" w:left="31680" w:hangingChars="200" w:firstLine="31680"/>
        <w:rPr>
          <w:color w:val="000000"/>
        </w:rPr>
      </w:pPr>
      <w:r>
        <w:rPr>
          <w:rFonts w:hint="eastAsia"/>
          <w:color w:val="000000"/>
        </w:rPr>
        <w:t>刑事案件中的辩护权；</w:t>
      </w:r>
    </w:p>
    <w:p w:rsidR="00692915" w:rsidRDefault="00692915" w:rsidP="009A1C1B">
      <w:pPr>
        <w:numPr>
          <w:ilvl w:val="0"/>
          <w:numId w:val="17"/>
        </w:numPr>
        <w:tabs>
          <w:tab w:val="clear" w:pos="927"/>
          <w:tab w:val="num" w:pos="1690"/>
        </w:tabs>
        <w:ind w:leftChars="450" w:left="31680" w:hangingChars="200" w:firstLine="31680"/>
        <w:rPr>
          <w:color w:val="000000"/>
        </w:rPr>
      </w:pPr>
      <w:r>
        <w:rPr>
          <w:rFonts w:hint="eastAsia"/>
          <w:color w:val="000000"/>
        </w:rPr>
        <w:t>信仰与宗教自由的权利；</w:t>
      </w:r>
    </w:p>
    <w:p w:rsidR="00692915" w:rsidRDefault="00692915" w:rsidP="009A1C1B">
      <w:pPr>
        <w:numPr>
          <w:ilvl w:val="0"/>
          <w:numId w:val="17"/>
        </w:numPr>
        <w:tabs>
          <w:tab w:val="clear" w:pos="927"/>
          <w:tab w:val="num" w:pos="1690"/>
        </w:tabs>
        <w:ind w:leftChars="450" w:left="31680" w:hangingChars="200" w:firstLine="31680"/>
        <w:rPr>
          <w:color w:val="000000"/>
        </w:rPr>
      </w:pPr>
      <w:r>
        <w:rPr>
          <w:rFonts w:hint="eastAsia"/>
          <w:color w:val="000000"/>
        </w:rPr>
        <w:t>不受酷刑、苦役或奴役的权利；</w:t>
      </w:r>
    </w:p>
    <w:p w:rsidR="00692915" w:rsidRDefault="00692915" w:rsidP="009A1C1B">
      <w:pPr>
        <w:numPr>
          <w:ilvl w:val="0"/>
          <w:numId w:val="17"/>
        </w:numPr>
        <w:tabs>
          <w:tab w:val="clear" w:pos="927"/>
          <w:tab w:val="num" w:pos="1690"/>
        </w:tabs>
        <w:ind w:leftChars="450" w:left="31680" w:hangingChars="200" w:firstLine="31680"/>
        <w:rPr>
          <w:color w:val="000000"/>
        </w:rPr>
      </w:pPr>
      <w:r>
        <w:rPr>
          <w:rFonts w:hint="eastAsia"/>
          <w:color w:val="000000"/>
        </w:rPr>
        <w:t>不受残忍、不人道或有辱人格待遇或处罚的权利；</w:t>
      </w:r>
    </w:p>
    <w:p w:rsidR="00692915" w:rsidRDefault="00692915" w:rsidP="009A1C1B">
      <w:pPr>
        <w:numPr>
          <w:ilvl w:val="0"/>
          <w:numId w:val="17"/>
        </w:numPr>
        <w:tabs>
          <w:tab w:val="clear" w:pos="927"/>
          <w:tab w:val="num" w:pos="1690"/>
        </w:tabs>
        <w:spacing w:after="240"/>
        <w:ind w:leftChars="450" w:left="31680" w:hangingChars="200" w:firstLine="31680"/>
        <w:rPr>
          <w:color w:val="000000"/>
        </w:rPr>
      </w:pPr>
      <w:r>
        <w:rPr>
          <w:rFonts w:hint="eastAsia"/>
          <w:color w:val="000000"/>
        </w:rPr>
        <w:t>不受歧视的权利。</w:t>
      </w:r>
    </w:p>
    <w:p w:rsidR="00692915" w:rsidRDefault="00692915" w:rsidP="009A1C1B">
      <w:pPr>
        <w:tabs>
          <w:tab w:val="left" w:pos="1170"/>
        </w:tabs>
        <w:ind w:firstLine="31680"/>
        <w:rPr>
          <w:rFonts w:hint="eastAsia"/>
          <w:color w:val="000000"/>
        </w:rPr>
      </w:pPr>
      <w:r>
        <w:rPr>
          <w:color w:val="000000"/>
        </w:rPr>
        <w:t>147.</w:t>
      </w:r>
      <w:r>
        <w:rPr>
          <w:color w:val="000000"/>
        </w:rPr>
        <w:tab/>
      </w:r>
      <w:r>
        <w:rPr>
          <w:rFonts w:hint="eastAsia"/>
          <w:color w:val="000000"/>
        </w:rPr>
        <w:t>除了作为一个人而被法律认可的权利外，所有被核心人权条约视为不可减损的权利，也被《东帝汶民主共和国宪法》视为不可减损的权利。</w:t>
      </w:r>
      <w:r>
        <w:rPr>
          <w:rFonts w:hint="eastAsia"/>
          <w:color w:val="000000"/>
        </w:rPr>
        <w:t xml:space="preserve"> </w:t>
      </w:r>
    </w:p>
    <w:p w:rsidR="00692915" w:rsidRDefault="00692915" w:rsidP="009A1C1B">
      <w:pPr>
        <w:tabs>
          <w:tab w:val="left" w:pos="1170"/>
        </w:tabs>
        <w:ind w:firstLine="31680"/>
        <w:rPr>
          <w:rFonts w:hint="eastAsia"/>
          <w:color w:val="000000"/>
        </w:rPr>
      </w:pPr>
      <w:r>
        <w:rPr>
          <w:color w:val="000000"/>
        </w:rPr>
        <w:t>148.</w:t>
      </w:r>
      <w:r>
        <w:rPr>
          <w:color w:val="000000"/>
        </w:rPr>
        <w:tab/>
      </w:r>
      <w:r>
        <w:rPr>
          <w:rFonts w:hint="eastAsia"/>
          <w:color w:val="000000"/>
        </w:rPr>
        <w:t>根据《宪法》第</w:t>
      </w:r>
      <w:r>
        <w:rPr>
          <w:rFonts w:hint="eastAsia"/>
          <w:color w:val="000000"/>
        </w:rPr>
        <w:t>126</w:t>
      </w:r>
      <w:r>
        <w:rPr>
          <w:rFonts w:hint="eastAsia"/>
          <w:color w:val="000000"/>
        </w:rPr>
        <w:t>条规定，</w:t>
      </w:r>
      <w:r>
        <w:rPr>
          <w:rStyle w:val="FootnoteReference"/>
          <w:color w:val="000000"/>
        </w:rPr>
        <w:footnoteReference w:id="97"/>
      </w:r>
      <w:r>
        <w:rPr>
          <w:rFonts w:hint="eastAsia"/>
          <w:color w:val="000000"/>
        </w:rPr>
        <w:t>最高法院有资格对国家宣布紧急状态或戒严状态的行动进行审查，以确定其必要性，同时也有资格审查国家机构行使的权力是否违宪。目前，最高法院的职能由上诉法院行使。</w:t>
      </w:r>
    </w:p>
    <w:p w:rsidR="00692915" w:rsidRDefault="00692915" w:rsidP="009A1C1B">
      <w:pPr>
        <w:tabs>
          <w:tab w:val="left" w:pos="1170"/>
        </w:tabs>
        <w:spacing w:after="240"/>
        <w:ind w:firstLine="31680"/>
        <w:rPr>
          <w:rFonts w:hint="eastAsia"/>
          <w:color w:val="000000"/>
        </w:rPr>
      </w:pPr>
      <w:r>
        <w:rPr>
          <w:color w:val="000000"/>
        </w:rPr>
        <w:t>149.</w:t>
      </w:r>
      <w:r>
        <w:rPr>
          <w:rFonts w:hint="eastAsia"/>
          <w:color w:val="000000"/>
        </w:rPr>
        <w:t xml:space="preserve"> </w:t>
      </w:r>
      <w:r>
        <w:rPr>
          <w:rFonts w:hint="eastAsia"/>
          <w:color w:val="000000"/>
        </w:rPr>
        <w:t>在其他情况下，不得暂时中止权利，当局也无权行使特别权力。</w:t>
      </w:r>
    </w:p>
    <w:p w:rsidR="00692915" w:rsidRDefault="00692915">
      <w:pPr>
        <w:pStyle w:val="Heading2"/>
        <w:tabs>
          <w:tab w:val="left" w:pos="1170"/>
        </w:tabs>
        <w:ind w:firstLine="600"/>
        <w:rPr>
          <w:rFonts w:hint="eastAsia"/>
          <w:color w:val="000000"/>
          <w:sz w:val="24"/>
        </w:rPr>
      </w:pPr>
      <w:bookmarkStart w:id="46" w:name="_Toc150514923"/>
      <w:bookmarkStart w:id="47" w:name="_Toc150684825"/>
      <w:r>
        <w:rPr>
          <w:color w:val="000000"/>
          <w:sz w:val="24"/>
        </w:rPr>
        <w:t>C.</w:t>
      </w:r>
      <w:bookmarkEnd w:id="46"/>
      <w:bookmarkEnd w:id="47"/>
      <w:r>
        <w:rPr>
          <w:rFonts w:hint="eastAsia"/>
          <w:color w:val="000000"/>
          <w:sz w:val="24"/>
        </w:rPr>
        <w:t xml:space="preserve"> </w:t>
      </w:r>
      <w:r>
        <w:rPr>
          <w:color w:val="000000"/>
          <w:sz w:val="24"/>
        </w:rPr>
        <w:t xml:space="preserve"> </w:t>
      </w:r>
      <w:r>
        <w:rPr>
          <w:rFonts w:hint="eastAsia"/>
          <w:color w:val="000000"/>
          <w:sz w:val="24"/>
          <w:u w:val="single"/>
        </w:rPr>
        <w:t>促进人权的总体框架</w:t>
      </w:r>
    </w:p>
    <w:p w:rsidR="00692915" w:rsidRDefault="00692915">
      <w:pPr>
        <w:pStyle w:val="Heading2"/>
        <w:tabs>
          <w:tab w:val="left" w:pos="520"/>
        </w:tabs>
        <w:jc w:val="left"/>
        <w:rPr>
          <w:rFonts w:hint="eastAsia"/>
          <w:color w:val="000000"/>
          <w:sz w:val="24"/>
        </w:rPr>
      </w:pPr>
      <w:bookmarkStart w:id="48" w:name="_Toc150514924"/>
      <w:bookmarkStart w:id="49" w:name="_Toc150684826"/>
      <w:r>
        <w:rPr>
          <w:color w:val="000000"/>
          <w:sz w:val="24"/>
        </w:rPr>
        <w:t>1.</w:t>
      </w:r>
      <w:r>
        <w:rPr>
          <w:color w:val="000000"/>
          <w:sz w:val="24"/>
        </w:rPr>
        <w:tab/>
      </w:r>
      <w:bookmarkEnd w:id="48"/>
      <w:bookmarkEnd w:id="49"/>
      <w:r>
        <w:rPr>
          <w:rFonts w:hint="eastAsia"/>
          <w:color w:val="000000"/>
          <w:sz w:val="24"/>
          <w:u w:val="single"/>
        </w:rPr>
        <w:t>促进与保护人权的国家机构</w:t>
      </w:r>
    </w:p>
    <w:p w:rsidR="00692915" w:rsidRDefault="00692915" w:rsidP="009A1C1B">
      <w:pPr>
        <w:tabs>
          <w:tab w:val="left" w:pos="1170"/>
        </w:tabs>
        <w:ind w:firstLine="31680"/>
        <w:rPr>
          <w:rFonts w:hint="eastAsia"/>
          <w:color w:val="000000"/>
        </w:rPr>
      </w:pPr>
      <w:r>
        <w:rPr>
          <w:color w:val="000000"/>
        </w:rPr>
        <w:t>150.</w:t>
      </w:r>
      <w:r>
        <w:rPr>
          <w:color w:val="000000"/>
        </w:rPr>
        <w:tab/>
      </w:r>
      <w:r>
        <w:rPr>
          <w:rFonts w:hint="eastAsia"/>
          <w:color w:val="000000"/>
        </w:rPr>
        <w:t>根据《宪法》第</w:t>
      </w:r>
      <w:r>
        <w:rPr>
          <w:rFonts w:hint="eastAsia"/>
          <w:color w:val="000000"/>
        </w:rPr>
        <w:t>48</w:t>
      </w:r>
      <w:r>
        <w:rPr>
          <w:rFonts w:hint="eastAsia"/>
          <w:color w:val="000000"/>
        </w:rPr>
        <w:t>条，每位公民都有权以个人名义或与其他人一道向主权机关或任何主管部门提出请愿、申诉和索赔，以维护自己的权利、宪法、法律或一般权益。为此，可以向两个专门机构寻求这种保护：</w:t>
      </w:r>
      <w:r>
        <w:rPr>
          <w:color w:val="000000"/>
        </w:rPr>
        <w:t>（</w:t>
      </w:r>
      <w:r>
        <w:rPr>
          <w:color w:val="000000"/>
        </w:rPr>
        <w:t>a</w:t>
      </w:r>
      <w:r>
        <w:rPr>
          <w:color w:val="000000"/>
        </w:rPr>
        <w:t>）</w:t>
      </w:r>
      <w:r>
        <w:rPr>
          <w:rFonts w:hint="eastAsia"/>
          <w:color w:val="000000"/>
        </w:rPr>
        <w:t>正义与人权监察员办公室，</w:t>
      </w:r>
      <w:r>
        <w:rPr>
          <w:color w:val="000000"/>
        </w:rPr>
        <w:t>（</w:t>
      </w:r>
      <w:r>
        <w:rPr>
          <w:color w:val="000000"/>
        </w:rPr>
        <w:t>b</w:t>
      </w:r>
      <w:r>
        <w:rPr>
          <w:color w:val="000000"/>
        </w:rPr>
        <w:t>）</w:t>
      </w:r>
      <w:r>
        <w:rPr>
          <w:rFonts w:hint="eastAsia"/>
          <w:color w:val="000000"/>
        </w:rPr>
        <w:t>最高法院（目前为上诉法院），该机构具有审理侵犯人权案件的法定权限。</w:t>
      </w:r>
      <w:r>
        <w:rPr>
          <w:rStyle w:val="FootnoteReference"/>
          <w:color w:val="000000"/>
        </w:rPr>
        <w:footnoteReference w:id="98"/>
      </w:r>
    </w:p>
    <w:p w:rsidR="00692915" w:rsidRDefault="00692915" w:rsidP="009A1C1B">
      <w:pPr>
        <w:tabs>
          <w:tab w:val="left" w:pos="1170"/>
        </w:tabs>
        <w:spacing w:after="240"/>
        <w:ind w:firstLine="31680"/>
        <w:rPr>
          <w:rFonts w:hint="eastAsia"/>
          <w:i/>
          <w:color w:val="000000"/>
        </w:rPr>
      </w:pPr>
      <w:r>
        <w:rPr>
          <w:color w:val="000000"/>
        </w:rPr>
        <w:t>151.</w:t>
      </w:r>
      <w:r>
        <w:rPr>
          <w:color w:val="000000"/>
        </w:rPr>
        <w:tab/>
      </w:r>
      <w:r>
        <w:rPr>
          <w:rFonts w:hint="eastAsia"/>
          <w:color w:val="000000"/>
        </w:rPr>
        <w:t>此外，还设立了很多专门的政府机构，由这些机构在其权限范围内负责促进、保护和宣传人权。其中包括：</w:t>
      </w:r>
      <w:r>
        <w:rPr>
          <w:color w:val="000000"/>
        </w:rPr>
        <w:t>（</w:t>
      </w:r>
      <w:r>
        <w:rPr>
          <w:color w:val="000000"/>
        </w:rPr>
        <w:t>a</w:t>
      </w:r>
      <w:r>
        <w:rPr>
          <w:color w:val="000000"/>
        </w:rPr>
        <w:t>）</w:t>
      </w:r>
      <w:r>
        <w:rPr>
          <w:rFonts w:hint="eastAsia"/>
          <w:color w:val="000000"/>
        </w:rPr>
        <w:t>人权事务总理顾问办公室；</w:t>
      </w:r>
      <w:r>
        <w:rPr>
          <w:color w:val="000000"/>
        </w:rPr>
        <w:t>（</w:t>
      </w:r>
      <w:r>
        <w:rPr>
          <w:color w:val="000000"/>
        </w:rPr>
        <w:t>b</w:t>
      </w:r>
      <w:r>
        <w:rPr>
          <w:color w:val="000000"/>
        </w:rPr>
        <w:t>）</w:t>
      </w:r>
      <w:r>
        <w:rPr>
          <w:rFonts w:hint="eastAsia"/>
          <w:color w:val="000000"/>
        </w:rPr>
        <w:t>促进平等事务总理顾问办公室；（</w:t>
      </w:r>
      <w:r>
        <w:rPr>
          <w:rFonts w:hint="eastAsia"/>
          <w:color w:val="000000"/>
        </w:rPr>
        <w:t>c</w:t>
      </w:r>
      <w:r>
        <w:rPr>
          <w:rFonts w:hint="eastAsia"/>
          <w:color w:val="000000"/>
        </w:rPr>
        <w:t>）主要直属部委，包括：卫生部、教育与文化部、劳动与社区再安置部、司法部；</w:t>
      </w:r>
      <w:r>
        <w:rPr>
          <w:color w:val="000000"/>
        </w:rPr>
        <w:t>（</w:t>
      </w:r>
      <w:r>
        <w:rPr>
          <w:color w:val="000000"/>
        </w:rPr>
        <w:t>e</w:t>
      </w:r>
      <w:r>
        <w:rPr>
          <w:color w:val="000000"/>
        </w:rPr>
        <w:t>）</w:t>
      </w:r>
      <w:r>
        <w:rPr>
          <w:rFonts w:hint="eastAsia"/>
          <w:color w:val="000000"/>
        </w:rPr>
        <w:t>退伍军人委员会；以及</w:t>
      </w:r>
      <w:r>
        <w:rPr>
          <w:color w:val="000000"/>
        </w:rPr>
        <w:t>（</w:t>
      </w:r>
      <w:r>
        <w:rPr>
          <w:color w:val="000000"/>
        </w:rPr>
        <w:t>d</w:t>
      </w:r>
      <w:r>
        <w:rPr>
          <w:color w:val="000000"/>
        </w:rPr>
        <w:t>）</w:t>
      </w:r>
      <w:r>
        <w:rPr>
          <w:rFonts w:hint="eastAsia"/>
          <w:color w:val="000000"/>
        </w:rPr>
        <w:t>紧急粮食援助与救济委员会。</w:t>
      </w:r>
    </w:p>
    <w:p w:rsidR="00692915" w:rsidRDefault="00692915">
      <w:pPr>
        <w:pStyle w:val="Heading3"/>
        <w:tabs>
          <w:tab w:val="left" w:pos="1170"/>
        </w:tabs>
        <w:jc w:val="both"/>
        <w:rPr>
          <w:rFonts w:eastAsia="KaiTi_GB2312" w:hint="eastAsia"/>
          <w:color w:val="000000"/>
          <w:u w:val="none"/>
        </w:rPr>
      </w:pPr>
      <w:r>
        <w:rPr>
          <w:rFonts w:eastAsia="KaiTi_GB2312" w:hint="eastAsia"/>
          <w:color w:val="000000"/>
          <w:u w:val="none"/>
        </w:rPr>
        <w:t>人权与正义监察员办公室</w:t>
      </w:r>
      <w:r>
        <w:rPr>
          <w:rFonts w:eastAsia="KaiTi_GB2312" w:hint="eastAsia"/>
          <w:color w:val="000000"/>
          <w:u w:val="none"/>
        </w:rPr>
        <w:t xml:space="preserve"> </w:t>
      </w:r>
    </w:p>
    <w:p w:rsidR="00692915" w:rsidRDefault="00692915" w:rsidP="009A1C1B">
      <w:pPr>
        <w:tabs>
          <w:tab w:val="left" w:pos="1170"/>
        </w:tabs>
        <w:ind w:firstLine="31680"/>
        <w:rPr>
          <w:rFonts w:hint="eastAsia"/>
          <w:bCs/>
          <w:color w:val="000000"/>
        </w:rPr>
      </w:pPr>
      <w:r>
        <w:rPr>
          <w:color w:val="000000"/>
        </w:rPr>
        <w:t>152.</w:t>
      </w:r>
      <w:r>
        <w:rPr>
          <w:color w:val="000000"/>
        </w:rPr>
        <w:tab/>
      </w:r>
      <w:r>
        <w:rPr>
          <w:rFonts w:hint="eastAsia"/>
          <w:bCs/>
          <w:color w:val="000000"/>
        </w:rPr>
        <w:t>《东帝汶宪法》第</w:t>
      </w:r>
      <w:r>
        <w:rPr>
          <w:rFonts w:hint="eastAsia"/>
          <w:bCs/>
          <w:color w:val="000000"/>
        </w:rPr>
        <w:t>27</w:t>
      </w:r>
      <w:r>
        <w:rPr>
          <w:rFonts w:hint="eastAsia"/>
          <w:bCs/>
          <w:color w:val="000000"/>
        </w:rPr>
        <w:t>条对人权与正义监察员办公室的设立做出了规定，该机构通常称为“监察办公室”，是东帝汶国内负责促进和保护人权的重要机构。为了将这种宪法规定付诸实施，第</w:t>
      </w:r>
      <w:r>
        <w:rPr>
          <w:bCs/>
          <w:color w:val="000000"/>
        </w:rPr>
        <w:t>7/2004</w:t>
      </w:r>
      <w:r>
        <w:rPr>
          <w:rFonts w:hint="eastAsia"/>
          <w:bCs/>
          <w:color w:val="000000"/>
        </w:rPr>
        <w:t>号法律《人权与正义监察员办公室条例》进一步将监察员办公室确定为：一家独立的监察机构，负责检查公民对公共机构（包括东帝汶国家警察和东帝汶武装部队）滥用权力行为的投诉，确定相应的解决方案；确认行为是否合法；防止司法不公正；启动补救司法不公正的程序。</w:t>
      </w:r>
      <w:r>
        <w:rPr>
          <w:rStyle w:val="FootnoteReference"/>
          <w:bCs/>
          <w:color w:val="000000"/>
        </w:rPr>
        <w:footnoteReference w:id="99"/>
      </w:r>
    </w:p>
    <w:p w:rsidR="00692915" w:rsidRDefault="00692915" w:rsidP="009A1C1B">
      <w:pPr>
        <w:tabs>
          <w:tab w:val="left" w:pos="1170"/>
        </w:tabs>
        <w:ind w:firstLine="31680"/>
        <w:rPr>
          <w:rFonts w:hint="eastAsia"/>
          <w:bCs/>
          <w:color w:val="000000"/>
        </w:rPr>
      </w:pPr>
      <w:r>
        <w:rPr>
          <w:bCs/>
          <w:color w:val="000000"/>
        </w:rPr>
        <w:t>153.</w:t>
      </w:r>
      <w:r>
        <w:rPr>
          <w:rFonts w:hint="eastAsia"/>
          <w:bCs/>
          <w:color w:val="000000"/>
        </w:rPr>
        <w:tab/>
      </w:r>
      <w:r>
        <w:rPr>
          <w:rFonts w:hint="eastAsia"/>
          <w:bCs/>
          <w:color w:val="000000"/>
        </w:rPr>
        <w:t>作为其广泛职责的一部分，监察员办公室还具有以下权力：</w:t>
      </w:r>
    </w:p>
    <w:p w:rsidR="00692915" w:rsidRDefault="00692915" w:rsidP="009A1C1B">
      <w:pPr>
        <w:numPr>
          <w:ilvl w:val="0"/>
          <w:numId w:val="17"/>
        </w:numPr>
        <w:tabs>
          <w:tab w:val="clear" w:pos="927"/>
          <w:tab w:val="num" w:pos="1690"/>
        </w:tabs>
        <w:ind w:leftChars="450" w:left="31680" w:hangingChars="200" w:firstLine="31680"/>
        <w:rPr>
          <w:color w:val="000000"/>
        </w:rPr>
      </w:pPr>
      <w:r>
        <w:rPr>
          <w:rFonts w:hint="eastAsia"/>
          <w:color w:val="000000"/>
        </w:rPr>
        <w:t>对侵犯基本人权、自由和权益保障的行为；滥用权力、暴政、违法、显失司法公正和缺乏正当程序的行为；以及裙带关系、相互勾结、以权谋私和腐败行为进行调查；</w:t>
      </w:r>
    </w:p>
    <w:p w:rsidR="00692915" w:rsidRDefault="00692915" w:rsidP="009A1C1B">
      <w:pPr>
        <w:numPr>
          <w:ilvl w:val="0"/>
          <w:numId w:val="17"/>
        </w:numPr>
        <w:tabs>
          <w:tab w:val="clear" w:pos="927"/>
          <w:tab w:val="num" w:pos="1690"/>
        </w:tabs>
        <w:ind w:leftChars="450" w:left="31680" w:hangingChars="200" w:firstLine="31680"/>
        <w:rPr>
          <w:color w:val="000000"/>
        </w:rPr>
      </w:pPr>
      <w:r>
        <w:rPr>
          <w:rFonts w:hint="eastAsia"/>
          <w:color w:val="000000"/>
        </w:rPr>
        <w:t>对公共主管机构（主要是政府机构）及其所属机构、负责行使公共职能和服务的私人实体进行监督，以确定它们是否履行各自的职责；还可以对全面或普遍侵犯人权情况、暴政或腐败行为进行调查；</w:t>
      </w:r>
    </w:p>
    <w:p w:rsidR="00692915" w:rsidRDefault="00692915" w:rsidP="009A1C1B">
      <w:pPr>
        <w:numPr>
          <w:ilvl w:val="0"/>
          <w:numId w:val="17"/>
        </w:numPr>
        <w:tabs>
          <w:tab w:val="clear" w:pos="927"/>
          <w:tab w:val="num" w:pos="1690"/>
        </w:tabs>
        <w:ind w:leftChars="450" w:left="31680" w:hangingChars="200" w:firstLine="31680"/>
        <w:rPr>
          <w:color w:val="000000"/>
        </w:rPr>
      </w:pPr>
      <w:r>
        <w:rPr>
          <w:rFonts w:hint="eastAsia"/>
          <w:color w:val="000000"/>
        </w:rPr>
        <w:t>对立法进行审查，以确保《宪法》和国际人权标准得以遵守，介入法庭案件，对签署国际人权文书提出建议，向公众进行人权宣传；</w:t>
      </w:r>
    </w:p>
    <w:p w:rsidR="00692915" w:rsidRDefault="00692915" w:rsidP="009A1C1B">
      <w:pPr>
        <w:numPr>
          <w:ilvl w:val="0"/>
          <w:numId w:val="17"/>
        </w:numPr>
        <w:tabs>
          <w:tab w:val="clear" w:pos="927"/>
          <w:tab w:val="num" w:pos="1690"/>
        </w:tabs>
        <w:spacing w:after="240"/>
        <w:ind w:leftChars="450" w:left="31680" w:hangingChars="200" w:firstLine="31680"/>
        <w:rPr>
          <w:bCs/>
          <w:color w:val="000000"/>
        </w:rPr>
      </w:pPr>
      <w:r>
        <w:rPr>
          <w:rFonts w:hint="eastAsia"/>
          <w:color w:val="000000"/>
        </w:rPr>
        <w:t xml:space="preserve"> </w:t>
      </w:r>
      <w:r>
        <w:rPr>
          <w:rFonts w:hint="eastAsia"/>
          <w:color w:val="000000"/>
        </w:rPr>
        <w:t>在必要的时候，要求最高法院对不执行法律措施而引起的违宪行为进行审查，以维护《宪法》的实施。</w:t>
      </w:r>
      <w:r>
        <w:rPr>
          <w:bCs/>
          <w:color w:val="000000"/>
          <w:vertAlign w:val="superscript"/>
        </w:rPr>
        <w:footnoteReference w:id="100"/>
      </w:r>
    </w:p>
    <w:p w:rsidR="00692915" w:rsidRDefault="00692915" w:rsidP="009A1C1B">
      <w:pPr>
        <w:tabs>
          <w:tab w:val="left" w:pos="1170"/>
        </w:tabs>
        <w:ind w:firstLine="31680"/>
        <w:rPr>
          <w:rFonts w:hint="eastAsia"/>
          <w:bCs/>
          <w:color w:val="000000"/>
        </w:rPr>
      </w:pPr>
      <w:r>
        <w:rPr>
          <w:bCs/>
          <w:color w:val="000000"/>
        </w:rPr>
        <w:t>154.</w:t>
      </w:r>
      <w:r>
        <w:rPr>
          <w:bCs/>
          <w:color w:val="000000"/>
        </w:rPr>
        <w:tab/>
      </w:r>
      <w:r>
        <w:rPr>
          <w:rFonts w:hint="eastAsia"/>
          <w:bCs/>
          <w:color w:val="000000"/>
        </w:rPr>
        <w:t>对于公共机构的作为或不作为，任何个人都可以向监察员办公室投诉，监察员办公室无权对此做出裁定，但可以在对有关行为进行检查后，向有关当局提出适当建议，以防止或纠正违法或司法不公正的行为。</w:t>
      </w:r>
      <w:r>
        <w:rPr>
          <w:rStyle w:val="FootnoteReference"/>
          <w:bCs/>
          <w:color w:val="000000"/>
        </w:rPr>
        <w:footnoteReference w:id="101"/>
      </w:r>
      <w:r>
        <w:rPr>
          <w:rFonts w:hint="eastAsia"/>
          <w:bCs/>
          <w:color w:val="000000"/>
        </w:rPr>
        <w:t>在后一种情况下，监察员办公室还可以对申诉人与有关机构之间的关系进行调节。</w:t>
      </w:r>
    </w:p>
    <w:p w:rsidR="00692915" w:rsidRDefault="00692915" w:rsidP="009A1C1B">
      <w:pPr>
        <w:tabs>
          <w:tab w:val="left" w:pos="1170"/>
        </w:tabs>
        <w:ind w:firstLine="31680"/>
        <w:rPr>
          <w:rFonts w:hint="eastAsia"/>
          <w:bCs/>
          <w:color w:val="000000"/>
        </w:rPr>
      </w:pPr>
      <w:r>
        <w:rPr>
          <w:bCs/>
          <w:color w:val="000000"/>
        </w:rPr>
        <w:t>155.</w:t>
      </w:r>
      <w:r>
        <w:rPr>
          <w:bCs/>
          <w:color w:val="000000"/>
        </w:rPr>
        <w:tab/>
      </w:r>
      <w:r>
        <w:rPr>
          <w:rFonts w:hint="eastAsia"/>
          <w:bCs/>
          <w:color w:val="000000"/>
        </w:rPr>
        <w:t>监察员办公室的另一项主要任务就是向公众进行宣传，促进人权和善治。有关立法特别规定，该机构应让公众了解其存在和任务。该立法还包括一些其他方面的重要保障措施，如：将有意妨碍监察员办公室履行其职能的行为确定为犯罪，对监察员办公室的财务透明度做出相关规定。监察员办公室共有</w:t>
      </w:r>
      <w:r>
        <w:rPr>
          <w:rFonts w:hint="eastAsia"/>
          <w:bCs/>
          <w:color w:val="000000"/>
        </w:rPr>
        <w:t>18</w:t>
      </w:r>
      <w:r>
        <w:rPr>
          <w:rFonts w:hint="eastAsia"/>
          <w:bCs/>
          <w:color w:val="000000"/>
        </w:rPr>
        <w:t>名职员，在必要的时候，其中将包括地区宣传人员。</w:t>
      </w:r>
    </w:p>
    <w:p w:rsidR="00692915" w:rsidRDefault="00692915" w:rsidP="009A1C1B">
      <w:pPr>
        <w:tabs>
          <w:tab w:val="left" w:pos="1170"/>
        </w:tabs>
        <w:ind w:firstLine="31680"/>
        <w:rPr>
          <w:rFonts w:hint="eastAsia"/>
          <w:bCs/>
          <w:color w:val="000000"/>
        </w:rPr>
      </w:pPr>
      <w:r>
        <w:rPr>
          <w:bCs/>
          <w:color w:val="000000"/>
        </w:rPr>
        <w:t>156.</w:t>
      </w:r>
      <w:r>
        <w:rPr>
          <w:bCs/>
          <w:color w:val="000000"/>
        </w:rPr>
        <w:tab/>
      </w:r>
      <w:r>
        <w:rPr>
          <w:rFonts w:hint="eastAsia"/>
          <w:bCs/>
          <w:color w:val="000000"/>
        </w:rPr>
        <w:t xml:space="preserve"> </w:t>
      </w:r>
      <w:r>
        <w:rPr>
          <w:rFonts w:hint="eastAsia"/>
          <w:bCs/>
          <w:color w:val="000000"/>
        </w:rPr>
        <w:t>有关监察员办公室的相关法律在其第</w:t>
      </w:r>
      <w:r>
        <w:rPr>
          <w:rFonts w:hint="eastAsia"/>
          <w:bCs/>
          <w:color w:val="000000"/>
        </w:rPr>
        <w:t>34</w:t>
      </w:r>
      <w:r>
        <w:rPr>
          <w:rFonts w:hint="eastAsia"/>
          <w:bCs/>
          <w:color w:val="000000"/>
        </w:rPr>
        <w:t>条中规定，监察员应每年向国民议会报告其工作情况。在履行其职责的过程中，监察员办公室还应协调和配合其他类似机构的工作，在有这种必要的情况下，监察员可以做出决定，直接向公众通告；就其对特殊情况的意见、建议和报告或其活动发出公报或公布相关信息。</w:t>
      </w:r>
    </w:p>
    <w:p w:rsidR="00692915" w:rsidRDefault="00692915" w:rsidP="009A1C1B">
      <w:pPr>
        <w:tabs>
          <w:tab w:val="left" w:pos="1170"/>
        </w:tabs>
        <w:ind w:firstLine="31680"/>
        <w:rPr>
          <w:rFonts w:hint="eastAsia"/>
          <w:bCs/>
          <w:color w:val="000000"/>
        </w:rPr>
      </w:pPr>
      <w:r>
        <w:rPr>
          <w:bCs/>
          <w:color w:val="000000"/>
        </w:rPr>
        <w:t>157.</w:t>
      </w:r>
      <w:r>
        <w:rPr>
          <w:bCs/>
          <w:color w:val="000000"/>
        </w:rPr>
        <w:tab/>
      </w:r>
      <w:r>
        <w:rPr>
          <w:rFonts w:hint="eastAsia"/>
          <w:bCs/>
          <w:color w:val="000000"/>
        </w:rPr>
        <w:t>现有监察员是于</w:t>
      </w:r>
      <w:r>
        <w:rPr>
          <w:rFonts w:hint="eastAsia"/>
          <w:bCs/>
          <w:color w:val="000000"/>
        </w:rPr>
        <w:t>2005</w:t>
      </w:r>
      <w:r>
        <w:rPr>
          <w:rFonts w:hint="eastAsia"/>
          <w:bCs/>
          <w:color w:val="000000"/>
        </w:rPr>
        <w:t>年</w:t>
      </w:r>
      <w:r>
        <w:rPr>
          <w:rFonts w:hint="eastAsia"/>
          <w:bCs/>
          <w:color w:val="000000"/>
        </w:rPr>
        <w:t>3</w:t>
      </w:r>
      <w:r>
        <w:rPr>
          <w:rFonts w:hint="eastAsia"/>
          <w:bCs/>
          <w:color w:val="000000"/>
        </w:rPr>
        <w:t>月</w:t>
      </w:r>
      <w:r>
        <w:rPr>
          <w:rFonts w:hint="eastAsia"/>
          <w:bCs/>
          <w:color w:val="000000"/>
        </w:rPr>
        <w:t>29</w:t>
      </w:r>
      <w:r>
        <w:rPr>
          <w:rFonts w:hint="eastAsia"/>
          <w:bCs/>
          <w:color w:val="000000"/>
        </w:rPr>
        <w:t>日，按照国民议会有关监察员选举的宪法要求，以绝对多数票入选的。</w:t>
      </w:r>
      <w:r>
        <w:rPr>
          <w:rStyle w:val="FootnoteReference"/>
          <w:bCs/>
          <w:color w:val="000000"/>
        </w:rPr>
        <w:footnoteReference w:id="102"/>
      </w:r>
      <w:r>
        <w:rPr>
          <w:rFonts w:hint="eastAsia"/>
          <w:bCs/>
          <w:color w:val="000000"/>
        </w:rPr>
        <w:t>2005</w:t>
      </w:r>
      <w:r>
        <w:rPr>
          <w:rFonts w:hint="eastAsia"/>
          <w:bCs/>
          <w:color w:val="000000"/>
        </w:rPr>
        <w:t>年</w:t>
      </w:r>
      <w:r>
        <w:rPr>
          <w:rFonts w:hint="eastAsia"/>
          <w:bCs/>
          <w:color w:val="000000"/>
        </w:rPr>
        <w:t>6</w:t>
      </w:r>
      <w:r>
        <w:rPr>
          <w:rFonts w:hint="eastAsia"/>
          <w:bCs/>
          <w:color w:val="000000"/>
        </w:rPr>
        <w:t>月，监察员在国民议会上宣誓就职。监察员挑选了两名副监察员，一名为人权问题监察员，另一名为反腐败和暴政问题监察员，不久之后，这两名专员也在国民议会上宣誓就职。监察员办公室的初建阶段，主要工作是招聘和培训人员、制定战略计划和建立投诉处理机制。</w:t>
      </w:r>
    </w:p>
    <w:p w:rsidR="00692915" w:rsidRDefault="00692915" w:rsidP="009A1C1B">
      <w:pPr>
        <w:tabs>
          <w:tab w:val="left" w:pos="1170"/>
        </w:tabs>
        <w:ind w:firstLine="31680"/>
        <w:rPr>
          <w:rFonts w:hint="eastAsia"/>
          <w:bCs/>
          <w:color w:val="000000"/>
        </w:rPr>
      </w:pPr>
      <w:r>
        <w:rPr>
          <w:bCs/>
          <w:color w:val="000000"/>
        </w:rPr>
        <w:t>158.</w:t>
      </w:r>
      <w:r>
        <w:rPr>
          <w:bCs/>
          <w:color w:val="000000"/>
        </w:rPr>
        <w:tab/>
      </w:r>
      <w:r>
        <w:rPr>
          <w:rFonts w:hint="eastAsia"/>
          <w:bCs/>
          <w:color w:val="000000"/>
        </w:rPr>
        <w:t>除监察员和副监察员外，目前只为</w:t>
      </w:r>
      <w:r>
        <w:rPr>
          <w:rFonts w:hint="eastAsia"/>
          <w:bCs/>
          <w:color w:val="000000"/>
        </w:rPr>
        <w:t>12</w:t>
      </w:r>
      <w:r>
        <w:rPr>
          <w:rFonts w:hint="eastAsia"/>
          <w:bCs/>
          <w:color w:val="000000"/>
        </w:rPr>
        <w:t>名正式职员提供了预算拨款。目前，这些职位已经满员。显然，拨款不能满足监察员办公室行使其必要职能的需要，已经提出申请要求增加</w:t>
      </w:r>
      <w:r>
        <w:rPr>
          <w:rFonts w:hint="eastAsia"/>
          <w:bCs/>
          <w:color w:val="000000"/>
        </w:rPr>
        <w:t>2006/2007</w:t>
      </w:r>
      <w:r>
        <w:rPr>
          <w:rFonts w:hint="eastAsia"/>
          <w:bCs/>
          <w:color w:val="000000"/>
        </w:rPr>
        <w:t>年的预算，最近，该预算已获部长理事会的批准，目前还有待议会的审议。</w:t>
      </w:r>
      <w:r>
        <w:rPr>
          <w:rFonts w:hint="eastAsia"/>
          <w:bCs/>
          <w:color w:val="000000"/>
        </w:rPr>
        <w:t>2005</w:t>
      </w:r>
      <w:r>
        <w:rPr>
          <w:rFonts w:hint="eastAsia"/>
          <w:bCs/>
          <w:color w:val="000000"/>
        </w:rPr>
        <w:t>年对职员进行了反腐败和人权方面的入职培训，</w:t>
      </w:r>
      <w:r>
        <w:rPr>
          <w:rFonts w:hint="eastAsia"/>
          <w:bCs/>
          <w:color w:val="000000"/>
        </w:rPr>
        <w:t>2006</w:t>
      </w:r>
      <w:r>
        <w:rPr>
          <w:rFonts w:hint="eastAsia"/>
          <w:bCs/>
          <w:color w:val="000000"/>
        </w:rPr>
        <w:t>年</w:t>
      </w:r>
      <w:r>
        <w:rPr>
          <w:rFonts w:hint="eastAsia"/>
          <w:bCs/>
          <w:color w:val="000000"/>
        </w:rPr>
        <w:t>1</w:t>
      </w:r>
      <w:r>
        <w:rPr>
          <w:rFonts w:hint="eastAsia"/>
          <w:bCs/>
          <w:color w:val="000000"/>
        </w:rPr>
        <w:t>月进行了反暴政方面的入职培训。职员到岗后，还将进行强化培训。</w:t>
      </w:r>
    </w:p>
    <w:p w:rsidR="00692915" w:rsidRDefault="00692915" w:rsidP="009A1C1B">
      <w:pPr>
        <w:tabs>
          <w:tab w:val="left" w:pos="1170"/>
        </w:tabs>
        <w:ind w:firstLine="31680"/>
        <w:rPr>
          <w:rFonts w:hint="eastAsia"/>
          <w:bCs/>
          <w:color w:val="000000"/>
        </w:rPr>
      </w:pPr>
      <w:r>
        <w:rPr>
          <w:bCs/>
          <w:color w:val="000000"/>
        </w:rPr>
        <w:t>159.</w:t>
      </w:r>
      <w:r>
        <w:rPr>
          <w:bCs/>
          <w:color w:val="000000"/>
        </w:rPr>
        <w:tab/>
      </w:r>
      <w:r>
        <w:rPr>
          <w:rFonts w:hint="eastAsia"/>
          <w:bCs/>
          <w:color w:val="000000"/>
        </w:rPr>
        <w:t>政府为支持人权机构所制定的总计划之一就是重点关注监察员办公室的建设，强化其职能，使其能够对报告的所有腐败案件、挪用公共资产和相关的违规案件进行全面调查，包括在必要的时候，对检察官的调查。如果要提高公众对该部门的信任，这将是一项关键的工作。</w:t>
      </w:r>
    </w:p>
    <w:p w:rsidR="00692915" w:rsidRDefault="00692915" w:rsidP="009A1C1B">
      <w:pPr>
        <w:tabs>
          <w:tab w:val="left" w:pos="1170"/>
        </w:tabs>
        <w:ind w:firstLine="31680"/>
        <w:rPr>
          <w:rFonts w:hint="eastAsia"/>
          <w:bCs/>
          <w:color w:val="000000"/>
        </w:rPr>
      </w:pPr>
      <w:r>
        <w:rPr>
          <w:bCs/>
          <w:color w:val="000000"/>
        </w:rPr>
        <w:t>160.</w:t>
      </w:r>
      <w:r>
        <w:rPr>
          <w:bCs/>
          <w:color w:val="000000"/>
        </w:rPr>
        <w:tab/>
      </w:r>
      <w:r>
        <w:rPr>
          <w:rFonts w:hint="eastAsia"/>
          <w:bCs/>
          <w:color w:val="000000"/>
        </w:rPr>
        <w:t xml:space="preserve"> </w:t>
      </w:r>
      <w:r>
        <w:rPr>
          <w:rFonts w:hint="eastAsia"/>
          <w:bCs/>
          <w:color w:val="000000"/>
        </w:rPr>
        <w:t>在处理侵犯人权案件、暴政和腐败案件时，重要政府部门和机构的配合也对监察员办公室工作的成功至关重要，其中包括：检察长办公室、监察长办公室、总理办公室、促进平等事务总理顾问办公室、东帝汶国家警察和东帝汶武装部队。监察员办公室正编写下一年的《谅解备忘录》，以便为其与各重要机构之间的关系提供指导。另外，还计划建立一个非政府组织网络。为方便公众，还有必要建立地区办公室。监察员办公室计划在</w:t>
      </w:r>
      <w:r>
        <w:rPr>
          <w:rFonts w:hint="eastAsia"/>
          <w:bCs/>
          <w:color w:val="000000"/>
        </w:rPr>
        <w:t>2008</w:t>
      </w:r>
      <w:r>
        <w:rPr>
          <w:rFonts w:hint="eastAsia"/>
          <w:bCs/>
          <w:color w:val="000000"/>
        </w:rPr>
        <w:t>年以前设立两家这样的机构。</w:t>
      </w:r>
    </w:p>
    <w:p w:rsidR="00692915" w:rsidRDefault="00692915" w:rsidP="009A1C1B">
      <w:pPr>
        <w:tabs>
          <w:tab w:val="left" w:pos="1170"/>
        </w:tabs>
        <w:spacing w:after="240"/>
        <w:ind w:firstLine="31680"/>
        <w:rPr>
          <w:rFonts w:hint="eastAsia"/>
          <w:bCs/>
          <w:color w:val="000000"/>
        </w:rPr>
      </w:pPr>
      <w:r>
        <w:rPr>
          <w:bCs/>
          <w:color w:val="000000"/>
        </w:rPr>
        <w:t>161.</w:t>
      </w:r>
      <w:r>
        <w:rPr>
          <w:bCs/>
          <w:color w:val="000000"/>
        </w:rPr>
        <w:tab/>
      </w:r>
      <w:r>
        <w:rPr>
          <w:rFonts w:hint="eastAsia"/>
          <w:bCs/>
          <w:color w:val="000000"/>
        </w:rPr>
        <w:t>在与世界银行和美国国际开发署进行讨论后，目前正在实施各种旨在支持监察员办公室的计划，计划金额达</w:t>
      </w:r>
      <w:r>
        <w:rPr>
          <w:bCs/>
          <w:color w:val="000000"/>
        </w:rPr>
        <w:t>850</w:t>
      </w:r>
      <w:r>
        <w:rPr>
          <w:rFonts w:hint="eastAsia"/>
          <w:bCs/>
          <w:color w:val="000000"/>
        </w:rPr>
        <w:t xml:space="preserve"> </w:t>
      </w:r>
      <w:r>
        <w:rPr>
          <w:bCs/>
          <w:color w:val="000000"/>
        </w:rPr>
        <w:t>000</w:t>
      </w:r>
      <w:r>
        <w:rPr>
          <w:rFonts w:hint="eastAsia"/>
          <w:bCs/>
          <w:color w:val="000000"/>
        </w:rPr>
        <w:t>美元。目前实施的该世界银行项目将于</w:t>
      </w:r>
      <w:r>
        <w:rPr>
          <w:rFonts w:hint="eastAsia"/>
          <w:bCs/>
          <w:color w:val="000000"/>
        </w:rPr>
        <w:t>2006</w:t>
      </w:r>
      <w:r>
        <w:rPr>
          <w:rFonts w:hint="eastAsia"/>
          <w:bCs/>
          <w:color w:val="000000"/>
        </w:rPr>
        <w:t>年末结束。目前，正在寻求其他方面的多边或双边支持。不言而喻，监察员办公室将在一段时间内需要有大量的支持。如上所述，为了让监察员办公室能够圆满完成任务，政府需要大幅提高其对该机构的国家预算拨款。</w:t>
      </w:r>
    </w:p>
    <w:p w:rsidR="00692915" w:rsidRDefault="00692915">
      <w:pPr>
        <w:pStyle w:val="Heading3"/>
        <w:tabs>
          <w:tab w:val="left" w:pos="1170"/>
        </w:tabs>
        <w:jc w:val="both"/>
        <w:rPr>
          <w:rFonts w:eastAsia="KaiTi_GB2312" w:hint="eastAsia"/>
          <w:color w:val="000000"/>
          <w:u w:val="none"/>
        </w:rPr>
      </w:pPr>
      <w:r>
        <w:rPr>
          <w:rFonts w:eastAsia="KaiTi_GB2312" w:hint="eastAsia"/>
          <w:color w:val="000000"/>
          <w:u w:val="none"/>
        </w:rPr>
        <w:t>最高上诉法院</w:t>
      </w:r>
    </w:p>
    <w:p w:rsidR="00692915" w:rsidRDefault="00692915" w:rsidP="009A1C1B">
      <w:pPr>
        <w:tabs>
          <w:tab w:val="left" w:pos="1170"/>
        </w:tabs>
        <w:spacing w:afterLines="50" w:after="180"/>
        <w:ind w:firstLine="31680"/>
        <w:rPr>
          <w:rFonts w:hint="eastAsia"/>
          <w:bCs/>
          <w:color w:val="000000"/>
        </w:rPr>
      </w:pPr>
      <w:r>
        <w:rPr>
          <w:bCs/>
          <w:color w:val="000000"/>
        </w:rPr>
        <w:t>162.</w:t>
      </w:r>
      <w:r>
        <w:rPr>
          <w:bCs/>
          <w:color w:val="000000"/>
        </w:rPr>
        <w:tab/>
      </w:r>
      <w:r>
        <w:rPr>
          <w:rFonts w:hint="eastAsia"/>
          <w:bCs/>
          <w:color w:val="000000"/>
        </w:rPr>
        <w:t>最高法院有权检查并宣布</w:t>
      </w:r>
      <w:r>
        <w:rPr>
          <w:rFonts w:hint="eastAsia"/>
          <w:color w:val="000000"/>
        </w:rPr>
        <w:t>国家机关的规范性行为和立法行为是否违宪或违反了法律规定。</w:t>
      </w:r>
      <w:r>
        <w:rPr>
          <w:rStyle w:val="FootnoteReference"/>
          <w:bCs/>
          <w:color w:val="000000"/>
        </w:rPr>
        <w:footnoteReference w:id="103"/>
      </w:r>
      <w:r>
        <w:rPr>
          <w:rFonts w:hint="eastAsia"/>
          <w:color w:val="000000"/>
        </w:rPr>
        <w:t>在没有高级法院的情况下，由上诉法院行使这一职责。</w:t>
      </w:r>
    </w:p>
    <w:p w:rsidR="00692915" w:rsidRDefault="00692915">
      <w:pPr>
        <w:pStyle w:val="Heading2"/>
        <w:tabs>
          <w:tab w:val="left" w:pos="520"/>
        </w:tabs>
        <w:jc w:val="both"/>
        <w:rPr>
          <w:color w:val="000000"/>
          <w:sz w:val="24"/>
        </w:rPr>
      </w:pPr>
      <w:r>
        <w:rPr>
          <w:color w:val="000000"/>
          <w:sz w:val="24"/>
        </w:rPr>
        <w:t>2.</w:t>
      </w:r>
      <w:r>
        <w:rPr>
          <w:rFonts w:hint="eastAsia"/>
          <w:color w:val="000000"/>
          <w:sz w:val="24"/>
        </w:rPr>
        <w:t xml:space="preserve"> </w:t>
      </w:r>
      <w:r>
        <w:rPr>
          <w:rFonts w:hint="eastAsia"/>
          <w:color w:val="000000"/>
          <w:sz w:val="24"/>
        </w:rPr>
        <w:tab/>
      </w:r>
      <w:r>
        <w:rPr>
          <w:rFonts w:hint="eastAsia"/>
          <w:color w:val="000000"/>
          <w:sz w:val="24"/>
          <w:u w:val="single"/>
        </w:rPr>
        <w:t>政府专门机构的任务</w:t>
      </w:r>
      <w:r>
        <w:rPr>
          <w:rStyle w:val="FootnoteReference"/>
          <w:color w:val="000000"/>
        </w:rPr>
        <w:footnoteReference w:id="104"/>
      </w:r>
    </w:p>
    <w:p w:rsidR="00692915" w:rsidRDefault="00692915" w:rsidP="009A1C1B">
      <w:pPr>
        <w:tabs>
          <w:tab w:val="left" w:pos="1170"/>
        </w:tabs>
        <w:spacing w:after="240"/>
        <w:ind w:firstLine="31680"/>
        <w:rPr>
          <w:rFonts w:hint="eastAsia"/>
          <w:bCs/>
          <w:color w:val="000000"/>
        </w:rPr>
      </w:pPr>
      <w:r>
        <w:rPr>
          <w:bCs/>
          <w:color w:val="000000"/>
        </w:rPr>
        <w:t>163.</w:t>
      </w:r>
      <w:r>
        <w:rPr>
          <w:bCs/>
          <w:color w:val="000000"/>
        </w:rPr>
        <w:tab/>
      </w:r>
      <w:r>
        <w:rPr>
          <w:rFonts w:hint="eastAsia"/>
          <w:bCs/>
          <w:color w:val="000000"/>
        </w:rPr>
        <w:t>政府高度重视促进人权和性别平等的工作，已经在政府行政部门内设立了专门机构，以帮助制定这些领域的政策和计划，其中包括促进平等事务总理顾问办公室和人权事务总理顾问办公室，这两个机构都直接向总理报告。</w:t>
      </w:r>
    </w:p>
    <w:p w:rsidR="00692915" w:rsidRDefault="00692915">
      <w:pPr>
        <w:pStyle w:val="Heading3"/>
        <w:tabs>
          <w:tab w:val="left" w:pos="1170"/>
        </w:tabs>
        <w:jc w:val="both"/>
        <w:rPr>
          <w:rFonts w:eastAsia="KaiTi_GB2312" w:hint="eastAsia"/>
          <w:color w:val="000000"/>
          <w:u w:val="none"/>
        </w:rPr>
      </w:pPr>
      <w:r>
        <w:rPr>
          <w:rFonts w:eastAsia="KaiTi_GB2312" w:hint="eastAsia"/>
          <w:color w:val="000000"/>
          <w:u w:val="none"/>
        </w:rPr>
        <w:t>人权事务总理顾问办公室</w:t>
      </w:r>
    </w:p>
    <w:p w:rsidR="00692915" w:rsidRDefault="00692915" w:rsidP="009A1C1B">
      <w:pPr>
        <w:tabs>
          <w:tab w:val="left" w:pos="1170"/>
        </w:tabs>
        <w:ind w:firstLine="31680"/>
        <w:rPr>
          <w:rFonts w:hint="eastAsia"/>
          <w:bCs/>
          <w:color w:val="000000"/>
          <w:szCs w:val="24"/>
        </w:rPr>
      </w:pPr>
      <w:r>
        <w:rPr>
          <w:bCs/>
          <w:color w:val="000000"/>
        </w:rPr>
        <w:t>164.</w:t>
      </w:r>
      <w:r>
        <w:rPr>
          <w:bCs/>
          <w:color w:val="000000"/>
        </w:rPr>
        <w:tab/>
      </w:r>
      <w:r>
        <w:rPr>
          <w:rFonts w:hint="eastAsia"/>
          <w:bCs/>
          <w:color w:val="000000"/>
        </w:rPr>
        <w:t>人权事务总理顾问办公室在总理的直接领导下开展工作，旨在为政府制定机构善治和人权方面的政策，其任务是通过制定各种战略、计划和政策，在全国促进、实施和加强人权问题的处理机制。为此目的，该办公室负责从人权的角度对政府的立法草案、政策和计划进行审查，对国家各人权机构的设立和运作提供意见，对培训课程进行审查，为公共部门官员和民间社会提供人权培训方面的指导，为政府签署人权公约提供建议，协助履行国家依据国际人权条约所应承担的责任。</w:t>
      </w:r>
      <w:r>
        <w:rPr>
          <w:rFonts w:hint="eastAsia"/>
          <w:bCs/>
          <w:color w:val="000000"/>
        </w:rPr>
        <w:t xml:space="preserve"> </w:t>
      </w:r>
      <w:r>
        <w:rPr>
          <w:rFonts w:hint="eastAsia"/>
          <w:bCs/>
          <w:color w:val="000000"/>
          <w:szCs w:val="24"/>
        </w:rPr>
        <w:t>另外，该办公室还与各个办公室保持联系（包括检察长办公室），以加强各机构为民洗冤的机制，编制定期报告以提供统计信息和对人权问题进行分析。</w:t>
      </w:r>
    </w:p>
    <w:p w:rsidR="00692915" w:rsidRDefault="00692915" w:rsidP="009A1C1B">
      <w:pPr>
        <w:tabs>
          <w:tab w:val="left" w:pos="1170"/>
        </w:tabs>
        <w:ind w:firstLine="31680"/>
        <w:rPr>
          <w:rFonts w:hint="eastAsia"/>
          <w:bCs/>
          <w:color w:val="000000"/>
        </w:rPr>
      </w:pPr>
      <w:r>
        <w:rPr>
          <w:bCs/>
          <w:color w:val="000000"/>
        </w:rPr>
        <w:t>165.</w:t>
      </w:r>
      <w:r>
        <w:rPr>
          <w:bCs/>
          <w:color w:val="000000"/>
        </w:rPr>
        <w:tab/>
      </w:r>
      <w:r>
        <w:rPr>
          <w:rFonts w:hint="eastAsia"/>
          <w:bCs/>
          <w:color w:val="000000"/>
        </w:rPr>
        <w:t xml:space="preserve"> </w:t>
      </w:r>
      <w:r>
        <w:rPr>
          <w:rFonts w:hint="eastAsia"/>
          <w:bCs/>
          <w:color w:val="000000"/>
        </w:rPr>
        <w:t>该办公室还负责对各种与人权、善治和公共管理事宜有关的问题和疑问提出意见、建议和评价，支持相关部门制定各种与人权和善治有关的教育及培训计划，并在各种有关人权和治理的问题上，与其他各个政府部门和捐助者保持密切联系。</w:t>
      </w:r>
    </w:p>
    <w:p w:rsidR="00692915" w:rsidRDefault="00692915" w:rsidP="009A1C1B">
      <w:pPr>
        <w:tabs>
          <w:tab w:val="left" w:pos="1170"/>
        </w:tabs>
        <w:ind w:firstLine="31680"/>
        <w:rPr>
          <w:bCs/>
          <w:color w:val="000000"/>
        </w:rPr>
      </w:pPr>
      <w:r>
        <w:rPr>
          <w:bCs/>
          <w:color w:val="000000"/>
        </w:rPr>
        <w:t>166.</w:t>
      </w:r>
      <w:r>
        <w:rPr>
          <w:bCs/>
          <w:color w:val="000000"/>
        </w:rPr>
        <w:tab/>
      </w:r>
      <w:r>
        <w:rPr>
          <w:rFonts w:hint="eastAsia"/>
          <w:bCs/>
          <w:color w:val="000000"/>
        </w:rPr>
        <w:t>2005</w:t>
      </w:r>
      <w:r>
        <w:rPr>
          <w:rFonts w:hint="eastAsia"/>
          <w:bCs/>
          <w:color w:val="000000"/>
        </w:rPr>
        <w:t>年期间，该办公室实施了以下四项核心计划：</w:t>
      </w:r>
      <w:r>
        <w:rPr>
          <w:rStyle w:val="FootnoteReference"/>
          <w:bCs/>
          <w:color w:val="000000"/>
        </w:rPr>
        <w:footnoteReference w:id="105"/>
      </w:r>
    </w:p>
    <w:p w:rsidR="00692915" w:rsidRDefault="00692915" w:rsidP="009A1C1B">
      <w:pPr>
        <w:tabs>
          <w:tab w:val="left" w:pos="1170"/>
        </w:tabs>
        <w:ind w:firstLine="31680"/>
        <w:rPr>
          <w:rFonts w:eastAsia="KaiTi_GB2312" w:hint="eastAsia"/>
          <w:bCs/>
          <w:i/>
          <w:color w:val="000000"/>
        </w:rPr>
      </w:pPr>
      <w:r>
        <w:rPr>
          <w:bCs/>
          <w:iCs/>
          <w:color w:val="000000"/>
        </w:rPr>
        <w:t>167.</w:t>
      </w:r>
      <w:r>
        <w:rPr>
          <w:bCs/>
          <w:iCs/>
          <w:color w:val="000000"/>
        </w:rPr>
        <w:tab/>
      </w:r>
      <w:r>
        <w:rPr>
          <w:rFonts w:hint="eastAsia"/>
          <w:bCs/>
          <w:color w:val="000000"/>
        </w:rPr>
        <w:t>《国家人权行动计划》的协调与制定：</w:t>
      </w:r>
    </w:p>
    <w:p w:rsidR="00692915" w:rsidRDefault="00692915" w:rsidP="009A1C1B">
      <w:pPr>
        <w:numPr>
          <w:ilvl w:val="0"/>
          <w:numId w:val="17"/>
        </w:numPr>
        <w:tabs>
          <w:tab w:val="clear" w:pos="927"/>
          <w:tab w:val="num" w:pos="1690"/>
        </w:tabs>
        <w:spacing w:after="240"/>
        <w:ind w:leftChars="450" w:left="31680" w:hangingChars="200" w:firstLine="31680"/>
        <w:rPr>
          <w:bCs/>
          <w:color w:val="000000"/>
        </w:rPr>
      </w:pPr>
      <w:r>
        <w:rPr>
          <w:rFonts w:hint="eastAsia"/>
          <w:bCs/>
          <w:color w:val="000000"/>
        </w:rPr>
        <w:t>根据总理指示，顾问办公室将作为协调机构，负责促进和拟订《东帝汶国家人权行动计划》（</w:t>
      </w:r>
      <w:r>
        <w:rPr>
          <w:bCs/>
          <w:color w:val="000000"/>
        </w:rPr>
        <w:t>NHRAP</w:t>
      </w:r>
      <w:r>
        <w:rPr>
          <w:rFonts w:hint="eastAsia"/>
          <w:bCs/>
          <w:color w:val="000000"/>
        </w:rPr>
        <w:t>）。为此目的，该办公室正在协调一个工作组开展国家人权行动计划方面的工作。自</w:t>
      </w:r>
      <w:r>
        <w:rPr>
          <w:rFonts w:hint="eastAsia"/>
          <w:bCs/>
          <w:color w:val="000000"/>
        </w:rPr>
        <w:t>2004</w:t>
      </w:r>
      <w:r>
        <w:rPr>
          <w:rFonts w:hint="eastAsia"/>
          <w:bCs/>
          <w:color w:val="000000"/>
        </w:rPr>
        <w:t>年以来，该办公室已经举办了各种研讨会，开展了各种社会宣传活动。</w:t>
      </w:r>
    </w:p>
    <w:p w:rsidR="00692915" w:rsidRDefault="00692915" w:rsidP="009A1C1B">
      <w:pPr>
        <w:tabs>
          <w:tab w:val="left" w:pos="1170"/>
        </w:tabs>
        <w:ind w:firstLine="31680"/>
        <w:rPr>
          <w:rFonts w:hint="eastAsia"/>
          <w:bCs/>
          <w:i/>
          <w:color w:val="000000"/>
        </w:rPr>
      </w:pPr>
      <w:r>
        <w:rPr>
          <w:bCs/>
          <w:iCs/>
          <w:color w:val="000000"/>
        </w:rPr>
        <w:t>168.</w:t>
      </w:r>
      <w:r>
        <w:rPr>
          <w:bCs/>
          <w:iCs/>
          <w:color w:val="000000"/>
        </w:rPr>
        <w:tab/>
      </w:r>
      <w:r>
        <w:rPr>
          <w:rFonts w:hint="eastAsia"/>
          <w:bCs/>
          <w:color w:val="000000"/>
        </w:rPr>
        <w:t>政府对国际条约的实施：</w:t>
      </w:r>
    </w:p>
    <w:p w:rsidR="00692915" w:rsidRDefault="00692915" w:rsidP="009A1C1B">
      <w:pPr>
        <w:numPr>
          <w:ilvl w:val="0"/>
          <w:numId w:val="17"/>
        </w:numPr>
        <w:tabs>
          <w:tab w:val="clear" w:pos="927"/>
          <w:tab w:val="num" w:pos="1690"/>
        </w:tabs>
        <w:ind w:leftChars="450" w:left="31680" w:hangingChars="200" w:firstLine="31680"/>
        <w:rPr>
          <w:color w:val="000000"/>
        </w:rPr>
      </w:pPr>
      <w:r>
        <w:rPr>
          <w:rFonts w:hint="eastAsia"/>
          <w:color w:val="000000"/>
        </w:rPr>
        <w:t>2004</w:t>
      </w:r>
      <w:r>
        <w:rPr>
          <w:rFonts w:hint="eastAsia"/>
          <w:color w:val="000000"/>
        </w:rPr>
        <w:t>年</w:t>
      </w:r>
      <w:r>
        <w:rPr>
          <w:rFonts w:hint="eastAsia"/>
          <w:color w:val="000000"/>
        </w:rPr>
        <w:t>1</w:t>
      </w:r>
      <w:r>
        <w:rPr>
          <w:rFonts w:hint="eastAsia"/>
          <w:color w:val="000000"/>
        </w:rPr>
        <w:t>月，就“制定行动计划”的问题召开了一次协商讨论会。根据</w:t>
      </w:r>
      <w:r>
        <w:rPr>
          <w:rFonts w:hint="eastAsia"/>
          <w:bCs/>
          <w:color w:val="000000"/>
        </w:rPr>
        <w:t>会议</w:t>
      </w:r>
      <w:r>
        <w:rPr>
          <w:rFonts w:hint="eastAsia"/>
          <w:color w:val="000000"/>
        </w:rPr>
        <w:t>的建议，总理要求各部委、国务秘书和各地区主管机构任命一位人权联络官员（</w:t>
      </w:r>
      <w:r>
        <w:rPr>
          <w:color w:val="000000"/>
        </w:rPr>
        <w:t>HRFPO</w:t>
      </w:r>
      <w:r>
        <w:rPr>
          <w:rFonts w:hint="eastAsia"/>
          <w:color w:val="000000"/>
        </w:rPr>
        <w:t>），负责处理所有与人权和善治有关的事宜；</w:t>
      </w:r>
      <w:r>
        <w:rPr>
          <w:bCs/>
          <w:color w:val="000000"/>
          <w:vertAlign w:val="superscript"/>
        </w:rPr>
        <w:footnoteReference w:id="106"/>
      </w:r>
      <w:r>
        <w:rPr>
          <w:bCs/>
          <w:color w:val="000000"/>
          <w:vertAlign w:val="superscript"/>
        </w:rPr>
        <w:t xml:space="preserve"> </w:t>
      </w:r>
    </w:p>
    <w:p w:rsidR="00692915" w:rsidRDefault="00692915" w:rsidP="009A1C1B">
      <w:pPr>
        <w:numPr>
          <w:ilvl w:val="0"/>
          <w:numId w:val="17"/>
        </w:numPr>
        <w:tabs>
          <w:tab w:val="clear" w:pos="927"/>
          <w:tab w:val="num" w:pos="1690"/>
        </w:tabs>
        <w:ind w:leftChars="450" w:left="31680" w:hangingChars="200" w:firstLine="31680"/>
        <w:rPr>
          <w:color w:val="000000"/>
        </w:rPr>
      </w:pPr>
      <w:r>
        <w:rPr>
          <w:rFonts w:hint="eastAsia"/>
          <w:color w:val="000000"/>
        </w:rPr>
        <w:t>之后，所有部委、国务秘书和各地区都任命了一名人权联络官员，负责促进和宣传</w:t>
      </w:r>
      <w:r>
        <w:rPr>
          <w:rFonts w:hint="eastAsia"/>
          <w:bCs/>
          <w:color w:val="000000"/>
        </w:rPr>
        <w:t>各自</w:t>
      </w:r>
      <w:r>
        <w:rPr>
          <w:rFonts w:hint="eastAsia"/>
          <w:color w:val="000000"/>
        </w:rPr>
        <w:t>政府机构的人权标准，确保各自机构在条约机构的报告过程中发挥作用，并就那些应引起人权事务总理顾问办公室特别注意的人权问题向其提供相关信息；</w:t>
      </w:r>
    </w:p>
    <w:p w:rsidR="00692915" w:rsidRDefault="00692915" w:rsidP="009A1C1B">
      <w:pPr>
        <w:numPr>
          <w:ilvl w:val="0"/>
          <w:numId w:val="17"/>
        </w:numPr>
        <w:tabs>
          <w:tab w:val="clear" w:pos="927"/>
          <w:tab w:val="num" w:pos="1690"/>
        </w:tabs>
        <w:spacing w:after="240"/>
        <w:ind w:leftChars="450" w:left="31680" w:hangingChars="200" w:firstLine="31680"/>
        <w:rPr>
          <w:rFonts w:hint="eastAsia"/>
          <w:bCs/>
          <w:i/>
          <w:color w:val="000000"/>
        </w:rPr>
      </w:pPr>
      <w:r>
        <w:rPr>
          <w:rFonts w:hint="eastAsia"/>
          <w:color w:val="000000"/>
        </w:rPr>
        <w:t>为了加强人权联络官员的作用，人权事务总理顾问办公室已连续提供相应的培训和</w:t>
      </w:r>
      <w:r>
        <w:rPr>
          <w:rFonts w:hint="eastAsia"/>
          <w:bCs/>
          <w:color w:val="000000"/>
        </w:rPr>
        <w:t>支持</w:t>
      </w:r>
      <w:r>
        <w:rPr>
          <w:rFonts w:hint="eastAsia"/>
          <w:color w:val="000000"/>
        </w:rPr>
        <w:t>，并在各地区（</w:t>
      </w:r>
      <w:r>
        <w:rPr>
          <w:rFonts w:ascii="SimSun" w:hAnsi="SimSun" w:hint="eastAsia"/>
          <w:iCs/>
          <w:color w:val="000000"/>
          <w:szCs w:val="30"/>
        </w:rPr>
        <w:t>纳图托、马努法希、艾纳鲁和包考</w:t>
      </w:r>
      <w:r>
        <w:rPr>
          <w:rFonts w:hint="eastAsia"/>
          <w:color w:val="000000"/>
        </w:rPr>
        <w:t>）定期召开会议，以便根据《</w:t>
      </w:r>
      <w:r>
        <w:rPr>
          <w:rFonts w:hint="eastAsia"/>
          <w:bCs/>
          <w:color w:val="000000"/>
        </w:rPr>
        <w:t>国家人权行动计划》所列的重点问题（卫生、教育、安全、基础设施、农业和正义），</w:t>
      </w:r>
      <w:r>
        <w:rPr>
          <w:rFonts w:hint="eastAsia"/>
          <w:color w:val="000000"/>
        </w:rPr>
        <w:t>对这些地区的人权情况进行讨论。</w:t>
      </w:r>
    </w:p>
    <w:p w:rsidR="00692915" w:rsidRDefault="00692915" w:rsidP="009A1C1B">
      <w:pPr>
        <w:tabs>
          <w:tab w:val="left" w:pos="1170"/>
        </w:tabs>
        <w:ind w:firstLine="31680"/>
        <w:rPr>
          <w:rFonts w:hint="eastAsia"/>
          <w:bCs/>
          <w:i/>
          <w:color w:val="000000"/>
        </w:rPr>
      </w:pPr>
      <w:r>
        <w:rPr>
          <w:bCs/>
          <w:iCs/>
          <w:color w:val="000000"/>
        </w:rPr>
        <w:t>169.</w:t>
      </w:r>
      <w:r>
        <w:rPr>
          <w:bCs/>
          <w:iCs/>
          <w:color w:val="000000"/>
        </w:rPr>
        <w:tab/>
      </w:r>
      <w:r>
        <w:rPr>
          <w:rFonts w:eastAsia="KaiTi_GB2312" w:hint="eastAsia"/>
          <w:bCs/>
          <w:color w:val="000000"/>
        </w:rPr>
        <w:t>东帝汶参与国际会议的情况：</w:t>
      </w:r>
    </w:p>
    <w:p w:rsidR="00692915" w:rsidRDefault="00692915" w:rsidP="009A1C1B">
      <w:pPr>
        <w:numPr>
          <w:ilvl w:val="0"/>
          <w:numId w:val="17"/>
        </w:numPr>
        <w:tabs>
          <w:tab w:val="clear" w:pos="927"/>
          <w:tab w:val="num" w:pos="1690"/>
        </w:tabs>
        <w:spacing w:after="240"/>
        <w:ind w:leftChars="450" w:left="31680" w:hangingChars="200" w:firstLine="31680"/>
        <w:rPr>
          <w:bCs/>
          <w:i/>
          <w:color w:val="000000"/>
        </w:rPr>
      </w:pPr>
      <w:r>
        <w:rPr>
          <w:rFonts w:hint="eastAsia"/>
          <w:bCs/>
          <w:color w:val="000000"/>
        </w:rPr>
        <w:t>最近几年，人权事务总理顾问办公室已应邀参加了几次区域研讨会和大会，但由于缺乏资金与支持，却一直未能参加人权委员会在日内瓦召开的会议。</w:t>
      </w:r>
    </w:p>
    <w:p w:rsidR="00692915" w:rsidRDefault="00692915" w:rsidP="009A1C1B">
      <w:pPr>
        <w:tabs>
          <w:tab w:val="left" w:pos="1170"/>
        </w:tabs>
        <w:ind w:firstLine="31680"/>
        <w:rPr>
          <w:rFonts w:eastAsia="KaiTi_GB2312" w:hint="eastAsia"/>
          <w:bCs/>
          <w:iCs/>
          <w:color w:val="000000"/>
        </w:rPr>
      </w:pPr>
      <w:r>
        <w:rPr>
          <w:bCs/>
          <w:iCs/>
          <w:color w:val="000000"/>
        </w:rPr>
        <w:t>170.</w:t>
      </w:r>
      <w:r>
        <w:rPr>
          <w:bCs/>
          <w:iCs/>
          <w:color w:val="000000"/>
        </w:rPr>
        <w:tab/>
      </w:r>
      <w:r>
        <w:rPr>
          <w:rFonts w:hint="eastAsia"/>
          <w:bCs/>
          <w:iCs/>
          <w:color w:val="000000"/>
        </w:rPr>
        <w:t>向</w:t>
      </w:r>
      <w:r>
        <w:rPr>
          <w:rFonts w:eastAsia="KaiTi_GB2312" w:hint="eastAsia"/>
          <w:bCs/>
          <w:color w:val="000000"/>
        </w:rPr>
        <w:t>总理通报与人权有关的问题：</w:t>
      </w:r>
    </w:p>
    <w:p w:rsidR="00692915" w:rsidRDefault="00692915" w:rsidP="009A1C1B">
      <w:pPr>
        <w:numPr>
          <w:ilvl w:val="0"/>
          <w:numId w:val="17"/>
        </w:numPr>
        <w:tabs>
          <w:tab w:val="clear" w:pos="927"/>
          <w:tab w:val="num" w:pos="1690"/>
        </w:tabs>
        <w:ind w:leftChars="450" w:left="31680" w:hangingChars="200" w:firstLine="31680"/>
        <w:rPr>
          <w:bCs/>
          <w:color w:val="000000"/>
        </w:rPr>
      </w:pPr>
      <w:r>
        <w:rPr>
          <w:rFonts w:hint="eastAsia"/>
          <w:bCs/>
          <w:color w:val="000000"/>
        </w:rPr>
        <w:t>人权事务总理顾问办公室负责编制定期报告，以让总理了解各地区的人权情况（尤其是《国家人权行动计划》所列领域中的人权情况），以及需要特别关注的问题，如：有关东帝汶国家警察纪律处分的问题、言论自由、司法与税务问题。该办公室还负责分析法律法规与人权之间的一致性，参与起草旨在设立监察员办公室的法律文件。</w:t>
      </w:r>
    </w:p>
    <w:p w:rsidR="00692915" w:rsidRDefault="00692915" w:rsidP="009A1C1B">
      <w:pPr>
        <w:numPr>
          <w:ilvl w:val="0"/>
          <w:numId w:val="17"/>
        </w:numPr>
        <w:tabs>
          <w:tab w:val="clear" w:pos="927"/>
          <w:tab w:val="num" w:pos="1690"/>
        </w:tabs>
        <w:spacing w:after="240"/>
        <w:ind w:leftChars="450" w:left="31680" w:hangingChars="200" w:firstLine="31680"/>
        <w:rPr>
          <w:rFonts w:hint="eastAsia"/>
          <w:bCs/>
          <w:color w:val="000000"/>
        </w:rPr>
      </w:pPr>
      <w:r>
        <w:rPr>
          <w:rFonts w:hint="eastAsia"/>
          <w:color w:val="000000"/>
        </w:rPr>
        <w:t>该办公室及其任务只是在</w:t>
      </w:r>
      <w:r>
        <w:rPr>
          <w:rFonts w:hint="eastAsia"/>
          <w:color w:val="000000"/>
        </w:rPr>
        <w:t>2003/2004</w:t>
      </w:r>
      <w:r>
        <w:rPr>
          <w:rFonts w:hint="eastAsia"/>
          <w:color w:val="000000"/>
        </w:rPr>
        <w:t>财政年度才被列入政府的范畴，</w:t>
      </w:r>
      <w:r>
        <w:rPr>
          <w:rFonts w:hint="eastAsia"/>
          <w:color w:val="000000"/>
        </w:rPr>
        <w:t>2004/2005</w:t>
      </w:r>
      <w:r>
        <w:rPr>
          <w:rFonts w:hint="eastAsia"/>
          <w:color w:val="000000"/>
        </w:rPr>
        <w:t>财政年度的预算拨款为</w:t>
      </w:r>
      <w:r>
        <w:rPr>
          <w:rFonts w:hint="eastAsia"/>
          <w:color w:val="000000"/>
        </w:rPr>
        <w:t>20 000</w:t>
      </w:r>
      <w:r>
        <w:rPr>
          <w:rFonts w:hint="eastAsia"/>
          <w:color w:val="000000"/>
        </w:rPr>
        <w:t>美元。</w:t>
      </w:r>
    </w:p>
    <w:p w:rsidR="00692915" w:rsidRDefault="00692915">
      <w:pPr>
        <w:tabs>
          <w:tab w:val="left" w:pos="1170"/>
        </w:tabs>
        <w:spacing w:after="240"/>
        <w:ind w:firstLineChars="0" w:firstLine="0"/>
        <w:rPr>
          <w:rFonts w:hint="eastAsia"/>
          <w:bCs/>
          <w:color w:val="000000"/>
        </w:rPr>
      </w:pPr>
      <w:r>
        <w:rPr>
          <w:rFonts w:eastAsia="KaiTi_GB2312"/>
          <w:color w:val="000000"/>
        </w:rPr>
        <w:br w:type="page"/>
      </w:r>
      <w:r>
        <w:rPr>
          <w:rFonts w:eastAsia="KaiTi_GB2312" w:hint="eastAsia"/>
          <w:color w:val="000000"/>
        </w:rPr>
        <w:t>促进平等事务总理顾问办公室</w:t>
      </w:r>
    </w:p>
    <w:p w:rsidR="00692915" w:rsidRDefault="00692915" w:rsidP="009A1C1B">
      <w:pPr>
        <w:tabs>
          <w:tab w:val="left" w:pos="1170"/>
        </w:tabs>
        <w:ind w:firstLine="31680"/>
        <w:rPr>
          <w:rFonts w:hint="eastAsia"/>
          <w:bCs/>
          <w:color w:val="000000"/>
        </w:rPr>
      </w:pPr>
      <w:r>
        <w:rPr>
          <w:bCs/>
          <w:color w:val="000000"/>
        </w:rPr>
        <w:t>171.</w:t>
      </w:r>
      <w:r>
        <w:rPr>
          <w:bCs/>
          <w:color w:val="000000"/>
        </w:rPr>
        <w:tab/>
      </w:r>
      <w:r>
        <w:rPr>
          <w:rFonts w:hint="eastAsia"/>
          <w:bCs/>
          <w:color w:val="000000"/>
        </w:rPr>
        <w:t>由于妇女非政府组织网的成功游说，尤其在</w:t>
      </w:r>
      <w:r>
        <w:rPr>
          <w:rFonts w:hint="eastAsia"/>
          <w:bCs/>
          <w:color w:val="000000"/>
        </w:rPr>
        <w:t>2000</w:t>
      </w:r>
      <w:r>
        <w:rPr>
          <w:rFonts w:hint="eastAsia"/>
          <w:bCs/>
          <w:color w:val="000000"/>
        </w:rPr>
        <w:t>年第一届全国妇女大会之后，东帝汶政府为促进男女平等做出了努力，</w:t>
      </w:r>
      <w:r>
        <w:rPr>
          <w:rFonts w:hint="eastAsia"/>
          <w:bCs/>
          <w:color w:val="000000"/>
        </w:rPr>
        <w:t>2001</w:t>
      </w:r>
      <w:r>
        <w:rPr>
          <w:rFonts w:hint="eastAsia"/>
          <w:bCs/>
          <w:color w:val="000000"/>
        </w:rPr>
        <w:t>年</w:t>
      </w:r>
      <w:r>
        <w:rPr>
          <w:rFonts w:hint="eastAsia"/>
          <w:bCs/>
          <w:color w:val="000000"/>
        </w:rPr>
        <w:t>9</w:t>
      </w:r>
      <w:r>
        <w:rPr>
          <w:rFonts w:hint="eastAsia"/>
          <w:bCs/>
          <w:color w:val="000000"/>
        </w:rPr>
        <w:t>月政府设立了促进平等事务总理顾问办公室，该办公室为顾问机构，直接向总理负责。</w:t>
      </w:r>
      <w:r>
        <w:rPr>
          <w:rStyle w:val="FootnoteReference"/>
          <w:bCs/>
          <w:color w:val="000000"/>
        </w:rPr>
        <w:footnoteReference w:id="107"/>
      </w:r>
      <w:r>
        <w:rPr>
          <w:rFonts w:hint="eastAsia"/>
          <w:bCs/>
          <w:color w:val="000000"/>
        </w:rPr>
        <w:t>在撰写本报告时，该办公室还没有自己的组织法，但其于</w:t>
      </w:r>
      <w:r>
        <w:rPr>
          <w:rFonts w:hint="eastAsia"/>
          <w:bCs/>
          <w:color w:val="000000"/>
        </w:rPr>
        <w:t>2005</w:t>
      </w:r>
      <w:r>
        <w:rPr>
          <w:rFonts w:hint="eastAsia"/>
          <w:bCs/>
          <w:color w:val="000000"/>
        </w:rPr>
        <w:t>年</w:t>
      </w:r>
      <w:r>
        <w:rPr>
          <w:rFonts w:hint="eastAsia"/>
          <w:bCs/>
          <w:color w:val="000000"/>
        </w:rPr>
        <w:t>10</w:t>
      </w:r>
      <w:r>
        <w:rPr>
          <w:rFonts w:hint="eastAsia"/>
          <w:bCs/>
          <w:color w:val="000000"/>
        </w:rPr>
        <w:t>月进行的战略计划活动（由妇发基金支助）确认，有必要将其《组织法》的起草作为工作重点。目前，促进平等事务顾问在部长理事会中还没有席位。</w:t>
      </w:r>
    </w:p>
    <w:p w:rsidR="00692915" w:rsidRDefault="00692915" w:rsidP="009A1C1B">
      <w:pPr>
        <w:tabs>
          <w:tab w:val="left" w:pos="1170"/>
        </w:tabs>
        <w:ind w:firstLine="31680"/>
        <w:rPr>
          <w:rFonts w:hint="eastAsia"/>
          <w:bCs/>
          <w:color w:val="000000"/>
        </w:rPr>
      </w:pPr>
      <w:r>
        <w:rPr>
          <w:bCs/>
          <w:color w:val="000000"/>
        </w:rPr>
        <w:t>172.</w:t>
      </w:r>
      <w:r>
        <w:rPr>
          <w:bCs/>
          <w:color w:val="000000"/>
        </w:rPr>
        <w:tab/>
      </w:r>
      <w:r>
        <w:rPr>
          <w:rFonts w:hint="eastAsia"/>
          <w:bCs/>
          <w:color w:val="000000"/>
        </w:rPr>
        <w:t>除其他方面以外，</w:t>
      </w:r>
      <w:r>
        <w:rPr>
          <w:bCs/>
          <w:color w:val="000000"/>
        </w:rPr>
        <w:t>促进平等事务总理顾问办公室</w:t>
      </w:r>
      <w:r>
        <w:rPr>
          <w:rFonts w:hint="eastAsia"/>
          <w:bCs/>
          <w:color w:val="000000"/>
        </w:rPr>
        <w:t>还负责制订相应的战略和方法，以便将对性别问题有敏感认识的观点纳入所有政府政策和计划中。此外，该办公室还与政府、非政府组织、妇女组织、媒体、研究机构、学术和教育机构以及私人部门的相关单位建立有效联系，以促进妇女更多地参与发展进程，让妇女成为这一进程的积极主体和受益人。</w:t>
      </w:r>
    </w:p>
    <w:p w:rsidR="00692915" w:rsidRDefault="00692915" w:rsidP="009A1C1B">
      <w:pPr>
        <w:tabs>
          <w:tab w:val="left" w:pos="1170"/>
        </w:tabs>
        <w:ind w:firstLine="31680"/>
        <w:rPr>
          <w:rFonts w:hint="eastAsia"/>
          <w:bCs/>
          <w:color w:val="000000"/>
        </w:rPr>
      </w:pPr>
      <w:r>
        <w:rPr>
          <w:bCs/>
          <w:color w:val="000000"/>
        </w:rPr>
        <w:t>173.</w:t>
      </w:r>
      <w:r>
        <w:rPr>
          <w:bCs/>
          <w:color w:val="000000"/>
        </w:rPr>
        <w:tab/>
      </w:r>
      <w:r>
        <w:rPr>
          <w:rFonts w:hint="eastAsia"/>
          <w:bCs/>
          <w:color w:val="000000"/>
        </w:rPr>
        <w:t>为了将对性别问题有敏感认识的观点纳入所有的法律改革举措，</w:t>
      </w:r>
      <w:r>
        <w:rPr>
          <w:bCs/>
          <w:color w:val="000000"/>
        </w:rPr>
        <w:t>促进平等事务总理顾问办公室</w:t>
      </w:r>
      <w:r>
        <w:rPr>
          <w:rFonts w:hint="eastAsia"/>
          <w:bCs/>
          <w:color w:val="000000"/>
        </w:rPr>
        <w:t>还开展了相关的促进工作，但由于财力和人力资源有限，它尚未对立法审查领域做出实质性贡献。</w:t>
      </w:r>
      <w:r>
        <w:rPr>
          <w:bCs/>
          <w:color w:val="000000"/>
        </w:rPr>
        <w:t xml:space="preserve"> </w:t>
      </w:r>
    </w:p>
    <w:p w:rsidR="00692915" w:rsidRDefault="00692915" w:rsidP="009A1C1B">
      <w:pPr>
        <w:tabs>
          <w:tab w:val="left" w:pos="1170"/>
        </w:tabs>
        <w:ind w:firstLine="31680"/>
        <w:rPr>
          <w:rFonts w:hint="eastAsia"/>
          <w:bCs/>
          <w:color w:val="000000"/>
        </w:rPr>
      </w:pPr>
      <w:r>
        <w:rPr>
          <w:bCs/>
          <w:color w:val="000000"/>
        </w:rPr>
        <w:t>174.</w:t>
      </w:r>
      <w:r>
        <w:rPr>
          <w:bCs/>
          <w:color w:val="000000"/>
        </w:rPr>
        <w:tab/>
      </w:r>
      <w:r>
        <w:rPr>
          <w:rFonts w:hint="eastAsia"/>
          <w:bCs/>
          <w:color w:val="000000"/>
        </w:rPr>
        <w:t xml:space="preserve"> </w:t>
      </w:r>
      <w:r>
        <w:rPr>
          <w:bCs/>
          <w:color w:val="000000"/>
        </w:rPr>
        <w:t>促进平等事务总理顾问办公室</w:t>
      </w:r>
      <w:r>
        <w:rPr>
          <w:rFonts w:hint="eastAsia"/>
          <w:bCs/>
          <w:color w:val="000000"/>
        </w:rPr>
        <w:t>并不负责解决各种与性及性别有关的侵犯人权案件，但在印度尼西亚占领期间，该办公室出版了各种涉及妇女遭遇的刊物，如，已经被翻译成</w:t>
      </w:r>
      <w:r>
        <w:rPr>
          <w:rFonts w:ascii="Arial" w:hAnsi="Arial" w:cs="Arial" w:hint="eastAsia"/>
          <w:color w:val="000000"/>
        </w:rPr>
        <w:t>德顿语的《血书》。</w:t>
      </w:r>
      <w:r>
        <w:rPr>
          <w:bCs/>
          <w:color w:val="000000"/>
        </w:rPr>
        <w:t xml:space="preserve"> </w:t>
      </w:r>
      <w:r>
        <w:rPr>
          <w:rFonts w:hint="eastAsia"/>
          <w:bCs/>
          <w:color w:val="000000"/>
        </w:rPr>
        <w:t xml:space="preserve"> </w:t>
      </w:r>
    </w:p>
    <w:p w:rsidR="00692915" w:rsidRDefault="00692915" w:rsidP="009A1C1B">
      <w:pPr>
        <w:tabs>
          <w:tab w:val="left" w:pos="1170"/>
        </w:tabs>
        <w:ind w:firstLine="31680"/>
        <w:rPr>
          <w:bCs/>
          <w:color w:val="000000"/>
        </w:rPr>
      </w:pPr>
      <w:r>
        <w:rPr>
          <w:bCs/>
          <w:color w:val="000000"/>
        </w:rPr>
        <w:t>175.</w:t>
      </w:r>
      <w:r>
        <w:rPr>
          <w:bCs/>
          <w:color w:val="000000"/>
        </w:rPr>
        <w:tab/>
      </w:r>
      <w:r>
        <w:rPr>
          <w:rFonts w:hint="eastAsia"/>
          <w:bCs/>
          <w:color w:val="000000"/>
        </w:rPr>
        <w:t>自</w:t>
      </w:r>
      <w:r>
        <w:rPr>
          <w:rFonts w:hint="eastAsia"/>
          <w:bCs/>
          <w:color w:val="000000"/>
        </w:rPr>
        <w:t>2004</w:t>
      </w:r>
      <w:r>
        <w:rPr>
          <w:rFonts w:hint="eastAsia"/>
          <w:bCs/>
          <w:color w:val="000000"/>
        </w:rPr>
        <w:t>年</w:t>
      </w:r>
      <w:r>
        <w:rPr>
          <w:rFonts w:hint="eastAsia"/>
          <w:bCs/>
          <w:color w:val="000000"/>
        </w:rPr>
        <w:t>7</w:t>
      </w:r>
      <w:r>
        <w:rPr>
          <w:rFonts w:hint="eastAsia"/>
          <w:bCs/>
          <w:color w:val="000000"/>
        </w:rPr>
        <w:t>月以来，</w:t>
      </w:r>
      <w:r>
        <w:rPr>
          <w:bCs/>
          <w:color w:val="000000"/>
        </w:rPr>
        <w:t>促进平等事务总理顾问办公室</w:t>
      </w:r>
      <w:r>
        <w:rPr>
          <w:rFonts w:hint="eastAsia"/>
          <w:bCs/>
          <w:color w:val="000000"/>
        </w:rPr>
        <w:t>一直在实施以下四项核心计划：</w:t>
      </w:r>
      <w:r>
        <w:rPr>
          <w:bCs/>
          <w:color w:val="000000"/>
        </w:rPr>
        <w:t xml:space="preserve"> </w:t>
      </w:r>
    </w:p>
    <w:p w:rsidR="00692915" w:rsidRDefault="00692915" w:rsidP="009A1C1B">
      <w:pPr>
        <w:numPr>
          <w:ilvl w:val="0"/>
          <w:numId w:val="17"/>
        </w:numPr>
        <w:tabs>
          <w:tab w:val="clear" w:pos="927"/>
          <w:tab w:val="num" w:pos="1690"/>
        </w:tabs>
        <w:ind w:leftChars="450" w:left="31680" w:hangingChars="200" w:firstLine="31680"/>
        <w:rPr>
          <w:bCs/>
          <w:color w:val="000000"/>
        </w:rPr>
      </w:pPr>
      <w:r>
        <w:rPr>
          <w:rFonts w:hint="eastAsia"/>
          <w:bCs/>
          <w:color w:val="000000"/>
        </w:rPr>
        <w:t>把性别观点纳入政府的所有部门；</w:t>
      </w:r>
    </w:p>
    <w:p w:rsidR="00692915" w:rsidRDefault="00692915" w:rsidP="009A1C1B">
      <w:pPr>
        <w:numPr>
          <w:ilvl w:val="0"/>
          <w:numId w:val="17"/>
        </w:numPr>
        <w:tabs>
          <w:tab w:val="clear" w:pos="927"/>
          <w:tab w:val="num" w:pos="1690"/>
        </w:tabs>
        <w:ind w:leftChars="450" w:left="31680" w:hangingChars="200" w:firstLine="31680"/>
        <w:rPr>
          <w:bCs/>
          <w:color w:val="000000"/>
        </w:rPr>
      </w:pPr>
      <w:r>
        <w:rPr>
          <w:rFonts w:hint="eastAsia"/>
          <w:bCs/>
          <w:color w:val="000000"/>
        </w:rPr>
        <w:t>促进东帝汶形成一种平等的文化氛围；</w:t>
      </w:r>
    </w:p>
    <w:p w:rsidR="00692915" w:rsidRDefault="00692915" w:rsidP="009A1C1B">
      <w:pPr>
        <w:numPr>
          <w:ilvl w:val="0"/>
          <w:numId w:val="17"/>
        </w:numPr>
        <w:tabs>
          <w:tab w:val="clear" w:pos="927"/>
          <w:tab w:val="num" w:pos="1690"/>
        </w:tabs>
        <w:ind w:leftChars="450" w:left="31680" w:hangingChars="200" w:firstLine="31680"/>
        <w:rPr>
          <w:bCs/>
          <w:color w:val="000000"/>
        </w:rPr>
      </w:pPr>
      <w:r>
        <w:rPr>
          <w:rFonts w:hint="eastAsia"/>
          <w:bCs/>
          <w:color w:val="000000"/>
        </w:rPr>
        <w:t>提高国家处理基于性别的暴力的能力；</w:t>
      </w:r>
    </w:p>
    <w:p w:rsidR="00692915" w:rsidRDefault="00692915" w:rsidP="009A1C1B">
      <w:pPr>
        <w:numPr>
          <w:ilvl w:val="0"/>
          <w:numId w:val="17"/>
        </w:numPr>
        <w:tabs>
          <w:tab w:val="clear" w:pos="927"/>
          <w:tab w:val="num" w:pos="1690"/>
        </w:tabs>
        <w:spacing w:after="240"/>
        <w:ind w:leftChars="450" w:left="31680" w:hangingChars="200" w:firstLine="31680"/>
        <w:rPr>
          <w:bCs/>
          <w:color w:val="000000"/>
        </w:rPr>
      </w:pPr>
      <w:r>
        <w:rPr>
          <w:rFonts w:hint="eastAsia"/>
          <w:bCs/>
          <w:color w:val="000000"/>
        </w:rPr>
        <w:t>促进赋予妇女权利。</w:t>
      </w:r>
    </w:p>
    <w:p w:rsidR="00692915" w:rsidRDefault="00692915" w:rsidP="009A1C1B">
      <w:pPr>
        <w:tabs>
          <w:tab w:val="left" w:pos="1170"/>
        </w:tabs>
        <w:ind w:firstLine="31680"/>
        <w:rPr>
          <w:rFonts w:hint="eastAsia"/>
          <w:bCs/>
          <w:color w:val="000000"/>
        </w:rPr>
      </w:pPr>
      <w:r>
        <w:rPr>
          <w:bCs/>
          <w:color w:val="000000"/>
        </w:rPr>
        <w:t>176.</w:t>
      </w:r>
      <w:r>
        <w:rPr>
          <w:bCs/>
          <w:color w:val="000000"/>
        </w:rPr>
        <w:tab/>
      </w:r>
      <w:r>
        <w:rPr>
          <w:rFonts w:hint="eastAsia"/>
          <w:bCs/>
          <w:color w:val="000000"/>
        </w:rPr>
        <w:t>下文有关社会性别平等主流化的第</w:t>
      </w:r>
      <w:r>
        <w:rPr>
          <w:rFonts w:hint="eastAsia"/>
          <w:bCs/>
          <w:color w:val="000000"/>
        </w:rPr>
        <w:t>9</w:t>
      </w:r>
      <w:r>
        <w:rPr>
          <w:rFonts w:hint="eastAsia"/>
          <w:bCs/>
          <w:color w:val="000000"/>
        </w:rPr>
        <w:t>节，以及有关《消除对妇女一切形式歧视公约》的文件将详细讨论这些计划。</w:t>
      </w:r>
    </w:p>
    <w:p w:rsidR="00692915" w:rsidRDefault="00692915" w:rsidP="009A1C1B">
      <w:pPr>
        <w:tabs>
          <w:tab w:val="left" w:pos="1170"/>
        </w:tabs>
        <w:ind w:firstLine="31680"/>
        <w:rPr>
          <w:rFonts w:hint="eastAsia"/>
          <w:bCs/>
          <w:color w:val="000000"/>
        </w:rPr>
      </w:pPr>
      <w:r>
        <w:rPr>
          <w:bCs/>
          <w:color w:val="000000"/>
        </w:rPr>
        <w:t>177.</w:t>
      </w:r>
      <w:r>
        <w:rPr>
          <w:bCs/>
          <w:color w:val="000000"/>
        </w:rPr>
        <w:tab/>
      </w:r>
      <w:r>
        <w:rPr>
          <w:rFonts w:hint="eastAsia"/>
          <w:bCs/>
          <w:color w:val="000000"/>
        </w:rPr>
        <w:t>除了促进平等事务顾问外，</w:t>
      </w:r>
      <w:r>
        <w:rPr>
          <w:bCs/>
          <w:color w:val="000000"/>
        </w:rPr>
        <w:t>促进平等事务总理顾问办公室</w:t>
      </w:r>
      <w:r>
        <w:rPr>
          <w:rFonts w:hint="eastAsia"/>
          <w:bCs/>
          <w:color w:val="000000"/>
        </w:rPr>
        <w:t>还有</w:t>
      </w:r>
      <w:r>
        <w:rPr>
          <w:rFonts w:hint="eastAsia"/>
          <w:bCs/>
          <w:color w:val="000000"/>
        </w:rPr>
        <w:t>5</w:t>
      </w:r>
      <w:r>
        <w:rPr>
          <w:rFonts w:hint="eastAsia"/>
          <w:bCs/>
          <w:color w:val="000000"/>
        </w:rPr>
        <w:t>名国家工作人员和一名国际顾问。自</w:t>
      </w:r>
      <w:r>
        <w:rPr>
          <w:rFonts w:hint="eastAsia"/>
          <w:bCs/>
          <w:color w:val="000000"/>
        </w:rPr>
        <w:t>2001</w:t>
      </w:r>
      <w:r>
        <w:rPr>
          <w:rFonts w:hint="eastAsia"/>
          <w:bCs/>
          <w:color w:val="000000"/>
        </w:rPr>
        <w:t>年以来，联合国人口基金一直为该办公室的项目提供支持，以加强国家处理基于性别的暴力的能力。现有小组包括两名国家工作人员和一名国际项目经理。</w:t>
      </w:r>
    </w:p>
    <w:p w:rsidR="00692915" w:rsidRDefault="00692915" w:rsidP="009A1C1B">
      <w:pPr>
        <w:tabs>
          <w:tab w:val="left" w:pos="1170"/>
        </w:tabs>
        <w:spacing w:after="240"/>
        <w:ind w:firstLine="31680"/>
        <w:rPr>
          <w:rFonts w:hint="eastAsia"/>
          <w:bCs/>
          <w:color w:val="000000"/>
        </w:rPr>
      </w:pPr>
      <w:r>
        <w:rPr>
          <w:bCs/>
          <w:color w:val="000000"/>
        </w:rPr>
        <w:t>178.</w:t>
      </w:r>
      <w:r>
        <w:rPr>
          <w:rFonts w:hint="eastAsia"/>
          <w:bCs/>
          <w:color w:val="000000"/>
        </w:rPr>
        <w:t xml:space="preserve"> 2005/2006</w:t>
      </w:r>
      <w:r>
        <w:rPr>
          <w:rFonts w:hint="eastAsia"/>
          <w:bCs/>
          <w:color w:val="000000"/>
        </w:rPr>
        <w:t>财政年度分配给顾问办公室的预算为</w:t>
      </w:r>
      <w:r>
        <w:rPr>
          <w:bCs/>
          <w:color w:val="000000"/>
        </w:rPr>
        <w:t>65</w:t>
      </w:r>
      <w:r>
        <w:rPr>
          <w:rFonts w:hint="eastAsia"/>
          <w:bCs/>
          <w:color w:val="000000"/>
        </w:rPr>
        <w:t xml:space="preserve"> </w:t>
      </w:r>
      <w:r>
        <w:rPr>
          <w:bCs/>
          <w:color w:val="000000"/>
        </w:rPr>
        <w:t>000</w:t>
      </w:r>
      <w:r>
        <w:rPr>
          <w:rFonts w:hint="eastAsia"/>
          <w:bCs/>
          <w:color w:val="000000"/>
        </w:rPr>
        <w:t>美元，预计</w:t>
      </w:r>
      <w:r>
        <w:rPr>
          <w:bCs/>
          <w:color w:val="000000"/>
        </w:rPr>
        <w:t>2006/</w:t>
      </w:r>
      <w:r>
        <w:rPr>
          <w:rFonts w:hint="eastAsia"/>
          <w:bCs/>
          <w:color w:val="000000"/>
        </w:rPr>
        <w:t>20</w:t>
      </w:r>
      <w:r>
        <w:rPr>
          <w:bCs/>
          <w:color w:val="000000"/>
        </w:rPr>
        <w:t>07</w:t>
      </w:r>
      <w:r>
        <w:rPr>
          <w:rFonts w:hint="eastAsia"/>
          <w:bCs/>
          <w:color w:val="000000"/>
        </w:rPr>
        <w:t>财政年度将上升到</w:t>
      </w:r>
      <w:r>
        <w:rPr>
          <w:bCs/>
          <w:color w:val="000000"/>
        </w:rPr>
        <w:t>69</w:t>
      </w:r>
      <w:r>
        <w:rPr>
          <w:rFonts w:hint="eastAsia"/>
          <w:bCs/>
          <w:color w:val="000000"/>
        </w:rPr>
        <w:t xml:space="preserve"> </w:t>
      </w:r>
      <w:r>
        <w:rPr>
          <w:bCs/>
          <w:color w:val="000000"/>
        </w:rPr>
        <w:t>000</w:t>
      </w:r>
      <w:r>
        <w:rPr>
          <w:rFonts w:hint="eastAsia"/>
          <w:bCs/>
          <w:color w:val="000000"/>
        </w:rPr>
        <w:t>美元（尚未批准）。</w:t>
      </w:r>
    </w:p>
    <w:p w:rsidR="00692915" w:rsidRDefault="00692915">
      <w:pPr>
        <w:pStyle w:val="Heading3"/>
        <w:tabs>
          <w:tab w:val="left" w:pos="1170"/>
        </w:tabs>
        <w:jc w:val="both"/>
        <w:rPr>
          <w:rFonts w:eastAsia="KaiTi_GB2312" w:hint="eastAsia"/>
          <w:color w:val="000000"/>
          <w:u w:val="none"/>
        </w:rPr>
      </w:pPr>
      <w:r>
        <w:rPr>
          <w:rFonts w:eastAsia="KaiTi_GB2312" w:hint="eastAsia"/>
          <w:color w:val="000000"/>
          <w:u w:val="none"/>
        </w:rPr>
        <w:t>儿童权利全国委员会</w:t>
      </w:r>
    </w:p>
    <w:p w:rsidR="00692915" w:rsidRDefault="00692915" w:rsidP="009A1C1B">
      <w:pPr>
        <w:tabs>
          <w:tab w:val="left" w:pos="1170"/>
        </w:tabs>
        <w:ind w:firstLine="31680"/>
        <w:rPr>
          <w:rFonts w:hint="eastAsia"/>
          <w:bCs/>
          <w:color w:val="000000"/>
        </w:rPr>
      </w:pPr>
      <w:r>
        <w:rPr>
          <w:bCs/>
          <w:color w:val="000000"/>
        </w:rPr>
        <w:t>179</w:t>
      </w:r>
      <w:r>
        <w:rPr>
          <w:bCs/>
          <w:color w:val="000000"/>
        </w:rPr>
        <w:tab/>
      </w:r>
      <w:r>
        <w:rPr>
          <w:rFonts w:hint="eastAsia"/>
          <w:bCs/>
          <w:color w:val="000000"/>
        </w:rPr>
        <w:t>2005</w:t>
      </w:r>
      <w:r>
        <w:rPr>
          <w:rFonts w:hint="eastAsia"/>
          <w:bCs/>
          <w:color w:val="000000"/>
        </w:rPr>
        <w:t>年</w:t>
      </w:r>
      <w:r>
        <w:rPr>
          <w:rFonts w:hint="eastAsia"/>
          <w:bCs/>
          <w:color w:val="000000"/>
        </w:rPr>
        <w:t>2</w:t>
      </w:r>
      <w:r>
        <w:rPr>
          <w:rFonts w:hint="eastAsia"/>
          <w:bCs/>
          <w:color w:val="000000"/>
        </w:rPr>
        <w:t>月，东帝汶总理</w:t>
      </w:r>
      <w:r>
        <w:rPr>
          <w:rFonts w:ascii="Arial" w:hAnsi="Arial" w:cs="Arial" w:hint="eastAsia"/>
          <w:color w:val="000000"/>
        </w:rPr>
        <w:t>马里·阿尔卡蒂里博士颁布了一项法令：“将建立一个儿童权利全国委员会（</w:t>
      </w:r>
      <w:r>
        <w:rPr>
          <w:bCs/>
          <w:color w:val="000000"/>
        </w:rPr>
        <w:t>CNDC</w:t>
      </w:r>
      <w:r>
        <w:rPr>
          <w:rFonts w:ascii="Arial" w:hAnsi="Arial" w:cs="Arial" w:hint="eastAsia"/>
          <w:color w:val="000000"/>
        </w:rPr>
        <w:t>），该委员会将直接在我的领导下开展工作”。</w:t>
      </w:r>
    </w:p>
    <w:p w:rsidR="00692915" w:rsidRDefault="00692915" w:rsidP="009A1C1B">
      <w:pPr>
        <w:tabs>
          <w:tab w:val="left" w:pos="1170"/>
        </w:tabs>
        <w:ind w:firstLine="31680"/>
        <w:rPr>
          <w:rFonts w:hint="eastAsia"/>
          <w:bCs/>
          <w:color w:val="000000"/>
        </w:rPr>
      </w:pPr>
      <w:r>
        <w:rPr>
          <w:bCs/>
          <w:color w:val="000000"/>
        </w:rPr>
        <w:t>180.</w:t>
      </w:r>
      <w:r>
        <w:rPr>
          <w:bCs/>
          <w:color w:val="000000"/>
        </w:rPr>
        <w:tab/>
      </w:r>
      <w:r>
        <w:rPr>
          <w:rFonts w:hint="eastAsia"/>
          <w:bCs/>
          <w:color w:val="000000"/>
        </w:rPr>
        <w:t>儿童权利全国委员会的顾问委员会成员将包括：外交与合作部部长、计划与财政部部长、教育与文化部部长、卫生部部长、司法部部长、劳动与社会安置部部长；人权事务总理顾问；总检察长；宗教信仰的一名代表；非政府组织的一名代表以及一名儿童代表。</w:t>
      </w:r>
    </w:p>
    <w:p w:rsidR="00692915" w:rsidRDefault="00692915" w:rsidP="009A1C1B">
      <w:pPr>
        <w:tabs>
          <w:tab w:val="left" w:pos="1170"/>
        </w:tabs>
        <w:ind w:firstLine="31680"/>
        <w:rPr>
          <w:rFonts w:hint="eastAsia"/>
          <w:bCs/>
          <w:color w:val="000000"/>
        </w:rPr>
      </w:pPr>
      <w:r>
        <w:rPr>
          <w:bCs/>
          <w:color w:val="000000"/>
        </w:rPr>
        <w:t>181.</w:t>
      </w:r>
      <w:r>
        <w:rPr>
          <w:bCs/>
          <w:color w:val="000000"/>
        </w:rPr>
        <w:tab/>
      </w:r>
      <w:r>
        <w:rPr>
          <w:rFonts w:hint="eastAsia"/>
          <w:bCs/>
          <w:color w:val="000000"/>
        </w:rPr>
        <w:t>顾问委员会将在其第一次会议上决定儿童权利全国委员会秘书处的人选，其中将包括政府机构、民间社会和儿童的代表。在会议期间，顾问委员会还将根据择优录用的原则，选拔儿童权利国家专员，以确保国家专员通晓人权的一般原则和儿童权利的具体原则，既具有廉正的品性，又具有协调儿童权利全国委员会各种活动的适当经验和能力。国家专员还应在社会中享有一定声望，同时兼有高度的独立性和公正品行。</w:t>
      </w:r>
    </w:p>
    <w:p w:rsidR="00692915" w:rsidRDefault="00692915" w:rsidP="009A1C1B">
      <w:pPr>
        <w:tabs>
          <w:tab w:val="left" w:pos="1170"/>
        </w:tabs>
        <w:ind w:firstLine="31680"/>
        <w:rPr>
          <w:rFonts w:hint="eastAsia"/>
          <w:bCs/>
          <w:color w:val="000000"/>
        </w:rPr>
      </w:pPr>
      <w:r>
        <w:rPr>
          <w:bCs/>
          <w:color w:val="000000"/>
        </w:rPr>
        <w:t>182.</w:t>
      </w:r>
      <w:r>
        <w:rPr>
          <w:bCs/>
          <w:color w:val="000000"/>
        </w:rPr>
        <w:tab/>
      </w:r>
      <w:r>
        <w:rPr>
          <w:rFonts w:hint="eastAsia"/>
          <w:bCs/>
          <w:color w:val="000000"/>
        </w:rPr>
        <w:t>儿童权利全国委员会负有以下方面的明确职责：</w:t>
      </w:r>
    </w:p>
    <w:p w:rsidR="00692915" w:rsidRDefault="00692915" w:rsidP="009A1C1B">
      <w:pPr>
        <w:numPr>
          <w:ilvl w:val="0"/>
          <w:numId w:val="17"/>
        </w:numPr>
        <w:tabs>
          <w:tab w:val="clear" w:pos="927"/>
          <w:tab w:val="num" w:pos="1690"/>
        </w:tabs>
        <w:ind w:leftChars="450" w:left="31680" w:hangingChars="200" w:firstLine="31680"/>
        <w:rPr>
          <w:bCs/>
          <w:color w:val="000000"/>
        </w:rPr>
      </w:pPr>
      <w:r>
        <w:rPr>
          <w:rFonts w:hint="eastAsia"/>
          <w:bCs/>
          <w:color w:val="000000"/>
        </w:rPr>
        <w:t>支持《儿童权利守则》的实施；</w:t>
      </w:r>
    </w:p>
    <w:p w:rsidR="00692915" w:rsidRDefault="00692915" w:rsidP="009A1C1B">
      <w:pPr>
        <w:numPr>
          <w:ilvl w:val="0"/>
          <w:numId w:val="17"/>
        </w:numPr>
        <w:tabs>
          <w:tab w:val="clear" w:pos="927"/>
          <w:tab w:val="num" w:pos="1690"/>
        </w:tabs>
        <w:ind w:leftChars="450" w:left="31680" w:hangingChars="200" w:firstLine="31680"/>
        <w:rPr>
          <w:bCs/>
          <w:color w:val="000000"/>
        </w:rPr>
      </w:pPr>
      <w:r>
        <w:rPr>
          <w:rFonts w:hint="eastAsia"/>
          <w:bCs/>
          <w:color w:val="000000"/>
        </w:rPr>
        <w:t>为实施《儿童权利守则》以及与儿童权利有关的其他立法或措施，向政府和国家的相关机构提出建议；</w:t>
      </w:r>
    </w:p>
    <w:p w:rsidR="00692915" w:rsidRDefault="00692915" w:rsidP="009A1C1B">
      <w:pPr>
        <w:numPr>
          <w:ilvl w:val="0"/>
          <w:numId w:val="17"/>
        </w:numPr>
        <w:tabs>
          <w:tab w:val="clear" w:pos="927"/>
          <w:tab w:val="num" w:pos="1690"/>
        </w:tabs>
        <w:ind w:leftChars="450" w:left="31680" w:hangingChars="200" w:firstLine="31680"/>
        <w:rPr>
          <w:bCs/>
          <w:color w:val="000000"/>
        </w:rPr>
      </w:pPr>
      <w:r>
        <w:rPr>
          <w:rFonts w:hint="eastAsia"/>
          <w:bCs/>
          <w:color w:val="000000"/>
        </w:rPr>
        <w:t>促进适用《儿童权利守则》以及与儿童权利有关的其他立法或措施；</w:t>
      </w:r>
    </w:p>
    <w:p w:rsidR="00692915" w:rsidRDefault="00692915" w:rsidP="009A1C1B">
      <w:pPr>
        <w:numPr>
          <w:ilvl w:val="0"/>
          <w:numId w:val="17"/>
        </w:numPr>
        <w:tabs>
          <w:tab w:val="clear" w:pos="927"/>
          <w:tab w:val="num" w:pos="1690"/>
        </w:tabs>
        <w:ind w:leftChars="450" w:left="31680" w:hangingChars="200" w:firstLine="31680"/>
        <w:rPr>
          <w:bCs/>
          <w:color w:val="000000"/>
        </w:rPr>
      </w:pPr>
      <w:r>
        <w:rPr>
          <w:rFonts w:hint="eastAsia"/>
          <w:bCs/>
          <w:color w:val="000000"/>
        </w:rPr>
        <w:t>提请政府关注各种影响儿童或其权利、因而需要予以紧急或特别关注的情况；</w:t>
      </w:r>
    </w:p>
    <w:p w:rsidR="00692915" w:rsidRDefault="00692915" w:rsidP="009A1C1B">
      <w:pPr>
        <w:numPr>
          <w:ilvl w:val="0"/>
          <w:numId w:val="17"/>
        </w:numPr>
        <w:tabs>
          <w:tab w:val="clear" w:pos="927"/>
          <w:tab w:val="num" w:pos="1690"/>
        </w:tabs>
        <w:ind w:leftChars="450" w:left="31680" w:hangingChars="200" w:firstLine="31680"/>
        <w:rPr>
          <w:bCs/>
          <w:color w:val="000000"/>
        </w:rPr>
      </w:pPr>
      <w:r>
        <w:rPr>
          <w:rFonts w:hint="eastAsia"/>
          <w:bCs/>
          <w:color w:val="000000"/>
        </w:rPr>
        <w:t>确保所有政府行动以及所有公共机构的行动都更加关注儿童，将儿童作为一个需要关注的基本问题；</w:t>
      </w:r>
    </w:p>
    <w:p w:rsidR="00692915" w:rsidRDefault="00692915" w:rsidP="009A1C1B">
      <w:pPr>
        <w:numPr>
          <w:ilvl w:val="0"/>
          <w:numId w:val="17"/>
        </w:numPr>
        <w:tabs>
          <w:tab w:val="clear" w:pos="927"/>
          <w:tab w:val="num" w:pos="1690"/>
        </w:tabs>
        <w:ind w:leftChars="450" w:left="31680" w:hangingChars="200" w:firstLine="31680"/>
        <w:rPr>
          <w:bCs/>
          <w:color w:val="000000"/>
        </w:rPr>
      </w:pPr>
      <w:r>
        <w:rPr>
          <w:rFonts w:hint="eastAsia"/>
          <w:bCs/>
          <w:color w:val="000000"/>
        </w:rPr>
        <w:t>针对那些影响儿童的问题，协调各政府部门的行动，以及各地区、县和乡级公共机构的行动；</w:t>
      </w:r>
    </w:p>
    <w:p w:rsidR="00692915" w:rsidRDefault="00692915" w:rsidP="009A1C1B">
      <w:pPr>
        <w:numPr>
          <w:ilvl w:val="0"/>
          <w:numId w:val="17"/>
        </w:numPr>
        <w:tabs>
          <w:tab w:val="clear" w:pos="927"/>
          <w:tab w:val="num" w:pos="1690"/>
        </w:tabs>
        <w:ind w:leftChars="450" w:left="31680" w:hangingChars="200" w:firstLine="31680"/>
        <w:rPr>
          <w:bCs/>
          <w:color w:val="000000"/>
        </w:rPr>
      </w:pPr>
      <w:r>
        <w:rPr>
          <w:rFonts w:hint="eastAsia"/>
          <w:bCs/>
          <w:color w:val="000000"/>
        </w:rPr>
        <w:t>对那些影响儿童及其权利的国家现状及趋势进行监测；</w:t>
      </w:r>
    </w:p>
    <w:p w:rsidR="00692915" w:rsidRDefault="00692915" w:rsidP="009A1C1B">
      <w:pPr>
        <w:numPr>
          <w:ilvl w:val="0"/>
          <w:numId w:val="17"/>
        </w:numPr>
        <w:tabs>
          <w:tab w:val="clear" w:pos="927"/>
          <w:tab w:val="num" w:pos="1690"/>
        </w:tabs>
        <w:ind w:leftChars="450" w:left="31680" w:hangingChars="200" w:firstLine="31680"/>
        <w:rPr>
          <w:bCs/>
          <w:color w:val="000000"/>
        </w:rPr>
      </w:pPr>
      <w:r>
        <w:rPr>
          <w:rFonts w:hint="eastAsia"/>
          <w:bCs/>
          <w:color w:val="000000"/>
        </w:rPr>
        <w:t>提高公众对儿童及其权利的关注，以及民间社会在此方面的意识；</w:t>
      </w:r>
    </w:p>
    <w:p w:rsidR="00692915" w:rsidRDefault="00692915" w:rsidP="009A1C1B">
      <w:pPr>
        <w:numPr>
          <w:ilvl w:val="0"/>
          <w:numId w:val="17"/>
        </w:numPr>
        <w:tabs>
          <w:tab w:val="clear" w:pos="927"/>
          <w:tab w:val="num" w:pos="1690"/>
        </w:tabs>
        <w:spacing w:after="240"/>
        <w:ind w:leftChars="450" w:left="31680" w:hangingChars="200" w:firstLine="31680"/>
        <w:rPr>
          <w:bCs/>
          <w:color w:val="000000"/>
        </w:rPr>
      </w:pPr>
      <w:r>
        <w:rPr>
          <w:rFonts w:hint="eastAsia"/>
          <w:bCs/>
          <w:color w:val="000000"/>
        </w:rPr>
        <w:t>协调该领域的国际合作。</w:t>
      </w:r>
    </w:p>
    <w:p w:rsidR="00692915" w:rsidRDefault="00692915">
      <w:pPr>
        <w:pStyle w:val="Heading2"/>
        <w:tabs>
          <w:tab w:val="left" w:pos="1170"/>
        </w:tabs>
        <w:jc w:val="both"/>
        <w:rPr>
          <w:rFonts w:hint="eastAsia"/>
          <w:color w:val="000000"/>
          <w:sz w:val="24"/>
        </w:rPr>
      </w:pPr>
      <w:bookmarkStart w:id="50" w:name="_Toc150514929"/>
      <w:bookmarkStart w:id="51" w:name="_Toc150684832"/>
      <w:r>
        <w:rPr>
          <w:color w:val="000000"/>
          <w:sz w:val="24"/>
        </w:rPr>
        <w:t xml:space="preserve">3.  </w:t>
      </w:r>
      <w:bookmarkEnd w:id="50"/>
      <w:bookmarkEnd w:id="51"/>
      <w:r>
        <w:rPr>
          <w:rFonts w:hint="eastAsia"/>
          <w:color w:val="000000"/>
          <w:sz w:val="24"/>
          <w:u w:val="single"/>
        </w:rPr>
        <w:t>政府部委</w:t>
      </w:r>
    </w:p>
    <w:p w:rsidR="00692915" w:rsidRDefault="00692915" w:rsidP="009A1C1B">
      <w:pPr>
        <w:tabs>
          <w:tab w:val="left" w:pos="1170"/>
        </w:tabs>
        <w:spacing w:after="240"/>
        <w:ind w:firstLine="31680"/>
        <w:rPr>
          <w:rFonts w:hint="eastAsia"/>
          <w:bCs/>
          <w:color w:val="000000"/>
        </w:rPr>
      </w:pPr>
      <w:r>
        <w:rPr>
          <w:bCs/>
          <w:color w:val="000000"/>
        </w:rPr>
        <w:t>183.</w:t>
      </w:r>
      <w:r>
        <w:rPr>
          <w:bCs/>
          <w:color w:val="000000"/>
        </w:rPr>
        <w:tab/>
      </w:r>
      <w:r>
        <w:rPr>
          <w:rFonts w:hint="eastAsia"/>
          <w:bCs/>
          <w:color w:val="000000"/>
        </w:rPr>
        <w:t>尽管所有政府部委都在促进权利方面发挥了一定作用，但以下主要直属部委则在促进权利方面负有各自的职责。</w:t>
      </w:r>
    </w:p>
    <w:p w:rsidR="00692915" w:rsidRDefault="00692915">
      <w:pPr>
        <w:pStyle w:val="Heading3"/>
        <w:tabs>
          <w:tab w:val="left" w:pos="1170"/>
        </w:tabs>
        <w:jc w:val="both"/>
        <w:rPr>
          <w:rFonts w:eastAsia="KaiTi_GB2312" w:hint="eastAsia"/>
          <w:color w:val="000000"/>
          <w:u w:val="none"/>
        </w:rPr>
      </w:pPr>
      <w:r>
        <w:rPr>
          <w:rFonts w:eastAsia="KaiTi_GB2312" w:hint="eastAsia"/>
          <w:color w:val="000000"/>
          <w:u w:val="none"/>
        </w:rPr>
        <w:t>教育与文化部</w:t>
      </w:r>
    </w:p>
    <w:p w:rsidR="00692915" w:rsidRDefault="00692915" w:rsidP="009A1C1B">
      <w:pPr>
        <w:tabs>
          <w:tab w:val="left" w:pos="1170"/>
        </w:tabs>
        <w:spacing w:after="240"/>
        <w:ind w:firstLine="31680"/>
        <w:rPr>
          <w:rFonts w:hint="eastAsia"/>
          <w:bCs/>
          <w:color w:val="000000"/>
        </w:rPr>
      </w:pPr>
      <w:r>
        <w:rPr>
          <w:bCs/>
          <w:color w:val="000000"/>
        </w:rPr>
        <w:t>184.</w:t>
      </w:r>
      <w:r>
        <w:rPr>
          <w:bCs/>
          <w:color w:val="000000"/>
        </w:rPr>
        <w:tab/>
      </w:r>
      <w:r>
        <w:rPr>
          <w:rFonts w:hint="eastAsia"/>
          <w:bCs/>
          <w:color w:val="000000"/>
        </w:rPr>
        <w:t>作为政府部门，教育与文化部负责制定、实施、协调和评估教育与文化领域以及科技领域的各项政策。其具体责任包括：为儿童保护、扫盲和教育提供保障，保护文学艺术创造方面的权利。</w:t>
      </w:r>
      <w:r>
        <w:rPr>
          <w:rStyle w:val="FootnoteReference"/>
          <w:bCs/>
          <w:color w:val="000000"/>
        </w:rPr>
        <w:footnoteReference w:id="108"/>
      </w:r>
    </w:p>
    <w:p w:rsidR="00692915" w:rsidRDefault="00692915">
      <w:pPr>
        <w:pStyle w:val="Heading3"/>
        <w:tabs>
          <w:tab w:val="left" w:pos="1170"/>
        </w:tabs>
        <w:jc w:val="both"/>
        <w:rPr>
          <w:rFonts w:eastAsia="KaiTi_GB2312" w:hint="eastAsia"/>
          <w:color w:val="000000"/>
          <w:u w:val="none"/>
        </w:rPr>
      </w:pPr>
      <w:r>
        <w:rPr>
          <w:rFonts w:eastAsia="KaiTi_GB2312" w:hint="eastAsia"/>
          <w:color w:val="000000"/>
          <w:u w:val="none"/>
        </w:rPr>
        <w:t>卫生部</w:t>
      </w:r>
    </w:p>
    <w:p w:rsidR="00692915" w:rsidRDefault="00692915" w:rsidP="009A1C1B">
      <w:pPr>
        <w:tabs>
          <w:tab w:val="left" w:pos="1170"/>
        </w:tabs>
        <w:spacing w:after="240"/>
        <w:ind w:firstLine="31680"/>
        <w:rPr>
          <w:rFonts w:hint="eastAsia"/>
          <w:bCs/>
          <w:color w:val="000000"/>
        </w:rPr>
      </w:pPr>
      <w:r>
        <w:rPr>
          <w:bCs/>
          <w:color w:val="000000"/>
        </w:rPr>
        <w:t>185.</w:t>
      </w:r>
      <w:r>
        <w:rPr>
          <w:bCs/>
          <w:color w:val="000000"/>
        </w:rPr>
        <w:tab/>
      </w:r>
      <w:r>
        <w:rPr>
          <w:rFonts w:hint="eastAsia"/>
          <w:bCs/>
          <w:color w:val="000000"/>
        </w:rPr>
        <w:t>作为政府部门，卫生部负责制定、实施、协调和评估健康与制药活动方面的各种政策，旨在确保人们能够获得相应的医疗服务，其责任包括：根据实际需要和现有资源建立、管理和建设一个卫生系统，重点确保该系统的公平性，关注最弱势人群</w:t>
      </w:r>
      <w:r>
        <w:rPr>
          <w:rFonts w:ascii="SimHei" w:eastAsia="SimHei" w:hint="eastAsia"/>
          <w:bCs/>
          <w:color w:val="000000"/>
          <w:spacing w:val="0"/>
        </w:rPr>
        <w:t>——</w:t>
      </w:r>
      <w:r>
        <w:rPr>
          <w:rFonts w:hint="eastAsia"/>
          <w:bCs/>
          <w:color w:val="000000"/>
        </w:rPr>
        <w:t>为此目的，卫生部将在一切可能的时候促进民间社会的积极参与。</w:t>
      </w:r>
      <w:r>
        <w:rPr>
          <w:rStyle w:val="FootnoteReference"/>
          <w:bCs/>
          <w:color w:val="000000"/>
        </w:rPr>
        <w:footnoteReference w:id="109"/>
      </w:r>
    </w:p>
    <w:p w:rsidR="00692915" w:rsidRDefault="00692915">
      <w:pPr>
        <w:pStyle w:val="Heading3"/>
        <w:tabs>
          <w:tab w:val="left" w:pos="1170"/>
        </w:tabs>
        <w:jc w:val="both"/>
        <w:rPr>
          <w:rFonts w:eastAsia="KaiTi_GB2312" w:hint="eastAsia"/>
          <w:color w:val="000000"/>
          <w:u w:val="none"/>
        </w:rPr>
      </w:pPr>
      <w:r>
        <w:rPr>
          <w:rFonts w:eastAsia="KaiTi_GB2312" w:hint="eastAsia"/>
          <w:color w:val="000000"/>
          <w:u w:val="none"/>
        </w:rPr>
        <w:t>司法部</w:t>
      </w:r>
    </w:p>
    <w:p w:rsidR="00692915" w:rsidRDefault="00692915" w:rsidP="009A1C1B">
      <w:pPr>
        <w:tabs>
          <w:tab w:val="left" w:pos="1170"/>
        </w:tabs>
        <w:spacing w:after="240"/>
        <w:ind w:firstLine="31680"/>
        <w:rPr>
          <w:rFonts w:hint="eastAsia"/>
          <w:bCs/>
          <w:color w:val="000000"/>
        </w:rPr>
      </w:pPr>
      <w:r>
        <w:rPr>
          <w:bCs/>
          <w:color w:val="000000"/>
        </w:rPr>
        <w:t>186.</w:t>
      </w:r>
      <w:r>
        <w:rPr>
          <w:bCs/>
          <w:color w:val="000000"/>
        </w:rPr>
        <w:tab/>
      </w:r>
      <w:r>
        <w:rPr>
          <w:rFonts w:hint="eastAsia"/>
          <w:bCs/>
          <w:color w:val="000000"/>
        </w:rPr>
        <w:t>司法部负责制定、实施、协调和评估司法和法律领域的各项政策，特别包括：提出必要的立法改革建议，确保法律制度的一致性和有效性。其他责任包括：建立相应的机制，确保有足够的机制为帝汶人的公民权提供保障和促进这种权利的宣传；</w:t>
      </w:r>
      <w:r>
        <w:rPr>
          <w:rStyle w:val="FootnoteReference"/>
          <w:bCs/>
          <w:color w:val="000000"/>
        </w:rPr>
        <w:footnoteReference w:id="110"/>
      </w:r>
      <w:r>
        <w:rPr>
          <w:rFonts w:hint="eastAsia"/>
          <w:bCs/>
          <w:color w:val="000000"/>
        </w:rPr>
        <w:t>规范与管理监狱制度、重新参与社会生活和公诉辩护人服务；</w:t>
      </w:r>
      <w:r>
        <w:rPr>
          <w:rStyle w:val="FootnoteReference"/>
          <w:bCs/>
          <w:color w:val="000000"/>
        </w:rPr>
        <w:footnoteReference w:id="111"/>
      </w:r>
      <w:r>
        <w:rPr>
          <w:rFonts w:hint="eastAsia"/>
          <w:bCs/>
          <w:color w:val="000000"/>
        </w:rPr>
        <w:t>确保有相应的机制为最弱势公民提供法律援助和帮助。</w:t>
      </w:r>
      <w:r>
        <w:rPr>
          <w:rStyle w:val="FootnoteReference"/>
          <w:bCs/>
          <w:color w:val="000000"/>
        </w:rPr>
        <w:footnoteReference w:id="112"/>
      </w:r>
    </w:p>
    <w:p w:rsidR="00692915" w:rsidRDefault="00692915">
      <w:pPr>
        <w:pStyle w:val="Heading3"/>
        <w:tabs>
          <w:tab w:val="left" w:pos="1170"/>
        </w:tabs>
        <w:jc w:val="both"/>
        <w:rPr>
          <w:rFonts w:eastAsia="KaiTi_GB2312" w:hint="eastAsia"/>
          <w:color w:val="000000"/>
          <w:u w:val="none"/>
        </w:rPr>
      </w:pPr>
      <w:r>
        <w:rPr>
          <w:rFonts w:eastAsia="KaiTi_GB2312" w:hint="eastAsia"/>
          <w:color w:val="000000"/>
          <w:u w:val="none"/>
        </w:rPr>
        <w:t>劳动与社会安置部</w:t>
      </w:r>
    </w:p>
    <w:p w:rsidR="00692915" w:rsidRDefault="00692915" w:rsidP="009A1C1B">
      <w:pPr>
        <w:tabs>
          <w:tab w:val="left" w:pos="1170"/>
        </w:tabs>
        <w:ind w:firstLine="31680"/>
        <w:rPr>
          <w:rFonts w:hint="eastAsia"/>
          <w:bCs/>
          <w:color w:val="000000"/>
        </w:rPr>
      </w:pPr>
      <w:r>
        <w:rPr>
          <w:bCs/>
          <w:color w:val="000000"/>
        </w:rPr>
        <w:t>187.</w:t>
      </w:r>
      <w:r>
        <w:rPr>
          <w:bCs/>
          <w:color w:val="000000"/>
        </w:rPr>
        <w:tab/>
      </w:r>
      <w:r>
        <w:rPr>
          <w:rFonts w:hint="eastAsia"/>
          <w:bCs/>
          <w:color w:val="000000"/>
        </w:rPr>
        <w:t>劳动与社会安置部负责制定、实施、协调和评估劳动、就业和社会安置方面的政策，具体任务包括：</w:t>
      </w:r>
    </w:p>
    <w:p w:rsidR="00692915" w:rsidRDefault="00692915" w:rsidP="009A1C1B">
      <w:pPr>
        <w:numPr>
          <w:ilvl w:val="0"/>
          <w:numId w:val="17"/>
        </w:numPr>
        <w:tabs>
          <w:tab w:val="clear" w:pos="927"/>
          <w:tab w:val="num" w:pos="1690"/>
        </w:tabs>
        <w:ind w:leftChars="450" w:left="31680" w:hangingChars="200" w:firstLine="31680"/>
        <w:rPr>
          <w:bCs/>
          <w:color w:val="000000"/>
        </w:rPr>
      </w:pPr>
      <w:r>
        <w:rPr>
          <w:rFonts w:hint="eastAsia"/>
          <w:bCs/>
          <w:color w:val="000000"/>
        </w:rPr>
        <w:t>针对工作与就业，工作场所安全、卫生与健康以及最低工资等事项，提出各种政策和起草相应的条例；</w:t>
      </w:r>
    </w:p>
    <w:p w:rsidR="00692915" w:rsidRDefault="00692915" w:rsidP="009A1C1B">
      <w:pPr>
        <w:numPr>
          <w:ilvl w:val="0"/>
          <w:numId w:val="17"/>
        </w:numPr>
        <w:tabs>
          <w:tab w:val="clear" w:pos="927"/>
          <w:tab w:val="num" w:pos="1690"/>
        </w:tabs>
        <w:ind w:leftChars="450" w:left="31680" w:hangingChars="200" w:firstLine="31680"/>
        <w:rPr>
          <w:bCs/>
          <w:color w:val="000000"/>
        </w:rPr>
      </w:pPr>
      <w:r>
        <w:rPr>
          <w:rFonts w:hint="eastAsia"/>
          <w:bCs/>
          <w:color w:val="000000"/>
        </w:rPr>
        <w:t>为工人制定并实施社会保障制度；</w:t>
      </w:r>
    </w:p>
    <w:p w:rsidR="00692915" w:rsidRDefault="00692915" w:rsidP="009A1C1B">
      <w:pPr>
        <w:numPr>
          <w:ilvl w:val="0"/>
          <w:numId w:val="17"/>
        </w:numPr>
        <w:tabs>
          <w:tab w:val="clear" w:pos="927"/>
          <w:tab w:val="num" w:pos="1690"/>
        </w:tabs>
        <w:ind w:leftChars="450" w:left="31680" w:hangingChars="200" w:firstLine="31680"/>
        <w:rPr>
          <w:bCs/>
          <w:color w:val="000000"/>
        </w:rPr>
      </w:pPr>
      <w:r>
        <w:rPr>
          <w:rFonts w:hint="eastAsia"/>
          <w:bCs/>
          <w:color w:val="000000"/>
        </w:rPr>
        <w:t>确保在社区中为退伍军人和前战斗人员重新安置工作；</w:t>
      </w:r>
    </w:p>
    <w:p w:rsidR="00692915" w:rsidRDefault="00692915" w:rsidP="009A1C1B">
      <w:pPr>
        <w:numPr>
          <w:ilvl w:val="0"/>
          <w:numId w:val="17"/>
        </w:numPr>
        <w:tabs>
          <w:tab w:val="clear" w:pos="927"/>
          <w:tab w:val="num" w:pos="1690"/>
        </w:tabs>
        <w:spacing w:after="240"/>
        <w:ind w:leftChars="450" w:left="31680" w:hangingChars="200" w:firstLine="31680"/>
        <w:rPr>
          <w:bCs/>
          <w:color w:val="000000"/>
        </w:rPr>
      </w:pPr>
      <w:r>
        <w:rPr>
          <w:rFonts w:hint="eastAsia"/>
          <w:bCs/>
          <w:color w:val="000000"/>
        </w:rPr>
        <w:t>鼓励海外雇用帝汶工人，规范并鼓励外国人在东帝汶工作。</w:t>
      </w:r>
    </w:p>
    <w:p w:rsidR="00692915" w:rsidRDefault="00692915" w:rsidP="009A1C1B">
      <w:pPr>
        <w:tabs>
          <w:tab w:val="left" w:pos="1170"/>
        </w:tabs>
        <w:ind w:firstLine="31680"/>
        <w:rPr>
          <w:rFonts w:hint="eastAsia"/>
          <w:bCs/>
          <w:color w:val="000000"/>
        </w:rPr>
      </w:pPr>
      <w:r>
        <w:rPr>
          <w:bCs/>
          <w:color w:val="000000"/>
        </w:rPr>
        <w:t>188.</w:t>
      </w:r>
      <w:r>
        <w:rPr>
          <w:bCs/>
          <w:color w:val="000000"/>
        </w:rPr>
        <w:tab/>
      </w:r>
      <w:r>
        <w:rPr>
          <w:rFonts w:hint="eastAsia"/>
          <w:bCs/>
          <w:color w:val="000000"/>
        </w:rPr>
        <w:t>根据</w:t>
      </w:r>
      <w:r>
        <w:rPr>
          <w:rFonts w:hint="eastAsia"/>
          <w:color w:val="000000"/>
        </w:rPr>
        <w:t>劳动与社会安置部</w:t>
      </w:r>
      <w:r>
        <w:rPr>
          <w:rFonts w:hint="eastAsia"/>
          <w:bCs/>
          <w:color w:val="000000"/>
        </w:rPr>
        <w:t>的组织法草案，该部还负责促进国家和各民族对土著人、难民、境内流离失所人士和移民工人的理解，并从文化上促进这种理解。</w:t>
      </w:r>
    </w:p>
    <w:p w:rsidR="00692915" w:rsidRDefault="00692915" w:rsidP="009A1C1B">
      <w:pPr>
        <w:tabs>
          <w:tab w:val="left" w:pos="1170"/>
        </w:tabs>
        <w:ind w:firstLine="31680"/>
        <w:rPr>
          <w:rFonts w:hint="eastAsia"/>
          <w:bCs/>
          <w:color w:val="000000"/>
        </w:rPr>
      </w:pPr>
      <w:r>
        <w:rPr>
          <w:bCs/>
          <w:color w:val="000000"/>
        </w:rPr>
        <w:t>189.</w:t>
      </w:r>
      <w:r>
        <w:rPr>
          <w:rFonts w:hint="eastAsia"/>
          <w:bCs/>
          <w:color w:val="000000"/>
        </w:rPr>
        <w:tab/>
      </w:r>
      <w:r>
        <w:rPr>
          <w:rFonts w:hint="eastAsia"/>
          <w:color w:val="000000"/>
        </w:rPr>
        <w:t>劳动与社会安置部退伍军人司做出了各种努力，以便</w:t>
      </w:r>
      <w:r>
        <w:rPr>
          <w:rFonts w:hint="eastAsia"/>
          <w:bCs/>
          <w:color w:val="000000"/>
        </w:rPr>
        <w:t>通过日本政府和开发计划署支持的“</w:t>
      </w:r>
      <w:r>
        <w:rPr>
          <w:rFonts w:ascii="Arial" w:hAnsi="Arial" w:cs="Arial" w:hint="eastAsia"/>
          <w:color w:val="000000"/>
        </w:rPr>
        <w:t>东帝汶前战斗人员和社区恢复、就业和稳定方案”（</w:t>
      </w:r>
      <w:r>
        <w:rPr>
          <w:bCs/>
          <w:color w:val="000000"/>
        </w:rPr>
        <w:t>RESPECT</w:t>
      </w:r>
      <w:r>
        <w:rPr>
          <w:rFonts w:ascii="Arial" w:hAnsi="Arial" w:cs="Arial" w:hint="eastAsia"/>
          <w:color w:val="000000"/>
        </w:rPr>
        <w:t>），</w:t>
      </w:r>
      <w:r>
        <w:rPr>
          <w:rFonts w:hint="eastAsia"/>
          <w:color w:val="000000"/>
        </w:rPr>
        <w:t>改善老人、孤寡人士、战争受害人以及其他人士的生活条件。</w:t>
      </w:r>
      <w:r>
        <w:rPr>
          <w:rFonts w:hint="eastAsia"/>
          <w:bCs/>
          <w:color w:val="000000"/>
        </w:rPr>
        <w:t>此外，还为前战斗人员委员会和</w:t>
      </w:r>
      <w:r>
        <w:rPr>
          <w:rFonts w:ascii="Arial" w:hAnsi="Arial" w:cs="Arial" w:hint="eastAsia"/>
          <w:color w:val="000000"/>
        </w:rPr>
        <w:t>东帝汶民族解放组织武装部队退伍军人委员会的倡议提供支持，对各地区进行了一系列访问，以收集退伍军人数量方面的数据。详细情况见下文。</w:t>
      </w:r>
    </w:p>
    <w:p w:rsidR="00692915" w:rsidRDefault="00692915" w:rsidP="009A1C1B">
      <w:pPr>
        <w:tabs>
          <w:tab w:val="left" w:pos="1170"/>
        </w:tabs>
        <w:spacing w:after="240"/>
        <w:ind w:firstLine="31680"/>
        <w:rPr>
          <w:rFonts w:hint="eastAsia"/>
          <w:bCs/>
          <w:color w:val="000000"/>
        </w:rPr>
      </w:pPr>
      <w:r>
        <w:rPr>
          <w:bCs/>
          <w:color w:val="000000"/>
        </w:rPr>
        <w:t>190.</w:t>
      </w:r>
      <w:r>
        <w:rPr>
          <w:bCs/>
          <w:color w:val="000000"/>
        </w:rPr>
        <w:tab/>
      </w:r>
      <w:r>
        <w:rPr>
          <w:rFonts w:hint="eastAsia"/>
          <w:bCs/>
          <w:color w:val="000000"/>
        </w:rPr>
        <w:t xml:space="preserve"> </w:t>
      </w:r>
      <w:r>
        <w:rPr>
          <w:rFonts w:hint="eastAsia"/>
          <w:bCs/>
          <w:color w:val="000000"/>
        </w:rPr>
        <w:t>目前，退伍军人司还提供各种人道主义援助，除其他方面以外，包括：住房、食品、睡垫、厨房用具、大米、糖、渔网和小船。另外，还为退伍军人和前战斗人员提供财政援助，支持他们建立小项目和进行职业培训</w:t>
      </w:r>
      <w:r>
        <w:rPr>
          <w:rFonts w:ascii="SimHei" w:eastAsia="SimHei" w:hint="eastAsia"/>
          <w:bCs/>
          <w:color w:val="000000"/>
          <w:spacing w:val="0"/>
        </w:rPr>
        <w:t>——</w:t>
      </w:r>
      <w:r>
        <w:rPr>
          <w:rFonts w:hint="eastAsia"/>
          <w:bCs/>
          <w:color w:val="000000"/>
        </w:rPr>
        <w:t>目前的培训包括电类和木工类的培训。如前所述，除了这些努力外，还需要更加关注女退伍军人及其从政府支助中的获益方式。</w:t>
      </w:r>
      <w:r>
        <w:rPr>
          <w:rStyle w:val="FootnoteReference"/>
          <w:bCs/>
          <w:color w:val="000000"/>
        </w:rPr>
        <w:footnoteReference w:id="113"/>
      </w:r>
      <w:r>
        <w:rPr>
          <w:rFonts w:hint="eastAsia"/>
          <w:bCs/>
          <w:color w:val="000000"/>
        </w:rPr>
        <w:t>实际上，一家全国性妇女非政府组织指出，到目前为止，妇女并没有平等地从这些人道主义举措中受益。</w:t>
      </w:r>
      <w:r>
        <w:rPr>
          <w:rStyle w:val="FootnoteReference"/>
          <w:bCs/>
          <w:color w:val="000000"/>
        </w:rPr>
        <w:footnoteReference w:id="114"/>
      </w:r>
    </w:p>
    <w:p w:rsidR="00692915" w:rsidRDefault="00692915">
      <w:pPr>
        <w:pStyle w:val="Heading3"/>
        <w:tabs>
          <w:tab w:val="left" w:pos="1170"/>
        </w:tabs>
        <w:jc w:val="both"/>
        <w:rPr>
          <w:rFonts w:eastAsia="KaiTi_GB2312" w:hint="eastAsia"/>
          <w:color w:val="000000"/>
          <w:u w:val="none"/>
        </w:rPr>
      </w:pPr>
      <w:r>
        <w:rPr>
          <w:rFonts w:eastAsia="KaiTi_GB2312" w:hint="eastAsia"/>
          <w:color w:val="000000"/>
          <w:u w:val="none"/>
        </w:rPr>
        <w:t>青年及体育国务秘书处</w:t>
      </w:r>
    </w:p>
    <w:p w:rsidR="00692915" w:rsidRDefault="00692915" w:rsidP="009A1C1B">
      <w:pPr>
        <w:tabs>
          <w:tab w:val="left" w:pos="1170"/>
        </w:tabs>
        <w:spacing w:after="240"/>
        <w:ind w:firstLine="31680"/>
        <w:rPr>
          <w:rFonts w:hint="eastAsia"/>
          <w:bCs/>
          <w:color w:val="000000"/>
        </w:rPr>
      </w:pPr>
      <w:r>
        <w:rPr>
          <w:bCs/>
          <w:color w:val="000000"/>
        </w:rPr>
        <w:t>191.</w:t>
      </w:r>
      <w:r>
        <w:rPr>
          <w:bCs/>
          <w:color w:val="000000"/>
        </w:rPr>
        <w:tab/>
      </w:r>
      <w:r>
        <w:rPr>
          <w:rFonts w:hint="eastAsia"/>
          <w:bCs/>
          <w:color w:val="000000"/>
        </w:rPr>
        <w:t>作为政府部门，青年及体育国务秘书处负责制定、实施、协调和评估福利促进领域、青年发展领域以及体育教育及体育领域的各种政策</w:t>
      </w:r>
      <w:r>
        <w:rPr>
          <w:rFonts w:ascii="SimHei" w:eastAsia="SimHei" w:hint="eastAsia"/>
          <w:bCs/>
          <w:color w:val="000000"/>
          <w:spacing w:val="0"/>
        </w:rPr>
        <w:t>——</w:t>
      </w:r>
      <w:r>
        <w:rPr>
          <w:rFonts w:hint="eastAsia"/>
          <w:bCs/>
          <w:color w:val="000000"/>
        </w:rPr>
        <w:t>这些政策由部长理事会负责确定和批准。</w:t>
      </w:r>
    </w:p>
    <w:p w:rsidR="00692915" w:rsidRDefault="00692915">
      <w:pPr>
        <w:pStyle w:val="Heading3"/>
        <w:tabs>
          <w:tab w:val="left" w:pos="1170"/>
        </w:tabs>
        <w:jc w:val="both"/>
        <w:rPr>
          <w:rFonts w:eastAsia="KaiTi_GB2312" w:hint="eastAsia"/>
          <w:color w:val="000000"/>
          <w:u w:val="none"/>
        </w:rPr>
      </w:pPr>
      <w:r>
        <w:rPr>
          <w:rFonts w:eastAsia="KaiTi_GB2312" w:hint="eastAsia"/>
          <w:color w:val="000000"/>
          <w:u w:val="none"/>
        </w:rPr>
        <w:t>人权和性别事务联络员</w:t>
      </w:r>
    </w:p>
    <w:p w:rsidR="00692915" w:rsidRDefault="00692915" w:rsidP="009A1C1B">
      <w:pPr>
        <w:tabs>
          <w:tab w:val="left" w:pos="1170"/>
        </w:tabs>
        <w:ind w:firstLine="31680"/>
        <w:rPr>
          <w:rFonts w:hint="eastAsia"/>
          <w:color w:val="000000"/>
        </w:rPr>
      </w:pPr>
      <w:r>
        <w:rPr>
          <w:color w:val="000000"/>
        </w:rPr>
        <w:t>192.</w:t>
      </w:r>
      <w:r>
        <w:rPr>
          <w:color w:val="000000"/>
        </w:rPr>
        <w:tab/>
      </w:r>
      <w:r>
        <w:rPr>
          <w:rFonts w:hint="eastAsia"/>
          <w:color w:val="000000"/>
        </w:rPr>
        <w:t>如上所述，</w:t>
      </w:r>
      <w:r>
        <w:rPr>
          <w:rFonts w:hint="eastAsia"/>
          <w:color w:val="000000"/>
        </w:rPr>
        <w:t>2004</w:t>
      </w:r>
      <w:r>
        <w:rPr>
          <w:rFonts w:hint="eastAsia"/>
          <w:color w:val="000000"/>
        </w:rPr>
        <w:t>年，政府和各地区还指定了人权事务联络员，以确保各机构在人权条约报告和国家行动计划过程中发挥作用。联络员为条约报告和《国家人权行动计划》收集资料，并将权利问题纳入各部的相关领域。联络员是按照“训练培训员”的原则任命的，旨在提高人权意识，并由此加强政府官员监测人权的能力。地区联络员作为重要的联络机制，旨在实现报告过程的社会化，收集数据和鼓励地方社区的参与。</w:t>
      </w:r>
    </w:p>
    <w:p w:rsidR="00692915" w:rsidRDefault="00692915" w:rsidP="009A1C1B">
      <w:pPr>
        <w:tabs>
          <w:tab w:val="left" w:pos="1170"/>
        </w:tabs>
        <w:spacing w:after="240"/>
        <w:ind w:firstLine="31680"/>
        <w:rPr>
          <w:rFonts w:hint="eastAsia"/>
          <w:bCs/>
          <w:color w:val="000000"/>
        </w:rPr>
      </w:pPr>
      <w:r>
        <w:rPr>
          <w:bCs/>
          <w:color w:val="000000"/>
        </w:rPr>
        <w:t>193.</w:t>
      </w:r>
      <w:r>
        <w:rPr>
          <w:bCs/>
          <w:color w:val="000000"/>
        </w:rPr>
        <w:tab/>
      </w:r>
      <w:r>
        <w:rPr>
          <w:rFonts w:hint="eastAsia"/>
          <w:bCs/>
          <w:color w:val="000000"/>
        </w:rPr>
        <w:t>同年，</w:t>
      </w:r>
      <w:r>
        <w:rPr>
          <w:bCs/>
          <w:color w:val="000000"/>
        </w:rPr>
        <w:t>促进平等事务总理顾问办公室</w:t>
      </w:r>
      <w:r>
        <w:rPr>
          <w:rFonts w:hint="eastAsia"/>
          <w:bCs/>
          <w:color w:val="000000"/>
        </w:rPr>
        <w:t>在一些直属部委和地区中指派了若干性别事务联络员，负责安排妇女权利和妇女问题方面的地区级培训。在组织</w:t>
      </w:r>
      <w:r>
        <w:rPr>
          <w:rFonts w:hint="eastAsia"/>
          <w:bCs/>
          <w:color w:val="000000"/>
        </w:rPr>
        <w:t>2000</w:t>
      </w:r>
      <w:r>
        <w:rPr>
          <w:rFonts w:hint="eastAsia"/>
          <w:bCs/>
          <w:color w:val="000000"/>
        </w:rPr>
        <w:t>年和</w:t>
      </w:r>
      <w:r>
        <w:rPr>
          <w:rFonts w:hint="eastAsia"/>
          <w:bCs/>
          <w:color w:val="000000"/>
        </w:rPr>
        <w:t>2004</w:t>
      </w:r>
      <w:r>
        <w:rPr>
          <w:rFonts w:hint="eastAsia"/>
          <w:bCs/>
          <w:color w:val="000000"/>
        </w:rPr>
        <w:t>年全国妇女大会的过程中，他们也发挥了重要作用。</w:t>
      </w:r>
    </w:p>
    <w:p w:rsidR="00692915" w:rsidRDefault="00692915">
      <w:pPr>
        <w:pStyle w:val="Heading3"/>
        <w:tabs>
          <w:tab w:val="left" w:pos="1170"/>
        </w:tabs>
        <w:jc w:val="both"/>
        <w:rPr>
          <w:rFonts w:eastAsia="KaiTi_GB2312" w:hint="eastAsia"/>
          <w:color w:val="000000"/>
          <w:u w:val="none"/>
        </w:rPr>
      </w:pPr>
      <w:r>
        <w:rPr>
          <w:rFonts w:eastAsia="KaiTi_GB2312" w:hint="eastAsia"/>
          <w:color w:val="000000"/>
          <w:u w:val="none"/>
        </w:rPr>
        <w:t>退伍军人委员会</w:t>
      </w:r>
    </w:p>
    <w:p w:rsidR="00692915" w:rsidRDefault="00692915" w:rsidP="009A1C1B">
      <w:pPr>
        <w:tabs>
          <w:tab w:val="left" w:pos="1170"/>
        </w:tabs>
        <w:ind w:firstLine="31680"/>
        <w:rPr>
          <w:rFonts w:hint="eastAsia"/>
          <w:bCs/>
          <w:color w:val="000000"/>
        </w:rPr>
      </w:pPr>
      <w:r>
        <w:rPr>
          <w:rFonts w:eastAsia="PMingLiU"/>
          <w:bCs/>
          <w:color w:val="000000"/>
        </w:rPr>
        <w:t>194.</w:t>
      </w:r>
      <w:r>
        <w:rPr>
          <w:rFonts w:hint="eastAsia"/>
          <w:bCs/>
          <w:color w:val="000000"/>
        </w:rPr>
        <w:t xml:space="preserve">  </w:t>
      </w:r>
      <w:r>
        <w:rPr>
          <w:rFonts w:hint="eastAsia"/>
          <w:bCs/>
          <w:color w:val="000000"/>
        </w:rPr>
        <w:t>在</w:t>
      </w:r>
      <w:r>
        <w:rPr>
          <w:rFonts w:hint="eastAsia"/>
          <w:bCs/>
          <w:color w:val="000000"/>
        </w:rPr>
        <w:t>24</w:t>
      </w:r>
      <w:r>
        <w:rPr>
          <w:rFonts w:hint="eastAsia"/>
          <w:bCs/>
          <w:color w:val="000000"/>
        </w:rPr>
        <w:t>年的抵抗期间，很多人都为武装斗争做出了自己的贡献，他们积极参与了</w:t>
      </w:r>
      <w:r>
        <w:rPr>
          <w:rFonts w:hint="eastAsia"/>
          <w:bCs/>
          <w:color w:val="000000"/>
        </w:rPr>
        <w:t>1975</w:t>
      </w:r>
      <w:r>
        <w:rPr>
          <w:rFonts w:hint="eastAsia"/>
          <w:bCs/>
          <w:color w:val="000000"/>
        </w:rPr>
        <w:t>年至</w:t>
      </w:r>
      <w:r>
        <w:rPr>
          <w:rFonts w:hint="eastAsia"/>
          <w:bCs/>
          <w:color w:val="000000"/>
        </w:rPr>
        <w:t>1979</w:t>
      </w:r>
      <w:r>
        <w:rPr>
          <w:rFonts w:hint="eastAsia"/>
          <w:bCs/>
          <w:color w:val="000000"/>
        </w:rPr>
        <w:t>年期间成立的</w:t>
      </w:r>
      <w:r>
        <w:rPr>
          <w:rFonts w:ascii="Arial" w:hAnsi="Arial" w:cs="Arial" w:hint="eastAsia"/>
          <w:color w:val="000000"/>
        </w:rPr>
        <w:t>东帝汶民族解放组织武装部队或支持独立的民兵组织，其中有很多人因为参与武装抵抗运动而陷入了不利境地：他们为国家继续做出贡献的能力有限，尤其是为其自己和家人工作的能力有限。在长期的丛林生涯后，很多前战斗人员缺乏谋取职业或维持基本生活所需要的社会技能，如果其所参加的军队不是新国防军，这种情况尤其突出；其他很多人则要带着伤残的身体度过余生。很多战士在斗争中倒下了，从而给国家留下了数以千计的孤寡人员。</w:t>
      </w:r>
    </w:p>
    <w:p w:rsidR="00692915" w:rsidRDefault="00692915" w:rsidP="009A1C1B">
      <w:pPr>
        <w:tabs>
          <w:tab w:val="left" w:pos="1170"/>
        </w:tabs>
        <w:ind w:firstLine="31680"/>
        <w:rPr>
          <w:rFonts w:hint="eastAsia"/>
          <w:color w:val="000000"/>
        </w:rPr>
      </w:pPr>
      <w:r>
        <w:rPr>
          <w:color w:val="000000"/>
        </w:rPr>
        <w:t>195.</w:t>
      </w:r>
      <w:r>
        <w:rPr>
          <w:color w:val="000000"/>
        </w:rPr>
        <w:tab/>
      </w:r>
      <w:r>
        <w:rPr>
          <w:rFonts w:hint="eastAsia"/>
          <w:color w:val="000000"/>
        </w:rPr>
        <w:t xml:space="preserve"> </w:t>
      </w:r>
      <w:r>
        <w:rPr>
          <w:rFonts w:hint="eastAsia"/>
          <w:color w:val="000000"/>
        </w:rPr>
        <w:t>为了对前战斗人员及其家人表示适当的敬意和感激，以及为相关的支持政策提供指导，总统于</w:t>
      </w:r>
      <w:r>
        <w:rPr>
          <w:rFonts w:hint="eastAsia"/>
          <w:color w:val="000000"/>
        </w:rPr>
        <w:t>2002</w:t>
      </w:r>
      <w:r>
        <w:rPr>
          <w:rFonts w:hint="eastAsia"/>
          <w:color w:val="000000"/>
        </w:rPr>
        <w:t>年</w:t>
      </w:r>
      <w:r>
        <w:rPr>
          <w:rFonts w:hint="eastAsia"/>
          <w:color w:val="000000"/>
        </w:rPr>
        <w:t>9</w:t>
      </w:r>
      <w:r>
        <w:rPr>
          <w:rFonts w:hint="eastAsia"/>
          <w:color w:val="000000"/>
        </w:rPr>
        <w:t>月</w:t>
      </w:r>
      <w:r>
        <w:rPr>
          <w:rFonts w:hint="eastAsia"/>
          <w:color w:val="000000"/>
        </w:rPr>
        <w:t>9</w:t>
      </w:r>
      <w:r>
        <w:rPr>
          <w:rFonts w:hint="eastAsia"/>
          <w:color w:val="000000"/>
        </w:rPr>
        <w:t>日发布了第</w:t>
      </w:r>
      <w:r>
        <w:rPr>
          <w:color w:val="000000"/>
        </w:rPr>
        <w:t xml:space="preserve">01/Set/2002 </w:t>
      </w:r>
      <w:r>
        <w:rPr>
          <w:rFonts w:hint="eastAsia"/>
          <w:color w:val="000000"/>
        </w:rPr>
        <w:t>号总统紧急令，以建立一个前战斗人员事务委员会（</w:t>
      </w:r>
      <w:r>
        <w:rPr>
          <w:color w:val="000000"/>
        </w:rPr>
        <w:t>CAAC</w:t>
      </w:r>
      <w:r>
        <w:rPr>
          <w:rFonts w:hint="eastAsia"/>
          <w:color w:val="000000"/>
        </w:rPr>
        <w:t>）和东帝汶民族解放组织武装部队退伍人员事务委员会（</w:t>
      </w:r>
      <w:r>
        <w:rPr>
          <w:color w:val="000000"/>
        </w:rPr>
        <w:t>CAVF</w:t>
      </w:r>
      <w:r>
        <w:rPr>
          <w:rFonts w:hint="eastAsia"/>
          <w:color w:val="000000"/>
        </w:rPr>
        <w:t>）。这些委员会的目标是确定东帝汶民族解放组织武装部队前战斗人员和退伍军人的分类标准，提出政策建议，以满足这些退伍军人的需求。</w:t>
      </w:r>
    </w:p>
    <w:p w:rsidR="00692915" w:rsidRDefault="00692915" w:rsidP="009A1C1B">
      <w:pPr>
        <w:tabs>
          <w:tab w:val="left" w:pos="1170"/>
        </w:tabs>
        <w:ind w:firstLine="31680"/>
        <w:rPr>
          <w:rFonts w:hint="eastAsia"/>
          <w:bCs/>
          <w:color w:val="000000"/>
        </w:rPr>
      </w:pPr>
      <w:r>
        <w:rPr>
          <w:bCs/>
          <w:color w:val="000000"/>
        </w:rPr>
        <w:t>196.</w:t>
      </w:r>
      <w:r>
        <w:rPr>
          <w:bCs/>
          <w:color w:val="000000"/>
        </w:rPr>
        <w:tab/>
      </w:r>
      <w:r>
        <w:rPr>
          <w:rFonts w:hint="eastAsia"/>
          <w:bCs/>
          <w:color w:val="000000"/>
        </w:rPr>
        <w:t>通过分发调查问卷和公共咨询活动，如今这些委员会已登记了</w:t>
      </w:r>
      <w:r>
        <w:rPr>
          <w:rFonts w:hint="eastAsia"/>
          <w:bCs/>
          <w:color w:val="000000"/>
        </w:rPr>
        <w:t>37 000</w:t>
      </w:r>
      <w:r>
        <w:rPr>
          <w:rFonts w:hint="eastAsia"/>
          <w:bCs/>
          <w:color w:val="000000"/>
        </w:rPr>
        <w:t>多名退伍军人和前战斗人员，其中依然在世的人员有</w:t>
      </w:r>
      <w:r>
        <w:rPr>
          <w:bCs/>
          <w:color w:val="000000"/>
        </w:rPr>
        <w:t>22</w:t>
      </w:r>
      <w:r>
        <w:rPr>
          <w:rFonts w:hint="eastAsia"/>
          <w:bCs/>
          <w:color w:val="000000"/>
        </w:rPr>
        <w:t xml:space="preserve"> </w:t>
      </w:r>
      <w:r>
        <w:rPr>
          <w:bCs/>
          <w:color w:val="000000"/>
        </w:rPr>
        <w:t>000</w:t>
      </w:r>
      <w:r>
        <w:rPr>
          <w:rFonts w:hint="eastAsia"/>
          <w:bCs/>
          <w:color w:val="000000"/>
        </w:rPr>
        <w:t>名。按照性别划分的数据显示，登记的人员中，大约有</w:t>
      </w:r>
      <w:r>
        <w:rPr>
          <w:rFonts w:hint="eastAsia"/>
          <w:bCs/>
          <w:color w:val="000000"/>
        </w:rPr>
        <w:t>30%</w:t>
      </w:r>
      <w:r>
        <w:rPr>
          <w:rFonts w:hint="eastAsia"/>
          <w:bCs/>
          <w:color w:val="000000"/>
        </w:rPr>
        <w:t>是妇女。</w:t>
      </w:r>
      <w:r>
        <w:rPr>
          <w:rStyle w:val="FootnoteReference"/>
          <w:bCs/>
          <w:color w:val="000000"/>
        </w:rPr>
        <w:footnoteReference w:id="115"/>
      </w:r>
    </w:p>
    <w:p w:rsidR="00692915" w:rsidRDefault="00692915" w:rsidP="009A1C1B">
      <w:pPr>
        <w:tabs>
          <w:tab w:val="left" w:pos="1170"/>
        </w:tabs>
        <w:ind w:firstLine="31680"/>
        <w:rPr>
          <w:rFonts w:hint="eastAsia"/>
          <w:bCs/>
          <w:color w:val="000000"/>
        </w:rPr>
      </w:pPr>
      <w:r>
        <w:rPr>
          <w:bCs/>
          <w:color w:val="000000"/>
        </w:rPr>
        <w:t>197.</w:t>
      </w:r>
      <w:r>
        <w:rPr>
          <w:bCs/>
          <w:color w:val="000000"/>
        </w:rPr>
        <w:tab/>
      </w:r>
      <w:r>
        <w:rPr>
          <w:rFonts w:hint="eastAsia"/>
          <w:bCs/>
          <w:color w:val="000000"/>
        </w:rPr>
        <w:t>最初，并没有将妇女划归为退伍战斗人员。但</w:t>
      </w:r>
      <w:r>
        <w:rPr>
          <w:bCs/>
          <w:color w:val="000000"/>
        </w:rPr>
        <w:t>促进平等事务总理顾问办公室</w:t>
      </w:r>
      <w:r>
        <w:rPr>
          <w:rFonts w:hint="eastAsia"/>
          <w:bCs/>
          <w:color w:val="000000"/>
        </w:rPr>
        <w:t>和妇发基金在</w:t>
      </w:r>
      <w:r>
        <w:rPr>
          <w:rFonts w:hint="eastAsia"/>
          <w:bCs/>
          <w:color w:val="000000"/>
        </w:rPr>
        <w:t>2004</w:t>
      </w:r>
      <w:r>
        <w:rPr>
          <w:rFonts w:hint="eastAsia"/>
          <w:bCs/>
          <w:color w:val="000000"/>
        </w:rPr>
        <w:t>年的联合国日公开提出了这一问题，并强调指出，将妇女排除在战斗人员名单之外可能违反了安理会第</w:t>
      </w:r>
      <w:r>
        <w:rPr>
          <w:bCs/>
          <w:color w:val="000000"/>
        </w:rPr>
        <w:t>1325</w:t>
      </w:r>
      <w:r>
        <w:rPr>
          <w:bCs/>
          <w:color w:val="000000"/>
        </w:rPr>
        <w:t>（</w:t>
      </w:r>
      <w:r>
        <w:rPr>
          <w:bCs/>
          <w:color w:val="000000"/>
        </w:rPr>
        <w:t>2000</w:t>
      </w:r>
      <w:r>
        <w:rPr>
          <w:bCs/>
          <w:color w:val="000000"/>
        </w:rPr>
        <w:t>）</w:t>
      </w:r>
      <w:r>
        <w:rPr>
          <w:rFonts w:hint="eastAsia"/>
          <w:bCs/>
          <w:color w:val="000000"/>
        </w:rPr>
        <w:t>号决议的第</w:t>
      </w:r>
      <w:r>
        <w:rPr>
          <w:rFonts w:hint="eastAsia"/>
          <w:bCs/>
          <w:color w:val="000000"/>
        </w:rPr>
        <w:t>13</w:t>
      </w:r>
      <w:r>
        <w:rPr>
          <w:rFonts w:hint="eastAsia"/>
          <w:bCs/>
          <w:color w:val="000000"/>
        </w:rPr>
        <w:t>段：“鼓励所有参与规划解除武装、复员和重返社会工作的人员关注男女前战斗人员的不同需求，并考虑到其家属的需要”。为此，将妇女列入了退伍战斗人员的名单，如今，她们可以享受政府提供的所有福利。</w:t>
      </w:r>
    </w:p>
    <w:p w:rsidR="00692915" w:rsidRDefault="00692915" w:rsidP="009A1C1B">
      <w:pPr>
        <w:tabs>
          <w:tab w:val="left" w:pos="1170"/>
        </w:tabs>
        <w:spacing w:after="240"/>
        <w:ind w:firstLine="31680"/>
        <w:rPr>
          <w:rFonts w:hint="eastAsia"/>
          <w:color w:val="000000"/>
        </w:rPr>
      </w:pPr>
      <w:r>
        <w:rPr>
          <w:color w:val="000000"/>
        </w:rPr>
        <w:t>198.</w:t>
      </w:r>
      <w:r>
        <w:rPr>
          <w:color w:val="000000"/>
        </w:rPr>
        <w:tab/>
      </w:r>
      <w:r>
        <w:rPr>
          <w:rFonts w:hint="eastAsia"/>
          <w:color w:val="000000"/>
        </w:rPr>
        <w:t>2004</w:t>
      </w:r>
      <w:r>
        <w:rPr>
          <w:rFonts w:hint="eastAsia"/>
          <w:color w:val="000000"/>
        </w:rPr>
        <w:t>年</w:t>
      </w:r>
      <w:r>
        <w:rPr>
          <w:rFonts w:hint="eastAsia"/>
          <w:color w:val="000000"/>
        </w:rPr>
        <w:t>6</w:t>
      </w:r>
      <w:r>
        <w:rPr>
          <w:rFonts w:hint="eastAsia"/>
          <w:color w:val="000000"/>
        </w:rPr>
        <w:t>月，这些委员会完成了自己的工作，并向总统提交了一份最终报告，之后，总统将报告转给了议会和政府，以便制定各种与退伍军人有关的法律和政策。在经过长期的讨论后，议会最终于</w:t>
      </w:r>
      <w:r>
        <w:rPr>
          <w:rFonts w:hint="eastAsia"/>
          <w:color w:val="000000"/>
        </w:rPr>
        <w:t>2006</w:t>
      </w:r>
      <w:r>
        <w:rPr>
          <w:rFonts w:hint="eastAsia"/>
          <w:color w:val="000000"/>
        </w:rPr>
        <w:t>年</w:t>
      </w:r>
      <w:r>
        <w:rPr>
          <w:rFonts w:hint="eastAsia"/>
          <w:color w:val="000000"/>
        </w:rPr>
        <w:t>3</w:t>
      </w:r>
      <w:r>
        <w:rPr>
          <w:rFonts w:hint="eastAsia"/>
          <w:color w:val="000000"/>
        </w:rPr>
        <w:t>月就退伍军人和前战斗人员的问题通过了一项法律。</w:t>
      </w:r>
    </w:p>
    <w:p w:rsidR="00692915" w:rsidRDefault="00692915">
      <w:pPr>
        <w:tabs>
          <w:tab w:val="left" w:pos="1170"/>
        </w:tabs>
        <w:spacing w:after="240"/>
        <w:ind w:firstLineChars="0" w:firstLine="0"/>
        <w:rPr>
          <w:rFonts w:eastAsia="KaiTi_GB2312" w:hint="eastAsia"/>
          <w:color w:val="000000"/>
        </w:rPr>
      </w:pPr>
      <w:r>
        <w:rPr>
          <w:rFonts w:eastAsia="KaiTi_GB2312" w:hint="eastAsia"/>
          <w:color w:val="000000"/>
        </w:rPr>
        <w:t>紧急粮食援助与分配小组</w:t>
      </w:r>
    </w:p>
    <w:p w:rsidR="00692915" w:rsidRDefault="00692915" w:rsidP="009A1C1B">
      <w:pPr>
        <w:tabs>
          <w:tab w:val="left" w:pos="1170"/>
        </w:tabs>
        <w:ind w:firstLine="31680"/>
        <w:rPr>
          <w:rFonts w:hint="eastAsia"/>
          <w:bCs/>
          <w:color w:val="000000"/>
        </w:rPr>
      </w:pPr>
      <w:r>
        <w:rPr>
          <w:bCs/>
          <w:color w:val="000000"/>
        </w:rPr>
        <w:t>199.</w:t>
      </w:r>
      <w:r>
        <w:rPr>
          <w:bCs/>
          <w:color w:val="000000"/>
        </w:rPr>
        <w:tab/>
      </w:r>
      <w:r>
        <w:rPr>
          <w:rFonts w:hint="eastAsia"/>
          <w:bCs/>
          <w:color w:val="000000"/>
          <w:spacing w:val="8"/>
        </w:rPr>
        <w:t>由于气候条件不利，东帝汶普遍缺乏粮食保障，生产的粮食一直不能满足人口的消费需求。</w:t>
      </w:r>
      <w:r>
        <w:rPr>
          <w:rStyle w:val="FootnoteReference"/>
          <w:bCs/>
          <w:color w:val="000000"/>
          <w:spacing w:val="8"/>
        </w:rPr>
        <w:footnoteReference w:id="116"/>
      </w:r>
      <w:r>
        <w:rPr>
          <w:rFonts w:hint="eastAsia"/>
          <w:bCs/>
          <w:color w:val="000000"/>
          <w:spacing w:val="8"/>
        </w:rPr>
        <w:t>粮食供应不足，而获取粮食的途径又有限，这给人民（尤其是儿童、妇女和老人）的营养和健康状况带来了不利影响，它可能会削弱人的免疫系统，使人更容易受到疾病的侵扰。在亚洲国家中，东帝汶是最容易发生营养不良问题的国家之一，在</w:t>
      </w:r>
      <w:r>
        <w:rPr>
          <w:rFonts w:hint="eastAsia"/>
          <w:bCs/>
          <w:color w:val="000000"/>
          <w:spacing w:val="8"/>
        </w:rPr>
        <w:t>5</w:t>
      </w:r>
      <w:r>
        <w:rPr>
          <w:rFonts w:hint="eastAsia"/>
          <w:bCs/>
          <w:color w:val="000000"/>
          <w:spacing w:val="8"/>
        </w:rPr>
        <w:t>岁以下的儿童中，发育迟缓、消瘦和体重偏轻的比例很高。</w:t>
      </w:r>
      <w:r>
        <w:rPr>
          <w:rStyle w:val="FootnoteReference"/>
          <w:bCs/>
          <w:color w:val="000000"/>
          <w:spacing w:val="8"/>
        </w:rPr>
        <w:footnoteReference w:id="117"/>
      </w:r>
    </w:p>
    <w:p w:rsidR="00692915" w:rsidRDefault="00692915" w:rsidP="009A1C1B">
      <w:pPr>
        <w:tabs>
          <w:tab w:val="left" w:pos="1170"/>
        </w:tabs>
        <w:ind w:firstLine="31680"/>
        <w:rPr>
          <w:rFonts w:hint="eastAsia"/>
          <w:bCs/>
          <w:color w:val="000000"/>
        </w:rPr>
      </w:pPr>
      <w:r>
        <w:rPr>
          <w:bCs/>
          <w:color w:val="000000"/>
        </w:rPr>
        <w:t>200.</w:t>
      </w:r>
      <w:r>
        <w:rPr>
          <w:bCs/>
          <w:color w:val="000000"/>
        </w:rPr>
        <w:tab/>
      </w:r>
      <w:r>
        <w:rPr>
          <w:rFonts w:hint="eastAsia"/>
          <w:bCs/>
          <w:color w:val="000000"/>
        </w:rPr>
        <w:t>2005</w:t>
      </w:r>
      <w:r>
        <w:rPr>
          <w:rFonts w:hint="eastAsia"/>
          <w:bCs/>
          <w:color w:val="000000"/>
        </w:rPr>
        <w:t>年，在世界粮食计划署进行了一项旨在分析粮食安全（包括三个方面：粮食生产、获取粮食的途径、粮食利用及营养）的脆弱性研究后，总理</w:t>
      </w:r>
      <w:r>
        <w:rPr>
          <w:rFonts w:ascii="Arial" w:hAnsi="Arial" w:cs="Arial" w:hint="eastAsia"/>
          <w:color w:val="000000"/>
        </w:rPr>
        <w:t>马里·阿尔卡蒂里博士建立了一个紧急粮食援助小组，以采取粮食救济的紧急措施缓解东帝汶人口的粮食短缺问题。</w:t>
      </w:r>
    </w:p>
    <w:p w:rsidR="00692915" w:rsidRDefault="00692915" w:rsidP="009A1C1B">
      <w:pPr>
        <w:tabs>
          <w:tab w:val="left" w:pos="1170"/>
        </w:tabs>
        <w:ind w:firstLine="31680"/>
        <w:rPr>
          <w:rFonts w:hint="eastAsia"/>
          <w:bCs/>
          <w:color w:val="000000"/>
        </w:rPr>
      </w:pPr>
      <w:r>
        <w:rPr>
          <w:bCs/>
          <w:color w:val="000000"/>
        </w:rPr>
        <w:t>201.</w:t>
      </w:r>
      <w:r>
        <w:rPr>
          <w:bCs/>
          <w:color w:val="000000"/>
        </w:rPr>
        <w:tab/>
      </w:r>
      <w:r>
        <w:rPr>
          <w:rFonts w:hint="eastAsia"/>
          <w:bCs/>
          <w:color w:val="000000"/>
        </w:rPr>
        <w:t>该小组包括：各政府部门（如：劳动与社会安置部（主席）、内政部、农林渔业部、卫生部、交通部、公共工程部、电讯部、计划与财政部、公共管理部、国防部和东帝汶武装部队）；各类机构（如：世界粮食计划署、国际移</w:t>
      </w:r>
      <w:r>
        <w:rPr>
          <w:rFonts w:ascii="SimSun" w:hAnsi="SimSun" w:hint="eastAsia"/>
          <w:bCs/>
          <w:color w:val="000000"/>
        </w:rPr>
        <w:t>徙</w:t>
      </w:r>
      <w:r>
        <w:rPr>
          <w:rFonts w:hint="eastAsia"/>
          <w:bCs/>
          <w:color w:val="000000"/>
        </w:rPr>
        <w:t>组织、粮农组织和德国技术合作署）；各民间组织（如：红十字会国际委员会东帝汶红十字会（</w:t>
      </w:r>
      <w:r>
        <w:rPr>
          <w:bCs/>
          <w:color w:val="000000"/>
        </w:rPr>
        <w:t>CVTL-ICRC</w:t>
      </w:r>
      <w:r>
        <w:rPr>
          <w:rFonts w:hint="eastAsia"/>
          <w:bCs/>
          <w:color w:val="000000"/>
        </w:rPr>
        <w:t>）、国际牛津饥荒救济会、援外社国际协会、世界康塞尔救济会）。另外，还建立了地区小组，成员包括：地区管理员、社会服务官员、地区发展官员和其他各种代表团体。</w:t>
      </w:r>
    </w:p>
    <w:p w:rsidR="00692915" w:rsidRDefault="00692915" w:rsidP="009A1C1B">
      <w:pPr>
        <w:tabs>
          <w:tab w:val="left" w:pos="1170"/>
        </w:tabs>
        <w:spacing w:after="240"/>
        <w:ind w:firstLine="31680"/>
        <w:rPr>
          <w:rFonts w:hint="eastAsia"/>
          <w:color w:val="000000"/>
        </w:rPr>
      </w:pPr>
      <w:r>
        <w:rPr>
          <w:color w:val="000000"/>
        </w:rPr>
        <w:t>202.</w:t>
      </w:r>
      <w:r>
        <w:rPr>
          <w:color w:val="000000"/>
        </w:rPr>
        <w:tab/>
      </w:r>
      <w:r>
        <w:rPr>
          <w:rFonts w:hint="eastAsia"/>
          <w:color w:val="000000"/>
        </w:rPr>
        <w:t>该小组当务之急的两项重要任务是：在</w:t>
      </w:r>
      <w:r>
        <w:rPr>
          <w:rFonts w:hint="eastAsia"/>
          <w:color w:val="000000"/>
        </w:rPr>
        <w:t>2005</w:t>
      </w:r>
      <w:r>
        <w:rPr>
          <w:rFonts w:hint="eastAsia"/>
          <w:color w:val="000000"/>
        </w:rPr>
        <w:t>年初东帝汶出现变化无常的气候之后，为</w:t>
      </w:r>
      <w:r>
        <w:rPr>
          <w:color w:val="000000"/>
        </w:rPr>
        <w:t>150,000</w:t>
      </w:r>
      <w:r>
        <w:rPr>
          <w:rFonts w:hint="eastAsia"/>
          <w:color w:val="000000"/>
        </w:rPr>
        <w:t>人口提供粮食援助方面的救济支持，减少粮食短缺给缺粮人群的健康和福利所带来的不利影响。</w:t>
      </w:r>
    </w:p>
    <w:p w:rsidR="00692915" w:rsidRDefault="00692915">
      <w:pPr>
        <w:tabs>
          <w:tab w:val="left" w:pos="1170"/>
        </w:tabs>
        <w:spacing w:after="240"/>
        <w:ind w:firstLineChars="0" w:firstLine="0"/>
        <w:rPr>
          <w:rFonts w:eastAsia="KaiTi_GB2312" w:hint="eastAsia"/>
          <w:color w:val="000000"/>
        </w:rPr>
      </w:pPr>
      <w:r>
        <w:rPr>
          <w:rFonts w:eastAsia="KaiTi_GB2312" w:hint="eastAsia"/>
          <w:color w:val="000000"/>
        </w:rPr>
        <w:t>东帝汶国家警察的投诉查询机制</w:t>
      </w:r>
    </w:p>
    <w:p w:rsidR="00692915" w:rsidRDefault="00692915" w:rsidP="009A1C1B">
      <w:pPr>
        <w:tabs>
          <w:tab w:val="left" w:pos="1170"/>
        </w:tabs>
        <w:spacing w:after="240"/>
        <w:ind w:firstLine="31680"/>
        <w:rPr>
          <w:rFonts w:hint="eastAsia"/>
          <w:bCs/>
          <w:color w:val="000000"/>
          <w:u w:val="single"/>
        </w:rPr>
      </w:pPr>
      <w:r>
        <w:rPr>
          <w:bCs/>
          <w:color w:val="000000"/>
        </w:rPr>
        <w:t>203.</w:t>
      </w:r>
      <w:r>
        <w:rPr>
          <w:bCs/>
          <w:color w:val="000000"/>
        </w:rPr>
        <w:tab/>
      </w:r>
      <w:r>
        <w:rPr>
          <w:rFonts w:hint="eastAsia"/>
          <w:bCs/>
          <w:color w:val="000000"/>
        </w:rPr>
        <w:t>《内政部组织法》第</w:t>
      </w:r>
      <w:r>
        <w:rPr>
          <w:rFonts w:hint="eastAsia"/>
          <w:bCs/>
          <w:color w:val="000000"/>
        </w:rPr>
        <w:t>2</w:t>
      </w:r>
      <w:r>
        <w:rPr>
          <w:rFonts w:hint="eastAsia"/>
          <w:bCs/>
          <w:color w:val="000000"/>
        </w:rPr>
        <w:t>条要求该部确保东帝汶国家警察与社区之间保持适当关系，这一任务通过两个</w:t>
      </w:r>
      <w:r>
        <w:rPr>
          <w:rFonts w:hint="eastAsia"/>
          <w:color w:val="000000"/>
        </w:rPr>
        <w:t>投诉</w:t>
      </w:r>
      <w:r>
        <w:rPr>
          <w:rFonts w:hint="eastAsia"/>
          <w:bCs/>
          <w:color w:val="000000"/>
        </w:rPr>
        <w:t>和调查机制来执行。</w:t>
      </w:r>
    </w:p>
    <w:p w:rsidR="00692915" w:rsidRDefault="00692915">
      <w:pPr>
        <w:tabs>
          <w:tab w:val="left" w:pos="1170"/>
        </w:tabs>
        <w:spacing w:after="240"/>
        <w:ind w:firstLineChars="0" w:firstLine="0"/>
        <w:rPr>
          <w:rFonts w:eastAsia="KaiTi_GB2312" w:hint="eastAsia"/>
          <w:color w:val="000000"/>
        </w:rPr>
      </w:pPr>
      <w:r>
        <w:rPr>
          <w:rFonts w:eastAsia="KaiTi_GB2312" w:hint="eastAsia"/>
          <w:color w:val="000000"/>
        </w:rPr>
        <w:t>职业道德操守办公室</w:t>
      </w:r>
    </w:p>
    <w:p w:rsidR="00692915" w:rsidRDefault="00692915" w:rsidP="009A1C1B">
      <w:pPr>
        <w:tabs>
          <w:tab w:val="left" w:pos="1170"/>
        </w:tabs>
        <w:spacing w:after="240"/>
        <w:ind w:firstLine="31680"/>
        <w:rPr>
          <w:rFonts w:hint="eastAsia"/>
          <w:color w:val="000000"/>
        </w:rPr>
      </w:pPr>
      <w:r>
        <w:rPr>
          <w:color w:val="000000"/>
        </w:rPr>
        <w:t>204.</w:t>
      </w:r>
      <w:r>
        <w:rPr>
          <w:color w:val="000000"/>
        </w:rPr>
        <w:tab/>
      </w:r>
      <w:r>
        <w:rPr>
          <w:rFonts w:hint="eastAsia"/>
          <w:color w:val="000000"/>
        </w:rPr>
        <w:t>职业道德操守办公室（</w:t>
      </w:r>
      <w:r>
        <w:rPr>
          <w:rFonts w:hint="eastAsia"/>
          <w:color w:val="000000"/>
        </w:rPr>
        <w:t>PEO</w:t>
      </w:r>
      <w:r>
        <w:rPr>
          <w:rFonts w:hint="eastAsia"/>
          <w:color w:val="000000"/>
        </w:rPr>
        <w:t>）在警务专员的直接管理下开展工作，并按照警务专员的决定，对各种针对东帝汶国家警察的投诉案件，进行审查、调查和纪律处分。</w:t>
      </w:r>
      <w:r>
        <w:rPr>
          <w:rStyle w:val="FootnoteReference"/>
          <w:bCs/>
          <w:color w:val="000000"/>
        </w:rPr>
        <w:footnoteReference w:id="118"/>
      </w:r>
      <w:r>
        <w:rPr>
          <w:rFonts w:hint="eastAsia"/>
          <w:color w:val="000000"/>
        </w:rPr>
        <w:t>如果对职员的停职处罚不超过两个月，地区警务专员</w:t>
      </w:r>
      <w:r>
        <w:rPr>
          <w:rFonts w:hint="eastAsia"/>
          <w:color w:val="000000"/>
        </w:rPr>
        <w:t>/</w:t>
      </w:r>
      <w:r>
        <w:rPr>
          <w:rFonts w:hint="eastAsia"/>
          <w:color w:val="000000"/>
        </w:rPr>
        <w:t>职业道德操守办公室有权对这种情况进行处理。职业道德操守办公室总部设在帝力，共有</w:t>
      </w:r>
      <w:r>
        <w:rPr>
          <w:rFonts w:hint="eastAsia"/>
          <w:color w:val="000000"/>
        </w:rPr>
        <w:t>13</w:t>
      </w:r>
      <w:r>
        <w:rPr>
          <w:rFonts w:hint="eastAsia"/>
          <w:color w:val="000000"/>
        </w:rPr>
        <w:t>个分部，每个地区各有一个分部。</w:t>
      </w:r>
    </w:p>
    <w:p w:rsidR="00692915" w:rsidRDefault="00692915">
      <w:pPr>
        <w:tabs>
          <w:tab w:val="left" w:pos="1170"/>
        </w:tabs>
        <w:spacing w:after="240"/>
        <w:ind w:firstLineChars="0" w:firstLine="0"/>
        <w:rPr>
          <w:rFonts w:hint="eastAsia"/>
          <w:bCs/>
          <w:color w:val="000000"/>
        </w:rPr>
      </w:pPr>
      <w:r>
        <w:rPr>
          <w:rFonts w:eastAsia="KaiTi_GB2312" w:hint="eastAsia"/>
          <w:color w:val="000000"/>
        </w:rPr>
        <w:t>内政部监察员办公室</w:t>
      </w:r>
    </w:p>
    <w:p w:rsidR="00692915" w:rsidRDefault="00692915" w:rsidP="009A1C1B">
      <w:pPr>
        <w:tabs>
          <w:tab w:val="left" w:pos="1170"/>
        </w:tabs>
        <w:spacing w:after="240"/>
        <w:ind w:firstLine="31680"/>
        <w:rPr>
          <w:rFonts w:hint="eastAsia"/>
          <w:bCs/>
          <w:color w:val="000000"/>
        </w:rPr>
      </w:pPr>
      <w:r>
        <w:rPr>
          <w:bCs/>
          <w:color w:val="000000"/>
        </w:rPr>
        <w:t>205.</w:t>
      </w:r>
      <w:r>
        <w:rPr>
          <w:bCs/>
          <w:color w:val="000000"/>
        </w:rPr>
        <w:tab/>
      </w:r>
      <w:r>
        <w:rPr>
          <w:rFonts w:hint="eastAsia"/>
          <w:bCs/>
          <w:color w:val="000000"/>
        </w:rPr>
        <w:t>监察办公室于</w:t>
      </w:r>
      <w:r>
        <w:rPr>
          <w:rFonts w:hint="eastAsia"/>
          <w:bCs/>
          <w:color w:val="000000"/>
        </w:rPr>
        <w:t>2004</w:t>
      </w:r>
      <w:r>
        <w:rPr>
          <w:rFonts w:hint="eastAsia"/>
          <w:bCs/>
          <w:color w:val="000000"/>
        </w:rPr>
        <w:t>年</w:t>
      </w:r>
      <w:r>
        <w:rPr>
          <w:rFonts w:hint="eastAsia"/>
          <w:bCs/>
          <w:color w:val="000000"/>
        </w:rPr>
        <w:t>9</w:t>
      </w:r>
      <w:r>
        <w:rPr>
          <w:rFonts w:hint="eastAsia"/>
          <w:bCs/>
          <w:color w:val="000000"/>
        </w:rPr>
        <w:t>月成立，有权对所有附属于内政部（包括东帝汶国家警察）的组织和机构进行纪律检查。</w:t>
      </w:r>
      <w:r>
        <w:rPr>
          <w:rStyle w:val="FootnoteReference"/>
          <w:bCs/>
          <w:color w:val="000000"/>
        </w:rPr>
        <w:footnoteReference w:id="119"/>
      </w:r>
      <w:r>
        <w:rPr>
          <w:rFonts w:hint="eastAsia"/>
          <w:bCs/>
          <w:color w:val="000000"/>
        </w:rPr>
        <w:t>监察员办公室包括来自不同办公室的</w:t>
      </w:r>
      <w:r>
        <w:rPr>
          <w:rFonts w:hint="eastAsia"/>
          <w:bCs/>
          <w:color w:val="000000"/>
        </w:rPr>
        <w:t>5</w:t>
      </w:r>
      <w:r>
        <w:rPr>
          <w:rFonts w:hint="eastAsia"/>
          <w:bCs/>
          <w:color w:val="000000"/>
        </w:rPr>
        <w:t>名成员，其中有一名来自人权事务总理顾问办公室。任何个人或组织都可以向监察员办公室提交针对或涉及东帝汶国家警察职员或内政部其他成员的投诉书。</w:t>
      </w:r>
    </w:p>
    <w:p w:rsidR="00692915" w:rsidRDefault="00692915">
      <w:pPr>
        <w:pStyle w:val="Heading2"/>
        <w:tabs>
          <w:tab w:val="left" w:pos="520"/>
          <w:tab w:val="left" w:pos="1170"/>
        </w:tabs>
        <w:jc w:val="both"/>
        <w:rPr>
          <w:rFonts w:hint="eastAsia"/>
          <w:color w:val="000000"/>
          <w:sz w:val="24"/>
        </w:rPr>
      </w:pPr>
      <w:bookmarkStart w:id="52" w:name="_Toc150514941"/>
      <w:bookmarkStart w:id="53" w:name="_Toc150684844"/>
      <w:r>
        <w:rPr>
          <w:color w:val="000000"/>
          <w:sz w:val="24"/>
        </w:rPr>
        <w:t>4.</w:t>
      </w:r>
      <w:bookmarkEnd w:id="52"/>
      <w:bookmarkEnd w:id="53"/>
      <w:r>
        <w:rPr>
          <w:rFonts w:hint="eastAsia"/>
          <w:color w:val="000000"/>
          <w:sz w:val="24"/>
        </w:rPr>
        <w:t xml:space="preserve"> </w:t>
      </w:r>
      <w:r>
        <w:rPr>
          <w:color w:val="000000"/>
          <w:sz w:val="24"/>
        </w:rPr>
        <w:tab/>
      </w:r>
      <w:r>
        <w:rPr>
          <w:rFonts w:hint="eastAsia"/>
          <w:color w:val="000000"/>
          <w:sz w:val="24"/>
          <w:u w:val="single"/>
        </w:rPr>
        <w:t>议会中的人权</w:t>
      </w:r>
    </w:p>
    <w:p w:rsidR="00692915" w:rsidRDefault="00692915" w:rsidP="009A1C1B">
      <w:pPr>
        <w:tabs>
          <w:tab w:val="left" w:pos="1170"/>
        </w:tabs>
        <w:ind w:firstLine="31680"/>
        <w:rPr>
          <w:rFonts w:hint="eastAsia"/>
          <w:bCs/>
          <w:color w:val="000000"/>
        </w:rPr>
      </w:pPr>
      <w:r>
        <w:rPr>
          <w:bCs/>
          <w:color w:val="000000"/>
        </w:rPr>
        <w:t>206.</w:t>
      </w:r>
      <w:r>
        <w:rPr>
          <w:bCs/>
          <w:color w:val="000000"/>
        </w:rPr>
        <w:tab/>
      </w:r>
      <w:r>
        <w:rPr>
          <w:rFonts w:hint="eastAsia"/>
          <w:bCs/>
          <w:color w:val="000000"/>
          <w:spacing w:val="8"/>
        </w:rPr>
        <w:t>国民议会是国家唯一的代表机构，在制订东帝汶立法框架的过程中，对维护各种权利和自由发挥了重要作用。该机构专门负责制订有关各种权利、自由和权益保障的法律，以及实现重要权利（如：教育、卫生和社会保障）的法律，</w:t>
      </w:r>
      <w:r>
        <w:rPr>
          <w:rStyle w:val="FootnoteReference"/>
          <w:bCs/>
          <w:color w:val="000000"/>
          <w:spacing w:val="8"/>
        </w:rPr>
        <w:footnoteReference w:id="120"/>
      </w:r>
      <w:r>
        <w:rPr>
          <w:rFonts w:hint="eastAsia"/>
          <w:bCs/>
          <w:color w:val="000000"/>
          <w:spacing w:val="8"/>
        </w:rPr>
        <w:t>有权批准国际条约和公约，并且实际在政府签署了</w:t>
      </w:r>
      <w:r>
        <w:rPr>
          <w:rFonts w:hint="eastAsia"/>
          <w:bCs/>
          <w:color w:val="000000"/>
          <w:spacing w:val="8"/>
        </w:rPr>
        <w:t>7</w:t>
      </w:r>
      <w:r>
        <w:rPr>
          <w:rFonts w:hint="eastAsia"/>
          <w:bCs/>
          <w:color w:val="000000"/>
          <w:spacing w:val="8"/>
        </w:rPr>
        <w:t>项核心人权条约和任择议定书后，议会正式批准了这些条约和议定书，如今东帝汶已是这些条约和议定书的缔约国。</w:t>
      </w:r>
      <w:r>
        <w:rPr>
          <w:rStyle w:val="FootnoteReference"/>
          <w:bCs/>
          <w:color w:val="000000"/>
          <w:spacing w:val="8"/>
        </w:rPr>
        <w:footnoteReference w:id="121"/>
      </w:r>
    </w:p>
    <w:p w:rsidR="00692915" w:rsidRDefault="00692915" w:rsidP="009A1C1B">
      <w:pPr>
        <w:tabs>
          <w:tab w:val="left" w:pos="1170"/>
        </w:tabs>
        <w:ind w:firstLine="31680"/>
        <w:rPr>
          <w:rFonts w:hint="eastAsia"/>
          <w:bCs/>
          <w:color w:val="000000"/>
        </w:rPr>
      </w:pPr>
      <w:r>
        <w:rPr>
          <w:bCs/>
          <w:color w:val="000000"/>
        </w:rPr>
        <w:t>207.</w:t>
      </w:r>
      <w:r>
        <w:rPr>
          <w:rFonts w:hint="eastAsia"/>
          <w:bCs/>
          <w:color w:val="000000"/>
        </w:rPr>
        <w:tab/>
      </w:r>
      <w:r>
        <w:rPr>
          <w:rFonts w:hint="eastAsia"/>
          <w:bCs/>
          <w:color w:val="000000"/>
        </w:rPr>
        <w:t>在议会的各常务委员会中，有关“宪法事务、权利、自由和保障”的议会第一委员会负责：讨论并出具有关法律草案的意见，就递交给议会的修订案和条约提出建议；审议递交给议会的请愿书；就其职责范围内的政治和行政问题收集信息；就其职责范围内的事宜与民间社会机构一起举行听证会。</w:t>
      </w:r>
      <w:r>
        <w:rPr>
          <w:rStyle w:val="FootnoteReference"/>
          <w:bCs/>
          <w:color w:val="000000"/>
        </w:rPr>
        <w:footnoteReference w:id="122"/>
      </w:r>
      <w:r>
        <w:rPr>
          <w:rFonts w:hint="eastAsia"/>
          <w:bCs/>
          <w:color w:val="000000"/>
        </w:rPr>
        <w:t>2005</w:t>
      </w:r>
      <w:r>
        <w:rPr>
          <w:rFonts w:hint="eastAsia"/>
          <w:bCs/>
          <w:color w:val="000000"/>
        </w:rPr>
        <w:t>年</w:t>
      </w:r>
      <w:r>
        <w:rPr>
          <w:rFonts w:hint="eastAsia"/>
          <w:bCs/>
          <w:color w:val="000000"/>
        </w:rPr>
        <w:t>4</w:t>
      </w:r>
      <w:r>
        <w:rPr>
          <w:rFonts w:hint="eastAsia"/>
          <w:bCs/>
          <w:color w:val="000000"/>
        </w:rPr>
        <w:t>月，该委员会设立了一个人权小组委员会，以便对立法和政府人权义务之间的一致性进行审查，并负责公众的投诉。人权小组委员会尚未全面开始工作。</w:t>
      </w:r>
    </w:p>
    <w:p w:rsidR="00692915" w:rsidRDefault="00692915" w:rsidP="009A1C1B">
      <w:pPr>
        <w:tabs>
          <w:tab w:val="left" w:pos="1170"/>
        </w:tabs>
        <w:ind w:firstLine="31680"/>
        <w:rPr>
          <w:rFonts w:hint="eastAsia"/>
          <w:bCs/>
          <w:color w:val="000000"/>
        </w:rPr>
      </w:pPr>
      <w:r>
        <w:rPr>
          <w:bCs/>
          <w:color w:val="000000"/>
        </w:rPr>
        <w:t>208.</w:t>
      </w:r>
      <w:r>
        <w:rPr>
          <w:bCs/>
          <w:color w:val="000000"/>
        </w:rPr>
        <w:tab/>
      </w:r>
      <w:r>
        <w:rPr>
          <w:rFonts w:hint="eastAsia"/>
          <w:bCs/>
          <w:color w:val="000000"/>
        </w:rPr>
        <w:t>到目前为止，在促进性别平等方面，议会还没有发挥重要作用。在议会中，妇女代表几乎占了</w:t>
      </w:r>
      <w:r>
        <w:rPr>
          <w:rFonts w:hint="eastAsia"/>
          <w:bCs/>
          <w:color w:val="000000"/>
        </w:rPr>
        <w:t>26%</w:t>
      </w:r>
      <w:r>
        <w:rPr>
          <w:rFonts w:hint="eastAsia"/>
          <w:bCs/>
          <w:color w:val="000000"/>
        </w:rPr>
        <w:t>，这是亚洲地区的最高水平，但在决策过程中，以及促进妇女权益方面，妇女尚未发挥其影响作用。</w:t>
      </w:r>
      <w:r>
        <w:rPr>
          <w:rFonts w:hint="eastAsia"/>
          <w:bCs/>
          <w:color w:val="000000"/>
        </w:rPr>
        <w:t>2004</w:t>
      </w:r>
      <w:r>
        <w:rPr>
          <w:rFonts w:hint="eastAsia"/>
          <w:bCs/>
          <w:color w:val="000000"/>
        </w:rPr>
        <w:t>年，提出了建立“性别、平等和儿童事务委员会”的建议，但由于各方在该委员会的性质和职能上未能达成一致意见，并且一开始就没有明确该委员会与</w:t>
      </w:r>
      <w:r>
        <w:rPr>
          <w:bCs/>
          <w:color w:val="000000"/>
        </w:rPr>
        <w:t>促进平等事务总理顾问办公室</w:t>
      </w:r>
      <w:r>
        <w:rPr>
          <w:rFonts w:hint="eastAsia"/>
          <w:bCs/>
          <w:color w:val="000000"/>
        </w:rPr>
        <w:t>之间有何不同，结果该提议没有得到议会的批准。</w:t>
      </w:r>
    </w:p>
    <w:p w:rsidR="00692915" w:rsidRDefault="00692915" w:rsidP="009A1C1B">
      <w:pPr>
        <w:tabs>
          <w:tab w:val="left" w:pos="1170"/>
        </w:tabs>
        <w:ind w:firstLine="31680"/>
        <w:rPr>
          <w:rFonts w:hint="eastAsia"/>
          <w:bCs/>
          <w:color w:val="000000"/>
        </w:rPr>
      </w:pPr>
      <w:r>
        <w:rPr>
          <w:bCs/>
          <w:color w:val="000000"/>
        </w:rPr>
        <w:t>209.</w:t>
      </w:r>
      <w:r>
        <w:rPr>
          <w:rFonts w:hint="eastAsia"/>
          <w:bCs/>
          <w:color w:val="000000"/>
        </w:rPr>
        <w:tab/>
      </w:r>
      <w:r>
        <w:rPr>
          <w:rFonts w:hint="eastAsia"/>
          <w:bCs/>
          <w:color w:val="000000"/>
        </w:rPr>
        <w:t>同样，女国会议员既不能齐心协力地对《离婚法》发挥影响作用，也不能提出性别平等问题方面的议案。但是，</w:t>
      </w:r>
      <w:r>
        <w:rPr>
          <w:bCs/>
          <w:color w:val="000000"/>
        </w:rPr>
        <w:t>促进平等事务总理顾问办公室</w:t>
      </w:r>
      <w:r>
        <w:rPr>
          <w:rFonts w:hint="eastAsia"/>
          <w:bCs/>
          <w:color w:val="000000"/>
        </w:rPr>
        <w:t>正积极寻求各种方法，以便议会能够为其工作提供支持，同时也一直在开展各种培训女国会议员的活动，以便这些议员能够参与即将进行的《反家庭暴力法》讨论。另外，</w:t>
      </w:r>
      <w:r>
        <w:rPr>
          <w:rFonts w:hint="eastAsia"/>
          <w:bCs/>
          <w:color w:val="000000"/>
        </w:rPr>
        <w:t>2005</w:t>
      </w:r>
      <w:r>
        <w:rPr>
          <w:rFonts w:hint="eastAsia"/>
          <w:bCs/>
          <w:color w:val="000000"/>
        </w:rPr>
        <w:t>年，促进平等事务顾问会见了欧洲议会的一名议员，以探讨各种有助于</w:t>
      </w:r>
      <w:r>
        <w:rPr>
          <w:bCs/>
          <w:color w:val="000000"/>
        </w:rPr>
        <w:t>总理顾问</w:t>
      </w:r>
      <w:r>
        <w:rPr>
          <w:rFonts w:hint="eastAsia"/>
          <w:bCs/>
          <w:color w:val="000000"/>
        </w:rPr>
        <w:t>办公室向议会有效提出妇女权利问题的方法。</w:t>
      </w:r>
    </w:p>
    <w:p w:rsidR="00692915" w:rsidRDefault="00692915" w:rsidP="009A1C1B">
      <w:pPr>
        <w:tabs>
          <w:tab w:val="left" w:pos="1170"/>
        </w:tabs>
        <w:ind w:firstLine="31680"/>
        <w:rPr>
          <w:rFonts w:hint="eastAsia"/>
          <w:bCs/>
          <w:color w:val="000000"/>
        </w:rPr>
      </w:pPr>
      <w:r>
        <w:rPr>
          <w:bCs/>
          <w:color w:val="000000"/>
        </w:rPr>
        <w:t>210.</w:t>
      </w:r>
      <w:r>
        <w:rPr>
          <w:bCs/>
          <w:color w:val="000000"/>
        </w:rPr>
        <w:tab/>
      </w:r>
      <w:r>
        <w:rPr>
          <w:rFonts w:hint="eastAsia"/>
          <w:bCs/>
          <w:color w:val="000000"/>
        </w:rPr>
        <w:t>目前，女国会议员并没有建立正式的机制，以便就妇女权利的相关事宜与各妇女组织进行协商。为了在女国会议员与民间社会之间建立良好的伙伴和合作关系，有几个妇女非政府组织已鼓励女议员加入其组织，以便支持这些组织就妇女问题向议会游说。目前，有</w:t>
      </w:r>
      <w:r>
        <w:rPr>
          <w:rFonts w:hint="eastAsia"/>
          <w:bCs/>
          <w:color w:val="000000"/>
        </w:rPr>
        <w:t>6</w:t>
      </w:r>
      <w:r>
        <w:rPr>
          <w:rFonts w:hint="eastAsia"/>
          <w:bCs/>
          <w:color w:val="000000"/>
        </w:rPr>
        <w:t>名女国会议员成了一家全国性妇女非政府组织“</w:t>
      </w:r>
      <w:r>
        <w:rPr>
          <w:bCs/>
          <w:color w:val="000000"/>
        </w:rPr>
        <w:t>东帝汶妇女通讯论坛</w:t>
      </w:r>
      <w:r>
        <w:rPr>
          <w:rFonts w:hint="eastAsia"/>
          <w:bCs/>
          <w:color w:val="000000"/>
        </w:rPr>
        <w:t>”的成员，其中有两名成了其理事会的成员。</w:t>
      </w:r>
    </w:p>
    <w:p w:rsidR="00692915" w:rsidRDefault="00692915" w:rsidP="009A1C1B">
      <w:pPr>
        <w:tabs>
          <w:tab w:val="left" w:pos="1170"/>
        </w:tabs>
        <w:ind w:firstLine="31680"/>
        <w:rPr>
          <w:rFonts w:hint="eastAsia"/>
          <w:bCs/>
          <w:color w:val="000000"/>
        </w:rPr>
      </w:pPr>
      <w:r>
        <w:rPr>
          <w:bCs/>
          <w:color w:val="000000"/>
        </w:rPr>
        <w:t>211.</w:t>
      </w:r>
      <w:r>
        <w:rPr>
          <w:bCs/>
          <w:color w:val="000000"/>
        </w:rPr>
        <w:tab/>
      </w:r>
      <w:r>
        <w:rPr>
          <w:rFonts w:hint="eastAsia"/>
          <w:bCs/>
          <w:color w:val="000000"/>
        </w:rPr>
        <w:t>从总体上说，《宪法》和《议会程序规则》为议会对政府立法进行制约，以及政策的发展奠定了坚实的法律基础，有助于防止侵犯个人权利和自由的行为。不过，由于制度还处于初始阶段，因此要想有效发挥这一作用，还需要做出很多努力。需要为议会继续提供支持，以加强议会的作用，使其能够对人权和性别问题进行全面分析，并从制度上对各种依据《宪法》制订的政府法律和政策进行制约。</w:t>
      </w:r>
    </w:p>
    <w:p w:rsidR="00692915" w:rsidRDefault="00692915" w:rsidP="009A1C1B">
      <w:pPr>
        <w:tabs>
          <w:tab w:val="left" w:pos="1170"/>
        </w:tabs>
        <w:spacing w:after="240"/>
        <w:ind w:firstLine="31680"/>
        <w:rPr>
          <w:rFonts w:hint="eastAsia"/>
          <w:bCs/>
          <w:color w:val="000000"/>
        </w:rPr>
      </w:pPr>
      <w:r>
        <w:rPr>
          <w:bCs/>
          <w:color w:val="000000"/>
        </w:rPr>
        <w:t>212.</w:t>
      </w:r>
      <w:r>
        <w:rPr>
          <w:bCs/>
          <w:color w:val="000000"/>
        </w:rPr>
        <w:tab/>
      </w:r>
      <w:r>
        <w:rPr>
          <w:rFonts w:hint="eastAsia"/>
          <w:bCs/>
          <w:color w:val="000000"/>
        </w:rPr>
        <w:t>特别是，人权与正义监察员应依法就其活动、举措、统计和成果方面的情况向国民议会提交年度报告。这些报告应就法律、政治或行政方面的改革或其他措施提出建议，以实现监察员办公室的各项目标，防止人权侵犯案件并采取相应的救济措施，促进公共行政的公平、公正和透明，加强公共管理机构的责任制。</w:t>
      </w:r>
      <w:r>
        <w:rPr>
          <w:rStyle w:val="FootnoteReference"/>
          <w:bCs/>
          <w:color w:val="000000"/>
        </w:rPr>
        <w:footnoteReference w:id="123"/>
      </w:r>
      <w:r>
        <w:rPr>
          <w:rFonts w:hint="eastAsia"/>
          <w:bCs/>
          <w:color w:val="000000"/>
        </w:rPr>
        <w:t>这也可能有助于提供议会促进和保护人权方面的活动信息。</w:t>
      </w:r>
    </w:p>
    <w:p w:rsidR="00692915" w:rsidRDefault="00692915">
      <w:pPr>
        <w:pStyle w:val="Heading2"/>
        <w:tabs>
          <w:tab w:val="left" w:pos="520"/>
          <w:tab w:val="left" w:pos="1170"/>
        </w:tabs>
        <w:jc w:val="both"/>
        <w:rPr>
          <w:rFonts w:hint="eastAsia"/>
          <w:color w:val="000000"/>
          <w:sz w:val="24"/>
        </w:rPr>
      </w:pPr>
      <w:bookmarkStart w:id="54" w:name="_Toc150514942"/>
      <w:bookmarkStart w:id="55" w:name="_Toc150684845"/>
      <w:r>
        <w:rPr>
          <w:color w:val="000000"/>
          <w:sz w:val="24"/>
        </w:rPr>
        <w:t>5.</w:t>
      </w:r>
      <w:bookmarkEnd w:id="54"/>
      <w:bookmarkEnd w:id="55"/>
      <w:r>
        <w:rPr>
          <w:rFonts w:hint="eastAsia"/>
          <w:color w:val="000000"/>
          <w:sz w:val="24"/>
        </w:rPr>
        <w:t xml:space="preserve"> </w:t>
      </w:r>
      <w:r>
        <w:rPr>
          <w:color w:val="000000"/>
          <w:sz w:val="24"/>
        </w:rPr>
        <w:tab/>
      </w:r>
      <w:r>
        <w:rPr>
          <w:rFonts w:hint="eastAsia"/>
          <w:color w:val="000000"/>
          <w:sz w:val="24"/>
          <w:u w:val="single"/>
        </w:rPr>
        <w:t>人权文书的公布</w:t>
      </w:r>
    </w:p>
    <w:p w:rsidR="00692915" w:rsidRDefault="00692915" w:rsidP="009A1C1B">
      <w:pPr>
        <w:tabs>
          <w:tab w:val="left" w:pos="1170"/>
        </w:tabs>
        <w:ind w:firstLine="31680"/>
        <w:rPr>
          <w:rFonts w:hint="eastAsia"/>
          <w:bCs/>
          <w:color w:val="000000"/>
        </w:rPr>
      </w:pPr>
      <w:r>
        <w:rPr>
          <w:bCs/>
          <w:color w:val="000000"/>
        </w:rPr>
        <w:t>213.</w:t>
      </w:r>
      <w:r>
        <w:rPr>
          <w:bCs/>
          <w:color w:val="000000"/>
        </w:rPr>
        <w:tab/>
      </w:r>
      <w:r>
        <w:rPr>
          <w:rFonts w:hint="eastAsia"/>
          <w:bCs/>
          <w:color w:val="000000"/>
        </w:rPr>
        <w:t>政府将人权文书的发布作为赋予个人和社区权利能力不可分割的一部分，人权事务总理顾问办公室和促进平等事务办公室在这方面发挥了重要作用。公布人权条约方面的信息和材料是而且仍将是人权事务总理顾问办公室的活动之一。负责制订《国家人权行动计划》的工作组也在其相关计划的工作中，积极推进了人们对这些权利的认识，并促成人们就这些权利的性质和内容进行讨论，包括政府培训和社区讨论。同时，在编制条约报告的过程中，也促进了相关条约翻译文本的广泛发行，这对人们了解其相关规定发挥了重要作用。</w:t>
      </w:r>
    </w:p>
    <w:p w:rsidR="00692915" w:rsidRDefault="00692915" w:rsidP="009A1C1B">
      <w:pPr>
        <w:tabs>
          <w:tab w:val="left" w:pos="1170"/>
        </w:tabs>
        <w:ind w:firstLine="31680"/>
        <w:rPr>
          <w:rFonts w:hint="eastAsia"/>
          <w:bCs/>
          <w:color w:val="000000"/>
        </w:rPr>
      </w:pPr>
      <w:r>
        <w:rPr>
          <w:bCs/>
          <w:color w:val="000000"/>
        </w:rPr>
        <w:t>214.</w:t>
      </w:r>
      <w:r>
        <w:rPr>
          <w:bCs/>
          <w:color w:val="000000"/>
        </w:rPr>
        <w:tab/>
      </w:r>
      <w:r>
        <w:rPr>
          <w:rFonts w:hint="eastAsia"/>
          <w:bCs/>
          <w:color w:val="000000"/>
        </w:rPr>
        <w:t>促进平等事务总理顾问办公室在爱尔兰援外组织的支持下，为《消除对妇女一切形式歧视公约》及其〈任择议定书〉的宣传做出了努力。该办公室向所有性别事务联络员、地区管理人员、地方学校和民间组织（包括帝力和各地区的妇女组织）以及教会代表分发了</w:t>
      </w:r>
      <w:r>
        <w:rPr>
          <w:bCs/>
          <w:color w:val="000000"/>
        </w:rPr>
        <w:t>3</w:t>
      </w:r>
      <w:r>
        <w:rPr>
          <w:rFonts w:hint="eastAsia"/>
          <w:bCs/>
          <w:color w:val="000000"/>
        </w:rPr>
        <w:t xml:space="preserve"> </w:t>
      </w:r>
      <w:r>
        <w:rPr>
          <w:bCs/>
          <w:color w:val="000000"/>
        </w:rPr>
        <w:t>000</w:t>
      </w:r>
      <w:r>
        <w:rPr>
          <w:rFonts w:hint="eastAsia"/>
          <w:bCs/>
          <w:color w:val="000000"/>
        </w:rPr>
        <w:t>份宣传图册以及有关该《公约》及其《任择议定书》的通俗读物。</w:t>
      </w:r>
    </w:p>
    <w:p w:rsidR="00692915" w:rsidRDefault="00692915" w:rsidP="009A1C1B">
      <w:pPr>
        <w:tabs>
          <w:tab w:val="left" w:pos="1170"/>
        </w:tabs>
        <w:ind w:firstLine="31680"/>
        <w:rPr>
          <w:rFonts w:hint="eastAsia"/>
          <w:bCs/>
          <w:color w:val="000000"/>
        </w:rPr>
      </w:pPr>
      <w:r>
        <w:rPr>
          <w:bCs/>
          <w:color w:val="000000"/>
        </w:rPr>
        <w:t>215.</w:t>
      </w:r>
      <w:r>
        <w:rPr>
          <w:bCs/>
          <w:color w:val="000000"/>
        </w:rPr>
        <w:tab/>
      </w:r>
      <w:r>
        <w:rPr>
          <w:rFonts w:hint="eastAsia"/>
          <w:bCs/>
          <w:color w:val="000000"/>
        </w:rPr>
        <w:t>目前，</w:t>
      </w:r>
      <w:r>
        <w:rPr>
          <w:bCs/>
          <w:color w:val="000000"/>
        </w:rPr>
        <w:t>促进平等事务总理顾问办公室</w:t>
      </w:r>
      <w:r>
        <w:rPr>
          <w:rFonts w:hint="eastAsia"/>
          <w:bCs/>
          <w:color w:val="000000"/>
        </w:rPr>
        <w:t>正在合作进行妇发基金关于《消除对妇女一切形式歧视公约》的东南亚计划，以出版一份有关该《公约》及其《任择议定书》、委员会若干建议以及相关妇女权利文件的刊物。该刊物的主要目标群体是那些直接负责人权问题的机构，如：人权事务总理顾问办公室、监察员办公室、议会第一委员会、司法与法律专业人员、东帝汶国家警察、特定部委的性别和人权联络员、民间组织等。预计该刊物将于</w:t>
      </w:r>
      <w:r>
        <w:rPr>
          <w:rFonts w:hint="eastAsia"/>
          <w:bCs/>
          <w:color w:val="000000"/>
        </w:rPr>
        <w:t>2006</w:t>
      </w:r>
      <w:r>
        <w:rPr>
          <w:rFonts w:hint="eastAsia"/>
          <w:bCs/>
          <w:color w:val="000000"/>
        </w:rPr>
        <w:t>年末以四种语言出版：德顿语、葡萄牙语、印毒尼西亚语和英语。</w:t>
      </w:r>
    </w:p>
    <w:p w:rsidR="00692915" w:rsidRDefault="00692915" w:rsidP="009A1C1B">
      <w:pPr>
        <w:tabs>
          <w:tab w:val="left" w:pos="1170"/>
        </w:tabs>
        <w:ind w:firstLine="31680"/>
        <w:rPr>
          <w:rFonts w:hint="eastAsia"/>
          <w:bCs/>
          <w:color w:val="000000"/>
        </w:rPr>
      </w:pPr>
      <w:r>
        <w:rPr>
          <w:bCs/>
          <w:color w:val="000000"/>
        </w:rPr>
        <w:t>216.</w:t>
      </w:r>
      <w:r>
        <w:rPr>
          <w:bCs/>
          <w:color w:val="000000"/>
        </w:rPr>
        <w:tab/>
      </w:r>
      <w:r>
        <w:rPr>
          <w:rFonts w:hint="eastAsia"/>
          <w:bCs/>
          <w:color w:val="000000"/>
        </w:rPr>
        <w:t>虽说很多人权文书都已翻译并分发了，但是专业术语和人权概念的翻译存在着困难，资源也有限，这使政府难以将所有人权条约都翻译为德顿语或东帝汶的其他地方语言。</w:t>
      </w:r>
    </w:p>
    <w:p w:rsidR="00692915" w:rsidRDefault="00692915" w:rsidP="009A1C1B">
      <w:pPr>
        <w:tabs>
          <w:tab w:val="left" w:pos="1170"/>
        </w:tabs>
        <w:spacing w:after="240"/>
        <w:ind w:firstLine="31680"/>
        <w:rPr>
          <w:rFonts w:hint="eastAsia"/>
          <w:color w:val="000000"/>
        </w:rPr>
      </w:pPr>
      <w:r>
        <w:rPr>
          <w:color w:val="000000"/>
        </w:rPr>
        <w:t>217.</w:t>
      </w:r>
      <w:r>
        <w:rPr>
          <w:color w:val="000000"/>
        </w:rPr>
        <w:tab/>
      </w:r>
      <w:r>
        <w:rPr>
          <w:rFonts w:hint="eastAsia"/>
          <w:color w:val="000000"/>
        </w:rPr>
        <w:t>在撰写本报告时，对于政府是缔约国的核心人权条约，还没有进行任何旨在让公众了解其个人投诉机制的媒体宣传。</w:t>
      </w:r>
    </w:p>
    <w:p w:rsidR="00692915" w:rsidRDefault="00692915">
      <w:pPr>
        <w:tabs>
          <w:tab w:val="left" w:pos="1170"/>
        </w:tabs>
        <w:spacing w:after="240"/>
        <w:ind w:firstLineChars="0" w:firstLine="0"/>
        <w:rPr>
          <w:rFonts w:hint="eastAsia"/>
          <w:color w:val="000000"/>
        </w:rPr>
      </w:pPr>
      <w:r>
        <w:rPr>
          <w:rFonts w:eastAsia="KaiTi_GB2312" w:hint="eastAsia"/>
          <w:bCs/>
          <w:color w:val="000000"/>
        </w:rPr>
        <w:t>插图材料</w:t>
      </w:r>
    </w:p>
    <w:p w:rsidR="00692915" w:rsidRDefault="00692915" w:rsidP="009A1C1B">
      <w:pPr>
        <w:tabs>
          <w:tab w:val="left" w:pos="1170"/>
        </w:tabs>
        <w:ind w:firstLine="31680"/>
        <w:rPr>
          <w:rFonts w:hint="eastAsia"/>
          <w:bCs/>
          <w:color w:val="000000"/>
        </w:rPr>
      </w:pPr>
      <w:r>
        <w:rPr>
          <w:bCs/>
          <w:color w:val="000000"/>
        </w:rPr>
        <w:t>218.</w:t>
      </w:r>
      <w:r>
        <w:rPr>
          <w:bCs/>
          <w:color w:val="000000"/>
        </w:rPr>
        <w:tab/>
      </w:r>
      <w:r>
        <w:rPr>
          <w:rFonts w:hint="eastAsia"/>
          <w:bCs/>
          <w:color w:val="000000"/>
        </w:rPr>
        <w:t>东帝汶人口的文化水平低，儿童人口众多，这说明在向公众传达人权信息时，采用插图出版物要比纯文字刊物更有效。同样，人权事务总理顾问办公室和促进平等事务办公室已经在其有限的预算范围内，带头编写插图材料。教育与青年部以及援外社国际协会也为儿童出版了月刊“《鳄鱼》（</w:t>
      </w:r>
      <w:r>
        <w:rPr>
          <w:bCs/>
          <w:i/>
          <w:color w:val="000000"/>
        </w:rPr>
        <w:t>Lafaek</w:t>
      </w:r>
      <w:r>
        <w:rPr>
          <w:rFonts w:hint="eastAsia"/>
          <w:bCs/>
          <w:color w:val="000000"/>
        </w:rPr>
        <w:t>），并通过学校免费向所有地区的儿童提供。该刊物色彩丰富，语言风趣、故事脍炙人口，深受儿童的欢迎，在全国的覆盖面很广。此外该刊物还提供了儿童权利方面的许多重要信息。</w:t>
      </w:r>
    </w:p>
    <w:p w:rsidR="00692915" w:rsidRDefault="00692915" w:rsidP="009A1C1B">
      <w:pPr>
        <w:tabs>
          <w:tab w:val="left" w:pos="1170"/>
        </w:tabs>
        <w:ind w:firstLine="31680"/>
        <w:rPr>
          <w:bCs/>
          <w:color w:val="000000"/>
        </w:rPr>
      </w:pPr>
      <w:r>
        <w:rPr>
          <w:bCs/>
          <w:color w:val="000000"/>
        </w:rPr>
        <w:t>219.</w:t>
      </w:r>
      <w:r>
        <w:rPr>
          <w:bCs/>
          <w:color w:val="000000"/>
        </w:rPr>
        <w:tab/>
      </w:r>
      <w:r>
        <w:rPr>
          <w:rFonts w:hint="eastAsia"/>
          <w:bCs/>
          <w:color w:val="000000"/>
        </w:rPr>
        <w:t>在宣传人权文书的相关信息方面，东帝汶还得到了各国际组织、非政府组织、社区组织和联合国机构的支持。各种国际人权文书，包括《世界人权宣言》、《儿童权利公约》和《消除对妇女一切形式歧视公约》，如今都已翻译为德顿语，并同时以印度尼西亚语向帝力和各地区的公众发行，有些情况下，这些材料还有葡萄牙译文。</w:t>
      </w:r>
      <w:r>
        <w:rPr>
          <w:rStyle w:val="FootnoteReference"/>
          <w:bCs/>
          <w:color w:val="000000"/>
        </w:rPr>
        <w:footnoteReference w:id="124"/>
      </w:r>
      <w:r>
        <w:rPr>
          <w:rFonts w:hint="eastAsia"/>
          <w:bCs/>
          <w:color w:val="000000"/>
        </w:rPr>
        <w:t xml:space="preserve"> </w:t>
      </w:r>
      <w:r>
        <w:rPr>
          <w:rFonts w:hint="eastAsia"/>
          <w:bCs/>
          <w:color w:val="000000"/>
        </w:rPr>
        <w:t>另外，还印制了人权问题的小册子、传单和手册，</w:t>
      </w:r>
      <w:r>
        <w:rPr>
          <w:rStyle w:val="FootnoteReference"/>
          <w:bCs/>
          <w:color w:val="000000"/>
        </w:rPr>
        <w:footnoteReference w:id="125"/>
      </w:r>
      <w:r>
        <w:rPr>
          <w:rFonts w:hint="eastAsia"/>
          <w:bCs/>
          <w:color w:val="000000"/>
        </w:rPr>
        <w:t>以及培训和其他方面的材料，</w:t>
      </w:r>
      <w:r>
        <w:rPr>
          <w:rStyle w:val="FootnoteReference"/>
          <w:bCs/>
          <w:color w:val="000000"/>
        </w:rPr>
        <w:footnoteReference w:id="126"/>
      </w:r>
      <w:r>
        <w:rPr>
          <w:rFonts w:hint="eastAsia"/>
          <w:bCs/>
          <w:color w:val="000000"/>
        </w:rPr>
        <w:t>并以主要语言</w:t>
      </w:r>
      <w:r>
        <w:rPr>
          <w:rStyle w:val="FootnoteReference"/>
          <w:bCs/>
          <w:color w:val="000000"/>
        </w:rPr>
        <w:footnoteReference w:id="127"/>
      </w:r>
      <w:r>
        <w:rPr>
          <w:rFonts w:hint="eastAsia"/>
          <w:bCs/>
          <w:color w:val="000000"/>
        </w:rPr>
        <w:t>印发，以让人们了解这些人权文书与其日常生活之间的相关性。印发的材料丰富多彩，其中包括漫画书、</w:t>
      </w:r>
      <w:r>
        <w:rPr>
          <w:rStyle w:val="FootnoteReference"/>
          <w:bCs/>
          <w:color w:val="000000"/>
        </w:rPr>
        <w:footnoteReference w:id="128"/>
      </w:r>
      <w:r>
        <w:rPr>
          <w:rFonts w:hint="eastAsia"/>
          <w:bCs/>
          <w:color w:val="000000"/>
        </w:rPr>
        <w:t>图片资料、小册子、海报和学校用书。</w:t>
      </w:r>
    </w:p>
    <w:p w:rsidR="00692915" w:rsidRDefault="00692915" w:rsidP="009A1C1B">
      <w:pPr>
        <w:tabs>
          <w:tab w:val="left" w:pos="1170"/>
        </w:tabs>
        <w:ind w:firstLine="31680"/>
        <w:rPr>
          <w:rFonts w:hint="eastAsia"/>
          <w:bCs/>
          <w:color w:val="000000"/>
        </w:rPr>
      </w:pPr>
      <w:r>
        <w:rPr>
          <w:bCs/>
          <w:color w:val="000000"/>
        </w:rPr>
        <w:t>220.</w:t>
      </w:r>
      <w:r>
        <w:rPr>
          <w:bCs/>
          <w:color w:val="000000"/>
        </w:rPr>
        <w:tab/>
      </w:r>
      <w:r>
        <w:rPr>
          <w:rFonts w:hint="eastAsia"/>
          <w:bCs/>
          <w:color w:val="000000"/>
        </w:rPr>
        <w:t>从总体上说，民间社会、各联合国机构和其他机构的集体倡议主要是为了让公众了解各项人权文书中所规定的权利和自由及其实际作用。</w:t>
      </w:r>
    </w:p>
    <w:p w:rsidR="00692915" w:rsidRDefault="00692915" w:rsidP="009A1C1B">
      <w:pPr>
        <w:tabs>
          <w:tab w:val="left" w:pos="1170"/>
        </w:tabs>
        <w:spacing w:afterLines="50" w:after="180"/>
        <w:ind w:firstLine="31680"/>
        <w:rPr>
          <w:rFonts w:hint="eastAsia"/>
          <w:bCs/>
          <w:color w:val="000000"/>
        </w:rPr>
      </w:pPr>
      <w:r>
        <w:rPr>
          <w:bCs/>
          <w:color w:val="000000"/>
        </w:rPr>
        <w:t>221.</w:t>
      </w:r>
      <w:r>
        <w:rPr>
          <w:bCs/>
          <w:color w:val="000000"/>
        </w:rPr>
        <w:tab/>
      </w:r>
      <w:r>
        <w:rPr>
          <w:rFonts w:hint="eastAsia"/>
          <w:bCs/>
          <w:color w:val="000000"/>
        </w:rPr>
        <w:t>除了这些活动外，政府还意识到由于教育、文化、语言和地理上的限制，有关人权文书的知识及信息仍然有限。</w:t>
      </w:r>
      <w:r>
        <w:rPr>
          <w:rStyle w:val="FootnoteReference"/>
          <w:bCs/>
          <w:color w:val="000000"/>
        </w:rPr>
        <w:footnoteReference w:id="129"/>
      </w:r>
      <w:r>
        <w:rPr>
          <w:rFonts w:hint="eastAsia"/>
          <w:bCs/>
          <w:color w:val="000000"/>
        </w:rPr>
        <w:t>另外，公众对侵犯人权案件的个人申诉机制还非常缺乏了解。</w:t>
      </w:r>
      <w:r>
        <w:rPr>
          <w:rStyle w:val="FootnoteReference"/>
          <w:bCs/>
          <w:color w:val="000000"/>
        </w:rPr>
        <w:footnoteReference w:id="130"/>
      </w:r>
      <w:r>
        <w:rPr>
          <w:rFonts w:hint="eastAsia"/>
          <w:bCs/>
          <w:color w:val="000000"/>
        </w:rPr>
        <w:t>这一状况短期内将难以改变；全面提高整个国家的意识将需要从多方面着手，并在政府的努力下，采取长期措施，但在不久的将来，这些措施还有待政府继续做出努力。</w:t>
      </w:r>
    </w:p>
    <w:p w:rsidR="00692915" w:rsidRDefault="00692915">
      <w:pPr>
        <w:pStyle w:val="Heading2"/>
        <w:tabs>
          <w:tab w:val="left" w:pos="520"/>
          <w:tab w:val="left" w:pos="1170"/>
        </w:tabs>
        <w:jc w:val="both"/>
        <w:rPr>
          <w:rFonts w:hint="eastAsia"/>
          <w:color w:val="000000"/>
          <w:sz w:val="24"/>
        </w:rPr>
      </w:pPr>
      <w:bookmarkStart w:id="56" w:name="_Toc150514944"/>
      <w:bookmarkStart w:id="57" w:name="_Toc150684847"/>
      <w:r>
        <w:rPr>
          <w:color w:val="000000"/>
          <w:sz w:val="24"/>
        </w:rPr>
        <w:t>6.</w:t>
      </w:r>
      <w:bookmarkEnd w:id="56"/>
      <w:bookmarkEnd w:id="57"/>
      <w:r>
        <w:rPr>
          <w:rFonts w:hint="eastAsia"/>
          <w:color w:val="000000"/>
          <w:sz w:val="24"/>
        </w:rPr>
        <w:t xml:space="preserve"> </w:t>
      </w:r>
      <w:r>
        <w:rPr>
          <w:color w:val="000000"/>
          <w:sz w:val="24"/>
        </w:rPr>
        <w:tab/>
      </w:r>
      <w:r>
        <w:rPr>
          <w:rFonts w:hint="eastAsia"/>
          <w:color w:val="000000"/>
          <w:sz w:val="24"/>
          <w:u w:val="single"/>
        </w:rPr>
        <w:t>人权培训与教育</w:t>
      </w:r>
    </w:p>
    <w:p w:rsidR="00692915" w:rsidRDefault="00692915" w:rsidP="009A1C1B">
      <w:pPr>
        <w:tabs>
          <w:tab w:val="left" w:pos="1170"/>
        </w:tabs>
        <w:ind w:firstLine="31680"/>
        <w:rPr>
          <w:rFonts w:hint="eastAsia"/>
          <w:bCs/>
          <w:color w:val="000000"/>
        </w:rPr>
      </w:pPr>
      <w:r>
        <w:rPr>
          <w:bCs/>
          <w:color w:val="000000"/>
        </w:rPr>
        <w:t>222.</w:t>
      </w:r>
      <w:r>
        <w:rPr>
          <w:bCs/>
          <w:color w:val="000000"/>
        </w:rPr>
        <w:tab/>
      </w:r>
      <w:r>
        <w:rPr>
          <w:rFonts w:hint="eastAsia"/>
          <w:bCs/>
          <w:color w:val="000000"/>
        </w:rPr>
        <w:t>广大的政府官员、国会议员、警察、教师、司法工作人员和其他重要公众人物，以及众多的非政府组织已经接受了人权方面的全面教育和培训。</w:t>
      </w:r>
      <w:r>
        <w:rPr>
          <w:bCs/>
          <w:color w:val="000000"/>
        </w:rPr>
        <w:t>人权事务总理顾问办公室</w:t>
      </w:r>
      <w:r>
        <w:rPr>
          <w:rFonts w:hint="eastAsia"/>
          <w:bCs/>
          <w:color w:val="000000"/>
        </w:rPr>
        <w:t>重点对政府机构的官员进行了全面的人权培训，而</w:t>
      </w:r>
      <w:r>
        <w:rPr>
          <w:bCs/>
          <w:color w:val="000000"/>
        </w:rPr>
        <w:t>促进平等事务</w:t>
      </w:r>
      <w:r>
        <w:rPr>
          <w:rFonts w:hint="eastAsia"/>
          <w:bCs/>
          <w:color w:val="000000"/>
        </w:rPr>
        <w:t>总理顾问</w:t>
      </w:r>
      <w:r>
        <w:rPr>
          <w:bCs/>
          <w:color w:val="000000"/>
        </w:rPr>
        <w:t>办公室</w:t>
      </w:r>
      <w:r>
        <w:rPr>
          <w:rFonts w:hint="eastAsia"/>
          <w:bCs/>
          <w:color w:val="000000"/>
        </w:rPr>
        <w:t>也进行了有关</w:t>
      </w:r>
      <w:r>
        <w:rPr>
          <w:bCs/>
          <w:color w:val="000000"/>
        </w:rPr>
        <w:t>《消除对妇女一切形式歧视公约》</w:t>
      </w:r>
      <w:r>
        <w:rPr>
          <w:rFonts w:hint="eastAsia"/>
          <w:bCs/>
          <w:color w:val="000000"/>
        </w:rPr>
        <w:t>和性别问题的培训</w:t>
      </w:r>
      <w:r>
        <w:rPr>
          <w:rFonts w:ascii="SimHei" w:eastAsia="SimHei" w:hint="eastAsia"/>
          <w:bCs/>
          <w:color w:val="000000"/>
          <w:spacing w:val="0"/>
        </w:rPr>
        <w:t>——</w:t>
      </w:r>
      <w:r>
        <w:rPr>
          <w:rFonts w:hint="eastAsia"/>
          <w:bCs/>
          <w:color w:val="000000"/>
        </w:rPr>
        <w:t>有关这方面的详细情况，见下文有关社会性别平等主流化的一节。关于</w:t>
      </w:r>
      <w:r>
        <w:rPr>
          <w:bCs/>
          <w:color w:val="000000"/>
        </w:rPr>
        <w:t>《消除对妇女一切形式歧视公约》</w:t>
      </w:r>
      <w:r>
        <w:rPr>
          <w:rFonts w:hint="eastAsia"/>
          <w:bCs/>
          <w:color w:val="000000"/>
        </w:rPr>
        <w:t>，到目前为止，促进</w:t>
      </w:r>
      <w:r>
        <w:rPr>
          <w:bCs/>
          <w:color w:val="000000"/>
        </w:rPr>
        <w:t>平等事务总理顾问办公室</w:t>
      </w:r>
      <w:r>
        <w:rPr>
          <w:rFonts w:hint="eastAsia"/>
          <w:bCs/>
          <w:color w:val="000000"/>
        </w:rPr>
        <w:t>已为其本身的职员、非政府组织、政府官员和</w:t>
      </w:r>
      <w:r>
        <w:rPr>
          <w:bCs/>
          <w:color w:val="000000"/>
        </w:rPr>
        <w:t>东帝汶国家警察</w:t>
      </w:r>
      <w:r>
        <w:rPr>
          <w:rFonts w:hint="eastAsia"/>
          <w:bCs/>
          <w:color w:val="000000"/>
        </w:rPr>
        <w:t>协助组织了相应的培训。随着政府能力的加强，国家各人权事务机构，包括促进平等事务总理顾问办公室、人权事务总理顾问办公室和监察员办公室，预期将会进一步对全国各部门的人权问题培训需求做出反应。</w:t>
      </w:r>
    </w:p>
    <w:p w:rsidR="00692915" w:rsidRDefault="00692915" w:rsidP="009A1C1B">
      <w:pPr>
        <w:tabs>
          <w:tab w:val="left" w:pos="1170"/>
        </w:tabs>
        <w:spacing w:after="240"/>
        <w:ind w:firstLine="31680"/>
        <w:rPr>
          <w:rFonts w:hint="eastAsia"/>
          <w:color w:val="000000"/>
        </w:rPr>
      </w:pPr>
      <w:r>
        <w:rPr>
          <w:color w:val="000000"/>
        </w:rPr>
        <w:t>223.</w:t>
      </w:r>
      <w:r>
        <w:rPr>
          <w:color w:val="000000"/>
        </w:rPr>
        <w:tab/>
      </w:r>
      <w:r>
        <w:rPr>
          <w:rFonts w:hint="eastAsia"/>
          <w:color w:val="000000"/>
        </w:rPr>
        <w:t>关于到目前为止所提供的某些培训项目，请见下文的详细讨论。</w:t>
      </w:r>
    </w:p>
    <w:p w:rsidR="00692915" w:rsidRDefault="00692915">
      <w:pPr>
        <w:tabs>
          <w:tab w:val="left" w:pos="1170"/>
        </w:tabs>
        <w:spacing w:after="240"/>
        <w:ind w:firstLineChars="0" w:firstLine="0"/>
        <w:rPr>
          <w:rFonts w:hint="eastAsia"/>
          <w:bCs/>
          <w:i/>
          <w:color w:val="000000"/>
        </w:rPr>
      </w:pPr>
      <w:r>
        <w:rPr>
          <w:rFonts w:eastAsia="KaiTi_GB2312" w:hint="eastAsia"/>
          <w:color w:val="000000"/>
        </w:rPr>
        <w:t>政府官员</w:t>
      </w:r>
    </w:p>
    <w:p w:rsidR="00692915" w:rsidRDefault="00692915" w:rsidP="009A1C1B">
      <w:pPr>
        <w:tabs>
          <w:tab w:val="left" w:pos="1170"/>
        </w:tabs>
        <w:ind w:firstLine="31680"/>
        <w:rPr>
          <w:rFonts w:hint="eastAsia"/>
          <w:bCs/>
          <w:color w:val="000000"/>
        </w:rPr>
      </w:pPr>
      <w:r>
        <w:rPr>
          <w:bCs/>
          <w:color w:val="000000"/>
        </w:rPr>
        <w:t>224.</w:t>
      </w:r>
      <w:r>
        <w:rPr>
          <w:bCs/>
          <w:color w:val="000000"/>
        </w:rPr>
        <w:tab/>
      </w:r>
      <w:r>
        <w:rPr>
          <w:rFonts w:hint="eastAsia"/>
          <w:bCs/>
          <w:color w:val="000000"/>
        </w:rPr>
        <w:t>2004</w:t>
      </w:r>
      <w:r>
        <w:rPr>
          <w:rFonts w:hint="eastAsia"/>
          <w:bCs/>
          <w:color w:val="000000"/>
        </w:rPr>
        <w:t>年</w:t>
      </w:r>
      <w:r>
        <w:rPr>
          <w:rFonts w:hint="eastAsia"/>
          <w:bCs/>
          <w:color w:val="000000"/>
        </w:rPr>
        <w:t>4</w:t>
      </w:r>
      <w:r>
        <w:rPr>
          <w:rFonts w:hint="eastAsia"/>
          <w:bCs/>
          <w:color w:val="000000"/>
        </w:rPr>
        <w:t>月，</w:t>
      </w:r>
      <w:r>
        <w:rPr>
          <w:bCs/>
          <w:color w:val="000000"/>
        </w:rPr>
        <w:t>人权事务总理顾问办公室</w:t>
      </w:r>
      <w:r>
        <w:rPr>
          <w:rFonts w:hint="eastAsia"/>
          <w:bCs/>
          <w:color w:val="000000"/>
        </w:rPr>
        <w:t>和外交部在开发计划署、儿童基金会、</w:t>
      </w:r>
      <w:r>
        <w:rPr>
          <w:bCs/>
          <w:color w:val="000000"/>
        </w:rPr>
        <w:t>人口基金</w:t>
      </w:r>
      <w:r>
        <w:rPr>
          <w:rFonts w:hint="eastAsia"/>
          <w:bCs/>
          <w:color w:val="000000"/>
        </w:rPr>
        <w:t>和</w:t>
      </w:r>
      <w:r>
        <w:rPr>
          <w:bCs/>
          <w:color w:val="000000"/>
        </w:rPr>
        <w:t>东帝汶支助团</w:t>
      </w:r>
      <w:r>
        <w:rPr>
          <w:rFonts w:hint="eastAsia"/>
          <w:bCs/>
          <w:color w:val="000000"/>
        </w:rPr>
        <w:t>人权股的支持下，为国家人权联络员进行了为期一周的培训，以便让这些官员了解东帝汶所签署的各项人权条约、收集信息以及各部门参与人权保护与促进活动的方法。除了这种培训外，还就一些问题于</w:t>
      </w:r>
      <w:r>
        <w:rPr>
          <w:rFonts w:hint="eastAsia"/>
          <w:bCs/>
          <w:color w:val="000000"/>
        </w:rPr>
        <w:t>2004</w:t>
      </w:r>
      <w:r>
        <w:rPr>
          <w:rFonts w:hint="eastAsia"/>
          <w:bCs/>
          <w:color w:val="000000"/>
        </w:rPr>
        <w:t>年中期和</w:t>
      </w:r>
      <w:r>
        <w:rPr>
          <w:rFonts w:hint="eastAsia"/>
          <w:bCs/>
          <w:color w:val="000000"/>
        </w:rPr>
        <w:t>2005</w:t>
      </w:r>
      <w:r>
        <w:rPr>
          <w:rFonts w:hint="eastAsia"/>
          <w:bCs/>
          <w:color w:val="000000"/>
        </w:rPr>
        <w:t>年末举办了四次全国性研讨会，这些问题包括：社会、经济和文化权利；条约报告计划的推出；公民权利和政治权利；以及东帝汶民间组织的作用等。</w:t>
      </w:r>
      <w:r>
        <w:rPr>
          <w:rFonts w:hint="eastAsia"/>
          <w:bCs/>
          <w:color w:val="000000"/>
        </w:rPr>
        <w:t xml:space="preserve"> </w:t>
      </w:r>
    </w:p>
    <w:p w:rsidR="00692915" w:rsidRDefault="00692915" w:rsidP="009A1C1B">
      <w:pPr>
        <w:tabs>
          <w:tab w:val="left" w:pos="1170"/>
        </w:tabs>
        <w:ind w:firstLine="31680"/>
        <w:rPr>
          <w:rFonts w:hint="eastAsia"/>
          <w:bCs/>
          <w:color w:val="000000"/>
        </w:rPr>
      </w:pPr>
      <w:r>
        <w:rPr>
          <w:bCs/>
          <w:color w:val="000000"/>
        </w:rPr>
        <w:t>225. 2004/</w:t>
      </w:r>
      <w:r>
        <w:rPr>
          <w:rFonts w:hint="eastAsia"/>
          <w:bCs/>
          <w:color w:val="000000"/>
        </w:rPr>
        <w:t>20</w:t>
      </w:r>
      <w:r>
        <w:rPr>
          <w:bCs/>
          <w:color w:val="000000"/>
        </w:rPr>
        <w:t>05</w:t>
      </w:r>
      <w:r>
        <w:rPr>
          <w:rFonts w:hint="eastAsia"/>
          <w:bCs/>
          <w:color w:val="000000"/>
        </w:rPr>
        <w:t>年，国家社会服务司（</w:t>
      </w:r>
      <w:r>
        <w:rPr>
          <w:bCs/>
          <w:color w:val="000000"/>
        </w:rPr>
        <w:t>NDSS</w:t>
      </w:r>
      <w:r>
        <w:rPr>
          <w:rFonts w:hint="eastAsia"/>
          <w:bCs/>
          <w:color w:val="000000"/>
        </w:rPr>
        <w:t>）在</w:t>
      </w:r>
      <w:r>
        <w:rPr>
          <w:bCs/>
          <w:color w:val="000000"/>
        </w:rPr>
        <w:t>儿童基金会</w:t>
      </w:r>
      <w:r>
        <w:rPr>
          <w:rFonts w:hint="eastAsia"/>
          <w:bCs/>
          <w:color w:val="000000"/>
        </w:rPr>
        <w:t>和</w:t>
      </w:r>
      <w:r>
        <w:rPr>
          <w:bCs/>
          <w:color w:val="000000"/>
        </w:rPr>
        <w:t>东帝汶支助团</w:t>
      </w:r>
      <w:r>
        <w:rPr>
          <w:rFonts w:hint="eastAsia"/>
          <w:bCs/>
          <w:color w:val="000000"/>
        </w:rPr>
        <w:t>的支持下，举行了几期培训，对国家社会服务司的</w:t>
      </w:r>
      <w:r>
        <w:rPr>
          <w:rFonts w:hint="eastAsia"/>
          <w:bCs/>
          <w:color w:val="000000"/>
        </w:rPr>
        <w:t>45</w:t>
      </w:r>
      <w:r>
        <w:rPr>
          <w:rFonts w:hint="eastAsia"/>
          <w:bCs/>
          <w:color w:val="000000"/>
        </w:rPr>
        <w:t>名职员、儿童保护网成员、以及在某些情况下对地区和县管理人员以及非政府组织进行了培训，内容涉及</w:t>
      </w:r>
      <w:r>
        <w:rPr>
          <w:bCs/>
          <w:color w:val="000000"/>
        </w:rPr>
        <w:t>《儿童权利公约》</w:t>
      </w:r>
      <w:r>
        <w:rPr>
          <w:rFonts w:hint="eastAsia"/>
          <w:bCs/>
          <w:color w:val="000000"/>
        </w:rPr>
        <w:t>；儿童权利，尤其是女童权利；以及</w:t>
      </w:r>
      <w:r>
        <w:rPr>
          <w:bCs/>
          <w:color w:val="000000"/>
        </w:rPr>
        <w:t>《儿童权利公约》</w:t>
      </w:r>
      <w:r>
        <w:rPr>
          <w:rFonts w:hint="eastAsia"/>
          <w:bCs/>
          <w:color w:val="000000"/>
        </w:rPr>
        <w:t>的报告程序等。另外这些活动还得到了外交部的协助。</w:t>
      </w:r>
    </w:p>
    <w:p w:rsidR="00692915" w:rsidRDefault="00692915" w:rsidP="009A1C1B">
      <w:pPr>
        <w:tabs>
          <w:tab w:val="left" w:pos="1170"/>
        </w:tabs>
        <w:ind w:firstLine="31680"/>
        <w:rPr>
          <w:rFonts w:hint="eastAsia"/>
          <w:bCs/>
          <w:color w:val="000000"/>
        </w:rPr>
      </w:pPr>
      <w:r>
        <w:rPr>
          <w:bCs/>
          <w:color w:val="000000"/>
        </w:rPr>
        <w:t>226.</w:t>
      </w:r>
      <w:r>
        <w:rPr>
          <w:bCs/>
          <w:color w:val="000000"/>
        </w:rPr>
        <w:tab/>
      </w:r>
      <w:r>
        <w:rPr>
          <w:rFonts w:hint="eastAsia"/>
          <w:bCs/>
          <w:color w:val="000000"/>
        </w:rPr>
        <w:t>2003</w:t>
      </w:r>
      <w:r>
        <w:rPr>
          <w:rFonts w:hint="eastAsia"/>
          <w:bCs/>
          <w:color w:val="000000"/>
        </w:rPr>
        <w:t>年</w:t>
      </w:r>
      <w:r>
        <w:rPr>
          <w:rFonts w:hint="eastAsia"/>
          <w:bCs/>
          <w:color w:val="000000"/>
        </w:rPr>
        <w:t>3</w:t>
      </w:r>
      <w:r>
        <w:rPr>
          <w:rFonts w:hint="eastAsia"/>
          <w:bCs/>
          <w:color w:val="000000"/>
        </w:rPr>
        <w:t>月，</w:t>
      </w:r>
      <w:r>
        <w:rPr>
          <w:bCs/>
          <w:color w:val="000000"/>
        </w:rPr>
        <w:t>促进平等事务总理顾问办公室</w:t>
      </w:r>
      <w:r>
        <w:rPr>
          <w:rFonts w:hint="eastAsia"/>
          <w:bCs/>
          <w:color w:val="000000"/>
        </w:rPr>
        <w:t>在</w:t>
      </w:r>
      <w:r>
        <w:rPr>
          <w:bCs/>
          <w:color w:val="000000"/>
        </w:rPr>
        <w:t>儿童基金会</w:t>
      </w:r>
      <w:r>
        <w:rPr>
          <w:rFonts w:hint="eastAsia"/>
          <w:bCs/>
          <w:color w:val="000000"/>
        </w:rPr>
        <w:t>的支持下，组织了有关</w:t>
      </w:r>
      <w:r>
        <w:rPr>
          <w:bCs/>
          <w:color w:val="000000"/>
        </w:rPr>
        <w:t>《消除对妇女一切形式歧视公约》</w:t>
      </w:r>
      <w:r>
        <w:rPr>
          <w:rFonts w:hint="eastAsia"/>
          <w:bCs/>
          <w:color w:val="000000"/>
        </w:rPr>
        <w:t>的培训，培训对象包括其本身的职员和妇女非政府组织（如：东帝汶妇女通讯论坛、核心小组和国际救援委员会）的若干代表。共有</w:t>
      </w:r>
      <w:r>
        <w:rPr>
          <w:rFonts w:hint="eastAsia"/>
          <w:bCs/>
          <w:color w:val="000000"/>
        </w:rPr>
        <w:t>12</w:t>
      </w:r>
      <w:r>
        <w:rPr>
          <w:rFonts w:hint="eastAsia"/>
          <w:bCs/>
          <w:color w:val="000000"/>
        </w:rPr>
        <w:t>名参与者接受了以下方面的初步培训：</w:t>
      </w:r>
      <w:r>
        <w:rPr>
          <w:bCs/>
          <w:color w:val="000000"/>
        </w:rPr>
        <w:t>《消除对妇女一切形式歧视公约》</w:t>
      </w:r>
      <w:r>
        <w:rPr>
          <w:rFonts w:hint="eastAsia"/>
          <w:bCs/>
          <w:color w:val="000000"/>
        </w:rPr>
        <w:t>的历史及背景；对妇女歧视；国家义务；促进男女实际平等的特别措施；</w:t>
      </w:r>
      <w:r>
        <w:rPr>
          <w:bCs/>
          <w:color w:val="000000"/>
        </w:rPr>
        <w:t>《消除对妇女一切形式歧视公约》</w:t>
      </w:r>
      <w:r>
        <w:rPr>
          <w:rFonts w:hint="eastAsia"/>
          <w:bCs/>
          <w:color w:val="000000"/>
        </w:rPr>
        <w:t>的《任择议定书》；缔约国报告和非正规报告程序。</w:t>
      </w:r>
    </w:p>
    <w:p w:rsidR="00692915" w:rsidRDefault="00692915" w:rsidP="009A1C1B">
      <w:pPr>
        <w:tabs>
          <w:tab w:val="left" w:pos="1170"/>
        </w:tabs>
        <w:spacing w:after="240"/>
        <w:ind w:firstLine="31680"/>
        <w:rPr>
          <w:rFonts w:hint="eastAsia"/>
          <w:color w:val="000000"/>
        </w:rPr>
      </w:pPr>
      <w:r>
        <w:rPr>
          <w:color w:val="000000"/>
        </w:rPr>
        <w:t>227.</w:t>
      </w:r>
      <w:r>
        <w:rPr>
          <w:rFonts w:hint="eastAsia"/>
          <w:color w:val="000000"/>
        </w:rPr>
        <w:t xml:space="preserve"> </w:t>
      </w:r>
      <w:r>
        <w:rPr>
          <w:rFonts w:hint="eastAsia"/>
          <w:color w:val="000000"/>
          <w:spacing w:val="8"/>
        </w:rPr>
        <w:t>2005</w:t>
      </w:r>
      <w:r>
        <w:rPr>
          <w:rFonts w:hint="eastAsia"/>
          <w:color w:val="000000"/>
          <w:spacing w:val="8"/>
        </w:rPr>
        <w:t>年</w:t>
      </w:r>
      <w:r>
        <w:rPr>
          <w:rFonts w:hint="eastAsia"/>
          <w:color w:val="000000"/>
          <w:spacing w:val="8"/>
        </w:rPr>
        <w:t>4</w:t>
      </w:r>
      <w:r>
        <w:rPr>
          <w:rFonts w:hint="eastAsia"/>
          <w:color w:val="000000"/>
          <w:spacing w:val="8"/>
        </w:rPr>
        <w:t>月，</w:t>
      </w:r>
      <w:r>
        <w:rPr>
          <w:color w:val="000000"/>
          <w:spacing w:val="8"/>
        </w:rPr>
        <w:t>促进平等事务总理顾问办公室</w:t>
      </w:r>
      <w:r>
        <w:rPr>
          <w:rFonts w:hint="eastAsia"/>
          <w:color w:val="000000"/>
          <w:spacing w:val="8"/>
        </w:rPr>
        <w:t>在</w:t>
      </w:r>
      <w:r>
        <w:rPr>
          <w:color w:val="000000"/>
          <w:spacing w:val="8"/>
        </w:rPr>
        <w:t>开发计划署</w:t>
      </w:r>
      <w:r>
        <w:rPr>
          <w:rFonts w:hint="eastAsia"/>
          <w:color w:val="000000"/>
          <w:spacing w:val="8"/>
        </w:rPr>
        <w:t>加强人权方案的资助下，组织了部级研讨会为来自九个政府部委的性别与人权联络员介绍</w:t>
      </w:r>
      <w:r>
        <w:rPr>
          <w:color w:val="000000"/>
          <w:spacing w:val="8"/>
        </w:rPr>
        <w:t>《消除对妇女一切形式歧视公约》</w:t>
      </w:r>
      <w:r>
        <w:rPr>
          <w:rFonts w:hint="eastAsia"/>
          <w:color w:val="000000"/>
          <w:spacing w:val="8"/>
        </w:rPr>
        <w:t>的内容及其报告程序。除此之外，</w:t>
      </w:r>
      <w:r>
        <w:rPr>
          <w:rFonts w:hint="eastAsia"/>
          <w:color w:val="000000"/>
          <w:spacing w:val="8"/>
        </w:rPr>
        <w:t>2005</w:t>
      </w:r>
      <w:r>
        <w:rPr>
          <w:rFonts w:hint="eastAsia"/>
          <w:color w:val="000000"/>
          <w:spacing w:val="8"/>
        </w:rPr>
        <w:t>年</w:t>
      </w:r>
      <w:r>
        <w:rPr>
          <w:rFonts w:hint="eastAsia"/>
          <w:color w:val="000000"/>
          <w:spacing w:val="8"/>
        </w:rPr>
        <w:t>7</w:t>
      </w:r>
      <w:r>
        <w:rPr>
          <w:rFonts w:hint="eastAsia"/>
          <w:color w:val="000000"/>
          <w:spacing w:val="8"/>
        </w:rPr>
        <w:t>月，还为个别部委举行了社会化研讨会，以向全社会宣传</w:t>
      </w:r>
      <w:r>
        <w:rPr>
          <w:color w:val="000000"/>
          <w:spacing w:val="8"/>
        </w:rPr>
        <w:t>《消除对妇女一切形式歧视公约》</w:t>
      </w:r>
      <w:r>
        <w:rPr>
          <w:rFonts w:hint="eastAsia"/>
          <w:color w:val="000000"/>
          <w:spacing w:val="8"/>
        </w:rPr>
        <w:t>的非歧视原则、实质性平等。另外，还就</w:t>
      </w:r>
      <w:r>
        <w:rPr>
          <w:color w:val="000000"/>
          <w:spacing w:val="8"/>
        </w:rPr>
        <w:t>《消除对妇女一切形式歧视公约》</w:t>
      </w:r>
      <w:r>
        <w:rPr>
          <w:rFonts w:hint="eastAsia"/>
          <w:color w:val="000000"/>
          <w:spacing w:val="8"/>
        </w:rPr>
        <w:t>的实质性内容进行了</w:t>
      </w:r>
      <w:r>
        <w:rPr>
          <w:rFonts w:hint="eastAsia"/>
          <w:color w:val="000000"/>
          <w:spacing w:val="8"/>
        </w:rPr>
        <w:t>7</w:t>
      </w:r>
      <w:r>
        <w:rPr>
          <w:rFonts w:hint="eastAsia"/>
          <w:color w:val="000000"/>
          <w:spacing w:val="8"/>
        </w:rPr>
        <w:t>次对话。除了非政府组织和民间社会外，同一期间，还为政府各地区的性别及人权联络员提供了类似培训。下文有关非政府组织的部分将进一步介绍这类培训。</w:t>
      </w:r>
    </w:p>
    <w:p w:rsidR="00692915" w:rsidRDefault="00692915">
      <w:pPr>
        <w:tabs>
          <w:tab w:val="left" w:pos="1170"/>
        </w:tabs>
        <w:spacing w:after="240"/>
        <w:ind w:firstLineChars="0" w:firstLine="0"/>
        <w:rPr>
          <w:rFonts w:eastAsia="KaiTi_GB2312" w:hint="eastAsia"/>
          <w:color w:val="000000"/>
        </w:rPr>
      </w:pPr>
      <w:r>
        <w:rPr>
          <w:rFonts w:eastAsia="KaiTi_GB2312" w:hint="eastAsia"/>
          <w:color w:val="000000"/>
        </w:rPr>
        <w:t>为国会议员举办的高级人权培训</w:t>
      </w:r>
    </w:p>
    <w:p w:rsidR="00692915" w:rsidRDefault="00692915" w:rsidP="009A1C1B">
      <w:pPr>
        <w:tabs>
          <w:tab w:val="left" w:pos="1170"/>
        </w:tabs>
        <w:ind w:firstLine="31680"/>
        <w:rPr>
          <w:rFonts w:hint="eastAsia"/>
          <w:bCs/>
          <w:color w:val="000000"/>
        </w:rPr>
      </w:pPr>
      <w:r>
        <w:rPr>
          <w:bCs/>
          <w:color w:val="000000"/>
        </w:rPr>
        <w:t>228.</w:t>
      </w:r>
      <w:r>
        <w:rPr>
          <w:bCs/>
          <w:color w:val="000000"/>
        </w:rPr>
        <w:tab/>
      </w:r>
      <w:r>
        <w:rPr>
          <w:rFonts w:hint="eastAsia"/>
          <w:bCs/>
          <w:color w:val="000000"/>
        </w:rPr>
        <w:t xml:space="preserve"> </w:t>
      </w:r>
      <w:r>
        <w:rPr>
          <w:rFonts w:hint="eastAsia"/>
          <w:bCs/>
          <w:color w:val="000000"/>
        </w:rPr>
        <w:t>必须承认，在国会议员培训方面，</w:t>
      </w:r>
      <w:r>
        <w:rPr>
          <w:bCs/>
          <w:color w:val="000000"/>
        </w:rPr>
        <w:t>东帝汶支助团</w:t>
      </w:r>
      <w:r>
        <w:rPr>
          <w:rFonts w:hint="eastAsia"/>
          <w:bCs/>
          <w:color w:val="000000"/>
        </w:rPr>
        <w:t>人权股和</w:t>
      </w:r>
      <w:r>
        <w:rPr>
          <w:bCs/>
          <w:color w:val="000000"/>
        </w:rPr>
        <w:t>开发计划署</w:t>
      </w:r>
      <w:r>
        <w:rPr>
          <w:rFonts w:hint="eastAsia"/>
          <w:bCs/>
          <w:color w:val="000000"/>
        </w:rPr>
        <w:t>最为积极。</w:t>
      </w:r>
      <w:r>
        <w:rPr>
          <w:rFonts w:hint="eastAsia"/>
          <w:bCs/>
          <w:color w:val="000000"/>
        </w:rPr>
        <w:t>2004</w:t>
      </w:r>
      <w:r>
        <w:rPr>
          <w:rFonts w:hint="eastAsia"/>
          <w:bCs/>
          <w:color w:val="000000"/>
        </w:rPr>
        <w:t>年，为</w:t>
      </w:r>
      <w:r>
        <w:rPr>
          <w:rFonts w:hint="eastAsia"/>
          <w:bCs/>
          <w:color w:val="000000"/>
        </w:rPr>
        <w:t>66</w:t>
      </w:r>
      <w:r>
        <w:rPr>
          <w:rFonts w:hint="eastAsia"/>
          <w:bCs/>
          <w:color w:val="000000"/>
        </w:rPr>
        <w:t>名国会议员举行了四次人权研讨会，内容涉及善治原则以及从人权角度对立法草案进行的分析。</w:t>
      </w:r>
      <w:r>
        <w:rPr>
          <w:rFonts w:hint="eastAsia"/>
          <w:bCs/>
          <w:color w:val="000000"/>
        </w:rPr>
        <w:t>2004</w:t>
      </w:r>
      <w:r>
        <w:rPr>
          <w:rFonts w:hint="eastAsia"/>
          <w:bCs/>
          <w:color w:val="000000"/>
        </w:rPr>
        <w:t>年</w:t>
      </w:r>
      <w:r>
        <w:rPr>
          <w:rFonts w:hint="eastAsia"/>
          <w:bCs/>
          <w:color w:val="000000"/>
        </w:rPr>
        <w:t>4</w:t>
      </w:r>
      <w:r>
        <w:rPr>
          <w:rFonts w:hint="eastAsia"/>
          <w:bCs/>
          <w:color w:val="000000"/>
        </w:rPr>
        <w:t>月，还为</w:t>
      </w:r>
      <w:r>
        <w:rPr>
          <w:rFonts w:hint="eastAsia"/>
          <w:bCs/>
          <w:color w:val="000000"/>
        </w:rPr>
        <w:t>55</w:t>
      </w:r>
      <w:r>
        <w:rPr>
          <w:rFonts w:hint="eastAsia"/>
          <w:bCs/>
          <w:color w:val="000000"/>
        </w:rPr>
        <w:t>名国民议会成员举办了一系列研讨会，内容涉及公民、政治、经济、社会和文化权利以及从人权角度对立法进行的分析。</w:t>
      </w:r>
      <w:r>
        <w:rPr>
          <w:rFonts w:hint="eastAsia"/>
          <w:bCs/>
          <w:color w:val="000000"/>
        </w:rPr>
        <w:t>2005</w:t>
      </w:r>
      <w:r>
        <w:rPr>
          <w:rFonts w:hint="eastAsia"/>
          <w:bCs/>
          <w:color w:val="000000"/>
        </w:rPr>
        <w:t>年</w:t>
      </w:r>
      <w:r>
        <w:rPr>
          <w:rFonts w:hint="eastAsia"/>
          <w:bCs/>
          <w:color w:val="000000"/>
        </w:rPr>
        <w:t>3</w:t>
      </w:r>
      <w:r>
        <w:rPr>
          <w:rFonts w:hint="eastAsia"/>
          <w:bCs/>
          <w:color w:val="000000"/>
        </w:rPr>
        <w:t>月，人权股和</w:t>
      </w:r>
      <w:r>
        <w:rPr>
          <w:bCs/>
          <w:color w:val="000000"/>
        </w:rPr>
        <w:t>开发计划署</w:t>
      </w:r>
      <w:r>
        <w:rPr>
          <w:rFonts w:hint="eastAsia"/>
          <w:bCs/>
          <w:color w:val="000000"/>
        </w:rPr>
        <w:t>共同为议会第一委员会开展了另一项目，重点包括：议会在条约报告中的作用；加强人权的制度机制；从性别角度对拟议预算进行的分析。该项目的一个成果就是在第一委员会内设立人权小组委员会，不用说，公众也可向该小组委员会进行申诉。至于是否已经收到申诉，或就申诉是否采取了具体行动，目前尚不明确。</w:t>
      </w:r>
    </w:p>
    <w:p w:rsidR="00692915" w:rsidRDefault="00692915" w:rsidP="009A1C1B">
      <w:pPr>
        <w:tabs>
          <w:tab w:val="left" w:pos="1170"/>
        </w:tabs>
        <w:spacing w:after="240"/>
        <w:ind w:firstLine="31680"/>
        <w:rPr>
          <w:rFonts w:hint="eastAsia"/>
          <w:color w:val="000000"/>
          <w:spacing w:val="8"/>
        </w:rPr>
      </w:pPr>
      <w:r>
        <w:rPr>
          <w:color w:val="000000"/>
        </w:rPr>
        <w:t>229.</w:t>
      </w:r>
      <w:r>
        <w:rPr>
          <w:color w:val="000000"/>
        </w:rPr>
        <w:tab/>
      </w:r>
      <w:r>
        <w:rPr>
          <w:rFonts w:hint="eastAsia"/>
          <w:color w:val="000000"/>
          <w:spacing w:val="8"/>
        </w:rPr>
        <w:t>东帝汶政府已经认识到，为了让议会在其职权范围内的事务上发挥有效作用，有必要加强议会的能力。为此，东帝汶政府全力支持东帝汶办事处派遣人权官员对国会议员进行人权保护和促进方面的培训，以加强国会议员在这方面的能力，尤其是从人权角度对立法草案进行分析的能力。在撰写本报告之时，该人选尚未确定。</w:t>
      </w:r>
    </w:p>
    <w:p w:rsidR="00692915" w:rsidRDefault="00692915">
      <w:pPr>
        <w:tabs>
          <w:tab w:val="left" w:pos="1170"/>
        </w:tabs>
        <w:spacing w:after="240"/>
        <w:ind w:firstLineChars="0" w:firstLine="0"/>
        <w:rPr>
          <w:rFonts w:eastAsia="KaiTi_GB2312" w:hint="eastAsia"/>
          <w:color w:val="000000"/>
        </w:rPr>
      </w:pPr>
      <w:r>
        <w:rPr>
          <w:rFonts w:eastAsia="KaiTi_GB2312" w:hint="eastAsia"/>
          <w:color w:val="000000"/>
        </w:rPr>
        <w:t>执法及法律工作人员的培训</w:t>
      </w:r>
    </w:p>
    <w:p w:rsidR="00692915" w:rsidRDefault="00692915" w:rsidP="009A1C1B">
      <w:pPr>
        <w:tabs>
          <w:tab w:val="left" w:pos="1170"/>
        </w:tabs>
        <w:ind w:firstLine="31680"/>
        <w:rPr>
          <w:rFonts w:hint="eastAsia"/>
          <w:bCs/>
          <w:color w:val="000000"/>
        </w:rPr>
      </w:pPr>
      <w:r>
        <w:rPr>
          <w:bCs/>
          <w:color w:val="000000"/>
        </w:rPr>
        <w:t>230.</w:t>
      </w:r>
      <w:r>
        <w:rPr>
          <w:bCs/>
          <w:color w:val="000000"/>
        </w:rPr>
        <w:tab/>
      </w:r>
      <w:r>
        <w:rPr>
          <w:rFonts w:hint="eastAsia"/>
          <w:bCs/>
          <w:color w:val="000000"/>
        </w:rPr>
        <w:t>由于认识到有必要强化东帝汶国家警察的能力，尤其要从行为和遵守人权原则方面加强其能力，政府已做出了不懈努力，以进一步支持警察人员的教育与培训。</w:t>
      </w:r>
      <w:r>
        <w:rPr>
          <w:rFonts w:hint="eastAsia"/>
          <w:bCs/>
          <w:color w:val="000000"/>
        </w:rPr>
        <w:t>2005</w:t>
      </w:r>
      <w:r>
        <w:rPr>
          <w:rFonts w:hint="eastAsia"/>
          <w:bCs/>
          <w:color w:val="000000"/>
        </w:rPr>
        <w:t>年</w:t>
      </w:r>
      <w:r>
        <w:rPr>
          <w:rFonts w:hint="eastAsia"/>
          <w:bCs/>
          <w:color w:val="000000"/>
        </w:rPr>
        <w:t>7</w:t>
      </w:r>
      <w:r>
        <w:rPr>
          <w:rFonts w:hint="eastAsia"/>
          <w:bCs/>
          <w:color w:val="000000"/>
        </w:rPr>
        <w:t>月，政府在</w:t>
      </w:r>
      <w:r>
        <w:rPr>
          <w:bCs/>
          <w:color w:val="000000"/>
        </w:rPr>
        <w:t>东帝汶支助团</w:t>
      </w:r>
      <w:r>
        <w:rPr>
          <w:rFonts w:hint="eastAsia"/>
          <w:bCs/>
          <w:color w:val="000000"/>
        </w:rPr>
        <w:t>的大力支持下，推出了一份全面的警察培训手册。</w:t>
      </w:r>
    </w:p>
    <w:p w:rsidR="00692915" w:rsidRDefault="00692915" w:rsidP="009A1C1B">
      <w:pPr>
        <w:tabs>
          <w:tab w:val="left" w:pos="1170"/>
        </w:tabs>
        <w:ind w:firstLine="31680"/>
        <w:rPr>
          <w:rFonts w:hint="eastAsia"/>
          <w:bCs/>
          <w:color w:val="000000"/>
        </w:rPr>
      </w:pPr>
      <w:r>
        <w:rPr>
          <w:bCs/>
          <w:color w:val="000000"/>
        </w:rPr>
        <w:t>231.</w:t>
      </w:r>
      <w:r>
        <w:rPr>
          <w:bCs/>
          <w:color w:val="000000"/>
        </w:rPr>
        <w:tab/>
      </w:r>
      <w:r>
        <w:rPr>
          <w:bCs/>
          <w:color w:val="000000"/>
        </w:rPr>
        <w:t>东帝汶国家警察</w:t>
      </w:r>
      <w:r>
        <w:rPr>
          <w:rFonts w:hint="eastAsia"/>
          <w:bCs/>
          <w:color w:val="000000"/>
        </w:rPr>
        <w:t>在职培训股，在</w:t>
      </w:r>
      <w:r>
        <w:rPr>
          <w:bCs/>
          <w:color w:val="000000"/>
        </w:rPr>
        <w:t>促进平等事务总理顾问办公室</w:t>
      </w:r>
      <w:r>
        <w:rPr>
          <w:rFonts w:hint="eastAsia"/>
          <w:bCs/>
          <w:color w:val="000000"/>
        </w:rPr>
        <w:t>、</w:t>
      </w:r>
      <w:r>
        <w:rPr>
          <w:bCs/>
          <w:color w:val="000000"/>
        </w:rPr>
        <w:t>人口基金</w:t>
      </w:r>
      <w:r>
        <w:rPr>
          <w:rFonts w:hint="eastAsia"/>
          <w:bCs/>
          <w:color w:val="000000"/>
        </w:rPr>
        <w:t>、</w:t>
      </w:r>
      <w:r>
        <w:rPr>
          <w:bCs/>
          <w:color w:val="000000"/>
        </w:rPr>
        <w:t>儿童基金会</w:t>
      </w:r>
      <w:r>
        <w:rPr>
          <w:rFonts w:hint="eastAsia"/>
          <w:bCs/>
          <w:color w:val="000000"/>
        </w:rPr>
        <w:t>、联合国警察技术顾问和联合国特派团人权股的合作下，也实施了很多培训执法官员的项目，内容涉及嫌疑犯权利、尊重受害人、促进执法官员行为和纪律的措施等。</w:t>
      </w:r>
      <w:r>
        <w:rPr>
          <w:rFonts w:hint="eastAsia"/>
          <w:bCs/>
          <w:color w:val="000000"/>
        </w:rPr>
        <w:t>2005</w:t>
      </w:r>
      <w:r>
        <w:rPr>
          <w:rFonts w:hint="eastAsia"/>
          <w:bCs/>
          <w:color w:val="000000"/>
        </w:rPr>
        <w:t>年</w:t>
      </w:r>
      <w:r>
        <w:rPr>
          <w:rFonts w:hint="eastAsia"/>
          <w:bCs/>
          <w:color w:val="000000"/>
        </w:rPr>
        <w:t>5</w:t>
      </w:r>
      <w:r>
        <w:rPr>
          <w:rFonts w:hint="eastAsia"/>
          <w:bCs/>
          <w:color w:val="000000"/>
        </w:rPr>
        <w:t>月，</w:t>
      </w:r>
      <w:r>
        <w:rPr>
          <w:bCs/>
          <w:color w:val="000000"/>
        </w:rPr>
        <w:t>促进平等事务总理顾问办公室</w:t>
      </w:r>
      <w:r>
        <w:rPr>
          <w:rFonts w:hint="eastAsia"/>
          <w:bCs/>
          <w:color w:val="000000"/>
        </w:rPr>
        <w:t>在</w:t>
      </w:r>
      <w:r>
        <w:rPr>
          <w:bCs/>
          <w:color w:val="000000"/>
        </w:rPr>
        <w:t>人口基金</w:t>
      </w:r>
      <w:r>
        <w:rPr>
          <w:rFonts w:hint="eastAsia"/>
          <w:bCs/>
          <w:color w:val="000000"/>
        </w:rPr>
        <w:t>的支持下，为</w:t>
      </w:r>
      <w:r>
        <w:rPr>
          <w:rFonts w:hint="eastAsia"/>
          <w:bCs/>
          <w:color w:val="000000"/>
        </w:rPr>
        <w:t>50</w:t>
      </w:r>
      <w:r>
        <w:rPr>
          <w:rFonts w:hint="eastAsia"/>
          <w:bCs/>
          <w:color w:val="000000"/>
        </w:rPr>
        <w:t>名警校学员进行了</w:t>
      </w:r>
      <w:r>
        <w:rPr>
          <w:bCs/>
          <w:color w:val="000000"/>
        </w:rPr>
        <w:t>《消除对妇女一切形式歧视公约》</w:t>
      </w:r>
      <w:r>
        <w:rPr>
          <w:rFonts w:hint="eastAsia"/>
          <w:bCs/>
          <w:color w:val="000000"/>
        </w:rPr>
        <w:t>方面的培训，这是更大规模培训</w:t>
      </w:r>
      <w:r>
        <w:rPr>
          <w:rFonts w:eastAsia="SimHei" w:hint="eastAsia"/>
          <w:bCs/>
          <w:color w:val="000000"/>
          <w:spacing w:val="0"/>
        </w:rPr>
        <w:t>——</w:t>
      </w:r>
      <w:r>
        <w:rPr>
          <w:rFonts w:hint="eastAsia"/>
          <w:bCs/>
          <w:color w:val="000000"/>
        </w:rPr>
        <w:t>有关家庭暴力培训的一部分。</w:t>
      </w:r>
    </w:p>
    <w:p w:rsidR="00692915" w:rsidRDefault="00692915" w:rsidP="009A1C1B">
      <w:pPr>
        <w:tabs>
          <w:tab w:val="left" w:pos="1170"/>
        </w:tabs>
        <w:ind w:firstLine="31680"/>
        <w:rPr>
          <w:rFonts w:hint="eastAsia"/>
          <w:color w:val="000000"/>
        </w:rPr>
      </w:pPr>
      <w:r>
        <w:rPr>
          <w:color w:val="000000"/>
        </w:rPr>
        <w:t>232.</w:t>
      </w:r>
      <w:r>
        <w:rPr>
          <w:rFonts w:hint="eastAsia"/>
          <w:color w:val="000000"/>
        </w:rPr>
        <w:t xml:space="preserve"> </w:t>
      </w:r>
      <w:r>
        <w:rPr>
          <w:rFonts w:hint="eastAsia"/>
          <w:color w:val="000000"/>
        </w:rPr>
        <w:t>已经为“保护弱势人员股”（</w:t>
      </w:r>
      <w:r>
        <w:rPr>
          <w:rFonts w:hint="eastAsia"/>
          <w:color w:val="000000"/>
        </w:rPr>
        <w:t>VPU</w:t>
      </w:r>
      <w:r>
        <w:rPr>
          <w:rFonts w:hint="eastAsia"/>
          <w:color w:val="000000"/>
        </w:rPr>
        <w:t>）、边境巡逻队（</w:t>
      </w:r>
      <w:r>
        <w:rPr>
          <w:color w:val="000000"/>
        </w:rPr>
        <w:t>BPU</w:t>
      </w:r>
      <w:r>
        <w:rPr>
          <w:rFonts w:hint="eastAsia"/>
          <w:color w:val="000000"/>
        </w:rPr>
        <w:t>）、快速干预部队（</w:t>
      </w:r>
      <w:r>
        <w:rPr>
          <w:iCs/>
          <w:color w:val="000000"/>
        </w:rPr>
        <w:t>UIR</w:t>
      </w:r>
      <w:r>
        <w:rPr>
          <w:rFonts w:hint="eastAsia"/>
          <w:color w:val="000000"/>
        </w:rPr>
        <w:t>）、警备队（</w:t>
      </w:r>
      <w:r>
        <w:rPr>
          <w:color w:val="000000"/>
        </w:rPr>
        <w:t>PRU</w:t>
      </w:r>
      <w:r>
        <w:rPr>
          <w:rFonts w:hint="eastAsia"/>
          <w:color w:val="000000"/>
        </w:rPr>
        <w:t>）、社区警务队（</w:t>
      </w:r>
      <w:r>
        <w:rPr>
          <w:color w:val="000000"/>
        </w:rPr>
        <w:t>CPU</w:t>
      </w:r>
      <w:r>
        <w:rPr>
          <w:rFonts w:hint="eastAsia"/>
          <w:color w:val="000000"/>
        </w:rPr>
        <w:t>）、战略规划股和各地区的警员，进行了人权与性别意识方面的培训。截止</w:t>
      </w:r>
      <w:r>
        <w:rPr>
          <w:rFonts w:hint="eastAsia"/>
          <w:color w:val="000000"/>
        </w:rPr>
        <w:t>2005</w:t>
      </w:r>
      <w:r>
        <w:rPr>
          <w:rFonts w:hint="eastAsia"/>
          <w:color w:val="000000"/>
        </w:rPr>
        <w:t>年</w:t>
      </w:r>
      <w:r>
        <w:rPr>
          <w:rFonts w:hint="eastAsia"/>
          <w:color w:val="000000"/>
        </w:rPr>
        <w:t>5</w:t>
      </w:r>
      <w:r>
        <w:rPr>
          <w:rFonts w:hint="eastAsia"/>
          <w:color w:val="000000"/>
        </w:rPr>
        <w:t>月，已经在帝力和各地区进行了针对</w:t>
      </w:r>
      <w:r>
        <w:rPr>
          <w:color w:val="000000"/>
        </w:rPr>
        <w:t>东帝汶国家警察</w:t>
      </w:r>
      <w:r>
        <w:rPr>
          <w:rFonts w:hint="eastAsia"/>
          <w:color w:val="000000"/>
        </w:rPr>
        <w:t>部门新警员的</w:t>
      </w:r>
      <w:r>
        <w:rPr>
          <w:rFonts w:hint="eastAsia"/>
          <w:color w:val="000000"/>
        </w:rPr>
        <w:t>15</w:t>
      </w:r>
      <w:r>
        <w:rPr>
          <w:rFonts w:hint="eastAsia"/>
          <w:color w:val="000000"/>
        </w:rPr>
        <w:t>次人权培训课程（包括两次训练培训员课程）；针对社区警务队的四次培训课程和针对快速干预部队的四次培训课程；针对保护弱势人员股的三次培训课程；针对边境巡逻队的两次培训课程。</w:t>
      </w:r>
      <w:r>
        <w:rPr>
          <w:rStyle w:val="FootnoteReference"/>
          <w:bCs/>
          <w:color w:val="000000"/>
        </w:rPr>
        <w:footnoteReference w:id="131"/>
      </w:r>
    </w:p>
    <w:p w:rsidR="00692915" w:rsidRDefault="00692915" w:rsidP="009A1C1B">
      <w:pPr>
        <w:tabs>
          <w:tab w:val="left" w:pos="1170"/>
        </w:tabs>
        <w:spacing w:after="240"/>
        <w:ind w:firstLine="31680"/>
        <w:rPr>
          <w:rFonts w:hint="eastAsia"/>
          <w:color w:val="000000"/>
        </w:rPr>
      </w:pPr>
      <w:r>
        <w:rPr>
          <w:color w:val="000000"/>
        </w:rPr>
        <w:t>233.</w:t>
      </w:r>
      <w:r>
        <w:rPr>
          <w:color w:val="000000"/>
        </w:rPr>
        <w:tab/>
      </w:r>
      <w:r>
        <w:rPr>
          <w:rFonts w:hint="eastAsia"/>
          <w:color w:val="000000"/>
        </w:rPr>
        <w:t>目前，司法培训中心还处于初级阶段。作为中心的培训项目之一，该中心也为法官、检察官和公诉辩护人提供了为期一天的培训，内容涉及国际人权法。各联合国机构和无国界律师组织也进行了这类培训。后两个机构还就儿童与妇女权利以及被拘留人员权利等关键问题，为私人律师举办了研讨会。</w:t>
      </w:r>
    </w:p>
    <w:p w:rsidR="00692915" w:rsidRDefault="00692915">
      <w:pPr>
        <w:tabs>
          <w:tab w:val="left" w:pos="1170"/>
        </w:tabs>
        <w:spacing w:after="240"/>
        <w:ind w:firstLineChars="0" w:firstLine="0"/>
        <w:rPr>
          <w:rFonts w:hint="eastAsia"/>
          <w:bCs/>
          <w:color w:val="000000"/>
        </w:rPr>
      </w:pPr>
      <w:r>
        <w:rPr>
          <w:rFonts w:eastAsia="KaiTi_GB2312" w:hint="eastAsia"/>
          <w:color w:val="000000"/>
        </w:rPr>
        <w:t>非政府组织</w:t>
      </w:r>
    </w:p>
    <w:p w:rsidR="00692915" w:rsidRDefault="00692915" w:rsidP="009A1C1B">
      <w:pPr>
        <w:tabs>
          <w:tab w:val="left" w:pos="1170"/>
        </w:tabs>
        <w:ind w:firstLine="31680"/>
        <w:rPr>
          <w:rFonts w:hint="eastAsia"/>
          <w:bCs/>
          <w:color w:val="000000"/>
        </w:rPr>
      </w:pPr>
      <w:r>
        <w:rPr>
          <w:bCs/>
          <w:color w:val="000000"/>
        </w:rPr>
        <w:t>234.</w:t>
      </w:r>
      <w:r>
        <w:rPr>
          <w:bCs/>
          <w:color w:val="000000"/>
        </w:rPr>
        <w:tab/>
      </w:r>
      <w:r>
        <w:rPr>
          <w:rFonts w:hint="eastAsia"/>
          <w:bCs/>
          <w:color w:val="000000"/>
        </w:rPr>
        <w:t>由国家和地区政府机关组织的人权培训和研讨会一直邀请非政府组织代表参与，这些代表通常能从培训中受益。实际上，非政府组织有时与国家机构（如：</w:t>
      </w:r>
      <w:r>
        <w:rPr>
          <w:bCs/>
          <w:color w:val="000000"/>
        </w:rPr>
        <w:t>东帝汶国家警察</w:t>
      </w:r>
      <w:r>
        <w:rPr>
          <w:rFonts w:hint="eastAsia"/>
          <w:bCs/>
          <w:color w:val="000000"/>
        </w:rPr>
        <w:t>）一起合作为职员提供培训。</w:t>
      </w:r>
    </w:p>
    <w:p w:rsidR="00692915" w:rsidRDefault="00692915" w:rsidP="009A1C1B">
      <w:pPr>
        <w:tabs>
          <w:tab w:val="left" w:pos="1170"/>
        </w:tabs>
        <w:ind w:firstLine="31680"/>
        <w:rPr>
          <w:rFonts w:hint="eastAsia"/>
          <w:bCs/>
          <w:color w:val="000000"/>
        </w:rPr>
      </w:pPr>
      <w:r>
        <w:rPr>
          <w:bCs/>
          <w:color w:val="000000"/>
        </w:rPr>
        <w:t>235.</w:t>
      </w:r>
      <w:r>
        <w:rPr>
          <w:bCs/>
          <w:color w:val="000000"/>
        </w:rPr>
        <w:tab/>
      </w:r>
      <w:r>
        <w:rPr>
          <w:rFonts w:hint="eastAsia"/>
          <w:bCs/>
          <w:color w:val="000000"/>
        </w:rPr>
        <w:t>在此方面，政府与非政府组织之间建立了非常密切的关系，非政府组织积极参与了各种旨在制定国家行动计划和进行相关人权培训的活动，以及</w:t>
      </w:r>
      <w:r>
        <w:rPr>
          <w:bCs/>
          <w:color w:val="000000"/>
        </w:rPr>
        <w:t>促进平等事务总理顾问办公室</w:t>
      </w:r>
      <w:r>
        <w:rPr>
          <w:rFonts w:hint="eastAsia"/>
          <w:bCs/>
          <w:color w:val="000000"/>
        </w:rPr>
        <w:t>开展的各种活动。</w:t>
      </w:r>
    </w:p>
    <w:p w:rsidR="00692915" w:rsidRDefault="00692915" w:rsidP="009A1C1B">
      <w:pPr>
        <w:tabs>
          <w:tab w:val="left" w:pos="1170"/>
        </w:tabs>
        <w:ind w:firstLine="31680"/>
        <w:rPr>
          <w:rFonts w:hint="eastAsia"/>
          <w:bCs/>
          <w:color w:val="000000"/>
        </w:rPr>
      </w:pPr>
      <w:r>
        <w:rPr>
          <w:bCs/>
          <w:color w:val="000000"/>
        </w:rPr>
        <w:t>236.</w:t>
      </w:r>
      <w:r>
        <w:rPr>
          <w:bCs/>
          <w:color w:val="000000"/>
        </w:rPr>
        <w:tab/>
      </w:r>
      <w:r>
        <w:rPr>
          <w:rFonts w:hint="eastAsia"/>
          <w:bCs/>
          <w:color w:val="000000"/>
        </w:rPr>
        <w:t>最近几年，</w:t>
      </w:r>
      <w:r>
        <w:rPr>
          <w:bCs/>
          <w:color w:val="000000"/>
        </w:rPr>
        <w:t>促进平等事务总理顾问办公室</w:t>
      </w:r>
      <w:r>
        <w:rPr>
          <w:rFonts w:hint="eastAsia"/>
          <w:bCs/>
          <w:color w:val="000000"/>
        </w:rPr>
        <w:t>开展了广泛的宣传活动，并针对</w:t>
      </w:r>
      <w:r>
        <w:rPr>
          <w:bCs/>
          <w:color w:val="000000"/>
        </w:rPr>
        <w:t>《消除对妇女一切形式歧视公约》</w:t>
      </w:r>
      <w:r>
        <w:rPr>
          <w:rFonts w:hint="eastAsia"/>
          <w:bCs/>
          <w:color w:val="000000"/>
        </w:rPr>
        <w:t>举办了提高意识的培训活动和加强基本性别意识的培训活动，培训对象涉及：地方政府、非政府组织和妇女组织</w:t>
      </w:r>
      <w:r>
        <w:rPr>
          <w:rFonts w:ascii="SimHei" w:eastAsia="SimHei" w:hint="eastAsia"/>
          <w:bCs/>
          <w:color w:val="000000"/>
          <w:spacing w:val="0"/>
        </w:rPr>
        <w:t>——</w:t>
      </w:r>
      <w:r>
        <w:rPr>
          <w:rFonts w:hint="eastAsia"/>
          <w:bCs/>
          <w:color w:val="000000"/>
        </w:rPr>
        <w:t>如：东帝汶妇女大众组织（</w:t>
      </w:r>
      <w:r>
        <w:rPr>
          <w:bCs/>
          <w:color w:val="000000"/>
        </w:rPr>
        <w:t>OPMT</w:t>
      </w:r>
      <w:r>
        <w:rPr>
          <w:rFonts w:hint="eastAsia"/>
          <w:bCs/>
          <w:color w:val="000000"/>
        </w:rPr>
        <w:t>）、帝汶妇女组织（</w:t>
      </w:r>
      <w:r>
        <w:rPr>
          <w:bCs/>
          <w:color w:val="000000"/>
        </w:rPr>
        <w:t>OMT</w:t>
      </w:r>
      <w:r>
        <w:rPr>
          <w:rFonts w:hint="eastAsia"/>
          <w:bCs/>
          <w:color w:val="000000"/>
        </w:rPr>
        <w:t>）、东帝汶妇女通讯论坛、核心小组、东帝汶妇女网、司法系统监测方案（</w:t>
      </w:r>
      <w:r>
        <w:rPr>
          <w:rFonts w:hint="eastAsia"/>
          <w:bCs/>
          <w:color w:val="000000"/>
        </w:rPr>
        <w:t>JSMP</w:t>
      </w:r>
      <w:r>
        <w:rPr>
          <w:rFonts w:hint="eastAsia"/>
          <w:bCs/>
          <w:color w:val="000000"/>
        </w:rPr>
        <w:t>）、青年妇女合作组织（</w:t>
      </w:r>
      <w:r>
        <w:rPr>
          <w:bCs/>
          <w:color w:val="000000"/>
        </w:rPr>
        <w:t>FKSH</w:t>
      </w:r>
      <w:r>
        <w:rPr>
          <w:rFonts w:hint="eastAsia"/>
          <w:bCs/>
          <w:color w:val="000000"/>
        </w:rPr>
        <w:t>）、阿洛拉基金会、房地产组织，另外还涉及各教会团体的领导人、</w:t>
      </w:r>
      <w:r>
        <w:rPr>
          <w:rFonts w:eastAsia="KaiTi_GB2312" w:hint="eastAsia"/>
          <w:bCs/>
          <w:color w:val="000000"/>
        </w:rPr>
        <w:t>乡长</w:t>
      </w:r>
      <w:r>
        <w:rPr>
          <w:rFonts w:hint="eastAsia"/>
          <w:bCs/>
          <w:color w:val="000000"/>
        </w:rPr>
        <w:t>、青年与社区团体、联合国机构、东帝汶国家警察和媒体代表。其中很多培训都是在妇发基金关于</w:t>
      </w:r>
      <w:r>
        <w:rPr>
          <w:bCs/>
          <w:color w:val="000000"/>
        </w:rPr>
        <w:t>《消除对妇女一切形式歧视公约》</w:t>
      </w:r>
      <w:r>
        <w:rPr>
          <w:rFonts w:hint="eastAsia"/>
          <w:bCs/>
          <w:color w:val="000000"/>
        </w:rPr>
        <w:t>东南亚方案的合作下进行的。</w:t>
      </w:r>
    </w:p>
    <w:p w:rsidR="00692915" w:rsidRDefault="00692915" w:rsidP="009A1C1B">
      <w:pPr>
        <w:tabs>
          <w:tab w:val="left" w:pos="1170"/>
        </w:tabs>
        <w:ind w:firstLine="31680"/>
        <w:rPr>
          <w:rFonts w:hint="eastAsia"/>
          <w:bCs/>
          <w:color w:val="000000"/>
        </w:rPr>
      </w:pPr>
      <w:r>
        <w:rPr>
          <w:bCs/>
          <w:color w:val="000000"/>
        </w:rPr>
        <w:t>237.</w:t>
      </w:r>
      <w:r>
        <w:rPr>
          <w:bCs/>
          <w:color w:val="000000"/>
        </w:rPr>
        <w:tab/>
      </w:r>
      <w:r>
        <w:rPr>
          <w:rFonts w:hint="eastAsia"/>
          <w:bCs/>
          <w:color w:val="000000"/>
        </w:rPr>
        <w:t>这些研讨会主要是为了将主要利益攸关方召集在一起，以便为实现东帝汶的性别平等目标共同做出努力，为各种有关妇女歧视问题出谋划策，并确定真正实现妇女权利的相应战略。</w:t>
      </w:r>
    </w:p>
    <w:p w:rsidR="00692915" w:rsidRDefault="00692915" w:rsidP="009A1C1B">
      <w:pPr>
        <w:tabs>
          <w:tab w:val="left" w:pos="1170"/>
        </w:tabs>
        <w:ind w:firstLine="31680"/>
        <w:rPr>
          <w:rFonts w:hint="eastAsia"/>
          <w:bCs/>
          <w:color w:val="000000"/>
        </w:rPr>
      </w:pPr>
      <w:r>
        <w:rPr>
          <w:bCs/>
          <w:color w:val="000000"/>
        </w:rPr>
        <w:t>238.</w:t>
      </w:r>
      <w:r>
        <w:rPr>
          <w:bCs/>
          <w:color w:val="000000"/>
        </w:rPr>
        <w:tab/>
      </w:r>
      <w:r>
        <w:rPr>
          <w:rFonts w:hint="eastAsia"/>
          <w:bCs/>
          <w:color w:val="000000"/>
        </w:rPr>
        <w:t>在有关</w:t>
      </w:r>
      <w:r>
        <w:rPr>
          <w:bCs/>
          <w:color w:val="000000"/>
        </w:rPr>
        <w:t>《消除对妇女一切形式歧视公约》</w:t>
      </w:r>
      <w:r>
        <w:rPr>
          <w:rFonts w:hint="eastAsia"/>
          <w:bCs/>
          <w:color w:val="000000"/>
        </w:rPr>
        <w:t>的各项活动中，男性和女性都表现出浓厚的兴趣，并踊跃地参与了这些活动，在此过程中，参与者通常会提出深思熟虑的意见和信息反馈，这些意见已经纳入政府报告中。</w:t>
      </w:r>
    </w:p>
    <w:p w:rsidR="00692915" w:rsidRDefault="00692915" w:rsidP="009A1C1B">
      <w:pPr>
        <w:tabs>
          <w:tab w:val="left" w:pos="1170"/>
        </w:tabs>
        <w:ind w:firstLine="31680"/>
        <w:rPr>
          <w:rFonts w:hint="eastAsia"/>
          <w:bCs/>
          <w:color w:val="000000"/>
        </w:rPr>
      </w:pPr>
      <w:r>
        <w:rPr>
          <w:bCs/>
          <w:color w:val="000000"/>
        </w:rPr>
        <w:t>239.</w:t>
      </w:r>
      <w:r>
        <w:rPr>
          <w:bCs/>
          <w:color w:val="000000"/>
        </w:rPr>
        <w:tab/>
      </w:r>
      <w:r>
        <w:rPr>
          <w:rFonts w:hint="eastAsia"/>
          <w:bCs/>
          <w:color w:val="000000"/>
        </w:rPr>
        <w:t>所有参与者都一再要求</w:t>
      </w:r>
      <w:r>
        <w:rPr>
          <w:bCs/>
          <w:color w:val="000000"/>
        </w:rPr>
        <w:t>促进平等事务总理顾问办公室</w:t>
      </w:r>
      <w:r>
        <w:rPr>
          <w:rFonts w:hint="eastAsia"/>
          <w:bCs/>
          <w:color w:val="000000"/>
        </w:rPr>
        <w:t>更多地在全国，尤其是各地区和县进行</w:t>
      </w:r>
      <w:r>
        <w:rPr>
          <w:bCs/>
          <w:color w:val="000000"/>
        </w:rPr>
        <w:t>《消除对妇女一切形式歧视公约</w:t>
      </w:r>
      <w:r>
        <w:rPr>
          <w:rFonts w:hint="eastAsia"/>
          <w:bCs/>
          <w:color w:val="000000"/>
        </w:rPr>
        <w:t>》方面的培训。有关</w:t>
      </w:r>
      <w:r>
        <w:rPr>
          <w:bCs/>
          <w:color w:val="000000"/>
        </w:rPr>
        <w:t>《消除对妇女一切形式歧视公约》</w:t>
      </w:r>
      <w:r>
        <w:rPr>
          <w:rFonts w:hint="eastAsia"/>
          <w:bCs/>
          <w:color w:val="000000"/>
        </w:rPr>
        <w:t>的专门文件对这些培训有更详细的介绍。</w:t>
      </w:r>
    </w:p>
    <w:p w:rsidR="00692915" w:rsidRDefault="00692915" w:rsidP="009A1C1B">
      <w:pPr>
        <w:tabs>
          <w:tab w:val="left" w:pos="1170"/>
        </w:tabs>
        <w:spacing w:after="240"/>
        <w:ind w:firstLine="31680"/>
        <w:rPr>
          <w:rFonts w:hint="eastAsia"/>
          <w:color w:val="000000"/>
        </w:rPr>
      </w:pPr>
      <w:r>
        <w:rPr>
          <w:color w:val="000000"/>
        </w:rPr>
        <w:t>240.</w:t>
      </w:r>
      <w:r>
        <w:rPr>
          <w:color w:val="000000"/>
        </w:rPr>
        <w:tab/>
      </w:r>
      <w:r>
        <w:rPr>
          <w:rFonts w:hint="eastAsia"/>
          <w:color w:val="000000"/>
        </w:rPr>
        <w:t>联合国各特派团的人权股也为非政府组织、媒体、国家和地区政府机构举办了多达</w:t>
      </w:r>
      <w:r>
        <w:rPr>
          <w:rFonts w:hint="eastAsia"/>
          <w:color w:val="000000"/>
        </w:rPr>
        <w:t>35</w:t>
      </w:r>
      <w:r>
        <w:rPr>
          <w:rFonts w:hint="eastAsia"/>
          <w:color w:val="000000"/>
        </w:rPr>
        <w:t>次人权能力建设培训课程。其中的大多数培训项目由联合国人权事务高级专员办事处技术合作项目资助，包括</w:t>
      </w:r>
      <w:r>
        <w:rPr>
          <w:rFonts w:hint="eastAsia"/>
          <w:color w:val="000000"/>
        </w:rPr>
        <w:t>2003-2005</w:t>
      </w:r>
      <w:r>
        <w:rPr>
          <w:rFonts w:hint="eastAsia"/>
          <w:color w:val="000000"/>
        </w:rPr>
        <w:t>年期间进行的一系列全国“训练培训员”项目，这些培训专门针对儿童权利、妇女权利和存在心理健康问题者的权利问题，为各地区的人权捍卫者提供了培训。培训的目的是要建立一个有关人权问题的全国性人力资源基地，进行人权方面的培训和监测，建立有关人权的数据库。</w:t>
      </w:r>
    </w:p>
    <w:p w:rsidR="00692915" w:rsidRDefault="00692915">
      <w:pPr>
        <w:tabs>
          <w:tab w:val="left" w:pos="1170"/>
        </w:tabs>
        <w:spacing w:after="240"/>
        <w:ind w:firstLineChars="0" w:firstLine="0"/>
        <w:rPr>
          <w:rFonts w:eastAsia="KaiTi_GB2312" w:hint="eastAsia"/>
          <w:color w:val="000000"/>
        </w:rPr>
      </w:pPr>
      <w:r>
        <w:rPr>
          <w:rFonts w:eastAsia="KaiTi_GB2312" w:hint="eastAsia"/>
          <w:color w:val="000000"/>
        </w:rPr>
        <w:t>学校中的人权</w:t>
      </w:r>
    </w:p>
    <w:p w:rsidR="00692915" w:rsidRDefault="00692915" w:rsidP="009A1C1B">
      <w:pPr>
        <w:tabs>
          <w:tab w:val="left" w:pos="1170"/>
        </w:tabs>
        <w:ind w:firstLine="31680"/>
        <w:rPr>
          <w:rFonts w:hint="eastAsia"/>
          <w:bCs/>
          <w:color w:val="000000"/>
        </w:rPr>
      </w:pPr>
      <w:r>
        <w:rPr>
          <w:bCs/>
          <w:color w:val="000000"/>
        </w:rPr>
        <w:t>241.</w:t>
      </w:r>
      <w:r>
        <w:rPr>
          <w:bCs/>
          <w:color w:val="000000"/>
        </w:rPr>
        <w:tab/>
      </w:r>
      <w:r>
        <w:rPr>
          <w:rFonts w:hint="eastAsia"/>
          <w:bCs/>
          <w:color w:val="000000"/>
        </w:rPr>
        <w:t>人权教育是师资培训和学校课程的一部分，初中课程已经纳入了人权方面的内容，课时为每周一小时，但在目前，学校只对老师进行了培训。</w:t>
      </w:r>
    </w:p>
    <w:p w:rsidR="00692915" w:rsidRDefault="00692915" w:rsidP="009A1C1B">
      <w:pPr>
        <w:tabs>
          <w:tab w:val="left" w:pos="1170"/>
        </w:tabs>
        <w:ind w:firstLine="31680"/>
        <w:rPr>
          <w:rFonts w:hint="eastAsia"/>
          <w:bCs/>
          <w:color w:val="000000"/>
        </w:rPr>
      </w:pPr>
      <w:r>
        <w:rPr>
          <w:bCs/>
          <w:color w:val="000000"/>
        </w:rPr>
        <w:t>242.</w:t>
      </w:r>
      <w:r>
        <w:rPr>
          <w:bCs/>
          <w:color w:val="000000"/>
        </w:rPr>
        <w:tab/>
      </w:r>
      <w:r>
        <w:rPr>
          <w:rFonts w:hint="eastAsia"/>
          <w:bCs/>
          <w:color w:val="000000"/>
        </w:rPr>
        <w:t>2002</w:t>
      </w:r>
      <w:r>
        <w:rPr>
          <w:rFonts w:hint="eastAsia"/>
          <w:bCs/>
          <w:color w:val="000000"/>
        </w:rPr>
        <w:t>年，教育与青年部建立了一个师资培训中心，培训项目分三部分，内容包括方法论路径、物理、化学和社会问题。培训是在一些重要的民间组织合作下进行的，包括儿童基金会、联合国特派团人权股、东帝汶援助组织和其他机构。例如，</w:t>
      </w:r>
      <w:r>
        <w:rPr>
          <w:bCs/>
          <w:color w:val="000000"/>
        </w:rPr>
        <w:t>东帝汶支助团</w:t>
      </w:r>
      <w:r>
        <w:rPr>
          <w:rFonts w:hint="eastAsia"/>
          <w:bCs/>
          <w:color w:val="000000"/>
        </w:rPr>
        <w:t>人权股为</w:t>
      </w:r>
      <w:r>
        <w:rPr>
          <w:rFonts w:hint="eastAsia"/>
          <w:bCs/>
          <w:color w:val="000000"/>
        </w:rPr>
        <w:t>9</w:t>
      </w:r>
      <w:r>
        <w:rPr>
          <w:rFonts w:hint="eastAsia"/>
          <w:bCs/>
          <w:color w:val="000000"/>
        </w:rPr>
        <w:t>个地区的</w:t>
      </w:r>
      <w:r>
        <w:rPr>
          <w:rFonts w:hint="eastAsia"/>
          <w:bCs/>
          <w:color w:val="000000"/>
        </w:rPr>
        <w:t>300</w:t>
      </w:r>
      <w:r>
        <w:rPr>
          <w:rFonts w:hint="eastAsia"/>
          <w:bCs/>
          <w:color w:val="000000"/>
        </w:rPr>
        <w:t>名教师举办了</w:t>
      </w:r>
      <w:r>
        <w:rPr>
          <w:rFonts w:hint="eastAsia"/>
          <w:bCs/>
          <w:color w:val="000000"/>
        </w:rPr>
        <w:t>6</w:t>
      </w:r>
      <w:r>
        <w:rPr>
          <w:rFonts w:hint="eastAsia"/>
          <w:bCs/>
          <w:color w:val="000000"/>
        </w:rPr>
        <w:t>次教师培训研讨会，内容涉及儿童权利和作为学校纪律处分形式之一的体罚。人权股还为各团体进行了</w:t>
      </w:r>
      <w:r>
        <w:rPr>
          <w:rFonts w:hint="eastAsia"/>
          <w:bCs/>
          <w:color w:val="000000"/>
        </w:rPr>
        <w:t>4</w:t>
      </w:r>
      <w:r>
        <w:rPr>
          <w:rFonts w:hint="eastAsia"/>
          <w:bCs/>
          <w:color w:val="000000"/>
        </w:rPr>
        <w:t>期培训，培训对象包括学生和教师，内容涉及酷刑、基于性别的暴力、儿童权利、经济、社会和文化权利。</w:t>
      </w:r>
    </w:p>
    <w:p w:rsidR="00692915" w:rsidRDefault="00692915" w:rsidP="009A1C1B">
      <w:pPr>
        <w:tabs>
          <w:tab w:val="left" w:pos="1170"/>
        </w:tabs>
        <w:ind w:firstLine="31680"/>
        <w:rPr>
          <w:rFonts w:hint="eastAsia"/>
          <w:color w:val="000000"/>
        </w:rPr>
      </w:pPr>
      <w:r>
        <w:rPr>
          <w:color w:val="000000"/>
        </w:rPr>
        <w:t>243.</w:t>
      </w:r>
      <w:r>
        <w:rPr>
          <w:rFonts w:hint="eastAsia"/>
          <w:color w:val="000000"/>
        </w:rPr>
        <w:t>儿童权利问题也被特别纳入“</w:t>
      </w:r>
      <w:r>
        <w:rPr>
          <w:rFonts w:hint="eastAsia"/>
          <w:color w:val="000000"/>
        </w:rPr>
        <w:t>100</w:t>
      </w:r>
      <w:r>
        <w:rPr>
          <w:rFonts w:hint="eastAsia"/>
          <w:color w:val="000000"/>
        </w:rPr>
        <w:t>所友好学校”项目之中，该项目由教育与青年部在儿童基金会支持下实施，项目对象主要包括地区警务专员和小学教师。</w:t>
      </w:r>
    </w:p>
    <w:p w:rsidR="00692915" w:rsidRDefault="00692915" w:rsidP="009A1C1B">
      <w:pPr>
        <w:tabs>
          <w:tab w:val="left" w:pos="1170"/>
        </w:tabs>
        <w:spacing w:after="240"/>
        <w:ind w:firstLine="31680"/>
        <w:rPr>
          <w:rFonts w:hint="eastAsia"/>
          <w:color w:val="000000"/>
        </w:rPr>
      </w:pPr>
      <w:r>
        <w:rPr>
          <w:color w:val="000000"/>
        </w:rPr>
        <w:t>244.</w:t>
      </w:r>
      <w:r>
        <w:rPr>
          <w:rFonts w:hint="eastAsia"/>
          <w:color w:val="000000"/>
        </w:rPr>
        <w:t xml:space="preserve"> </w:t>
      </w:r>
      <w:r>
        <w:rPr>
          <w:rFonts w:hint="eastAsia"/>
          <w:color w:val="000000"/>
        </w:rPr>
        <w:t>政府尚未对学校课程中的人权内容进行细化，但目前已经开始关注这一问题。在联合国人权干事的支持下，该计划有望在</w:t>
      </w:r>
      <w:r>
        <w:rPr>
          <w:rFonts w:hint="eastAsia"/>
          <w:color w:val="000000"/>
        </w:rPr>
        <w:t>2006</w:t>
      </w:r>
      <w:r>
        <w:rPr>
          <w:rFonts w:hint="eastAsia"/>
          <w:color w:val="000000"/>
        </w:rPr>
        <w:t>年末完成。</w:t>
      </w:r>
    </w:p>
    <w:p w:rsidR="00692915" w:rsidRDefault="00692915">
      <w:pPr>
        <w:tabs>
          <w:tab w:val="left" w:pos="1170"/>
        </w:tabs>
        <w:spacing w:after="240"/>
        <w:ind w:firstLineChars="0" w:firstLine="0"/>
        <w:rPr>
          <w:rFonts w:eastAsia="KaiTi_GB2312" w:hint="eastAsia"/>
          <w:color w:val="000000"/>
        </w:rPr>
      </w:pPr>
      <w:r>
        <w:rPr>
          <w:rFonts w:eastAsia="KaiTi_GB2312" w:hint="eastAsia"/>
          <w:color w:val="000000"/>
        </w:rPr>
        <w:t>性别意识教育</w:t>
      </w:r>
    </w:p>
    <w:p w:rsidR="00692915" w:rsidRDefault="00692915" w:rsidP="009A1C1B">
      <w:pPr>
        <w:tabs>
          <w:tab w:val="left" w:pos="1170"/>
        </w:tabs>
        <w:ind w:firstLine="31680"/>
        <w:rPr>
          <w:rFonts w:hint="eastAsia"/>
          <w:iCs/>
          <w:color w:val="000000"/>
        </w:rPr>
      </w:pPr>
      <w:r>
        <w:rPr>
          <w:iCs/>
          <w:color w:val="000000"/>
        </w:rPr>
        <w:t>245.</w:t>
      </w:r>
      <w:r>
        <w:rPr>
          <w:iCs/>
          <w:color w:val="000000"/>
        </w:rPr>
        <w:tab/>
      </w:r>
      <w:r>
        <w:rPr>
          <w:rFonts w:hint="eastAsia"/>
          <w:iCs/>
          <w:color w:val="000000"/>
        </w:rPr>
        <w:t>关于性别意识方面的教育，</w:t>
      </w:r>
      <w:r>
        <w:rPr>
          <w:iCs/>
          <w:color w:val="000000"/>
        </w:rPr>
        <w:t>促进平等事务总理顾问办公室</w:t>
      </w:r>
      <w:r>
        <w:rPr>
          <w:rFonts w:hint="eastAsia"/>
          <w:iCs/>
          <w:color w:val="000000"/>
        </w:rPr>
        <w:t>正在与教育、文化、青年和体育部一起合作，以便将性别和公民教育纳入学校课程。</w:t>
      </w:r>
      <w:r>
        <w:rPr>
          <w:iCs/>
          <w:color w:val="000000"/>
        </w:rPr>
        <w:t>促进平等事务总理顾问办公室</w:t>
      </w:r>
      <w:r>
        <w:rPr>
          <w:rFonts w:hint="eastAsia"/>
          <w:iCs/>
          <w:color w:val="000000"/>
        </w:rPr>
        <w:t>定期向中小学和大学印发信息公报（每个季度</w:t>
      </w:r>
      <w:r>
        <w:rPr>
          <w:rFonts w:hint="eastAsia"/>
          <w:iCs/>
          <w:color w:val="000000"/>
        </w:rPr>
        <w:t>1</w:t>
      </w:r>
      <w:r>
        <w:rPr>
          <w:rFonts w:hint="eastAsia"/>
          <w:iCs/>
          <w:color w:val="000000"/>
        </w:rPr>
        <w:t>，</w:t>
      </w:r>
      <w:r>
        <w:rPr>
          <w:rFonts w:hint="eastAsia"/>
          <w:iCs/>
          <w:color w:val="000000"/>
        </w:rPr>
        <w:t>000</w:t>
      </w:r>
      <w:r>
        <w:rPr>
          <w:rFonts w:hint="eastAsia"/>
          <w:iCs/>
          <w:color w:val="000000"/>
        </w:rPr>
        <w:t>份），目前正在与开发计划署一起编制旨在提高性别意识的教师手册。该办公室还向所有地区和县，以及几乎所有的学校印发有关性别平等的小册子和海报。但由于该办公室的资金有限，无法印发足够数量的材料，因此，有些学校尚未收到这些材料。</w:t>
      </w:r>
    </w:p>
    <w:p w:rsidR="00692915" w:rsidRDefault="00692915" w:rsidP="009A1C1B">
      <w:pPr>
        <w:tabs>
          <w:tab w:val="left" w:pos="1170"/>
        </w:tabs>
        <w:ind w:firstLine="31680"/>
        <w:rPr>
          <w:rFonts w:hint="eastAsia"/>
          <w:iCs/>
          <w:color w:val="000000"/>
        </w:rPr>
      </w:pPr>
      <w:r>
        <w:rPr>
          <w:iCs/>
          <w:color w:val="000000"/>
        </w:rPr>
        <w:t>246.</w:t>
      </w:r>
      <w:r>
        <w:rPr>
          <w:iCs/>
          <w:color w:val="000000"/>
        </w:rPr>
        <w:tab/>
      </w:r>
      <w:r>
        <w:rPr>
          <w:rFonts w:hint="eastAsia"/>
          <w:iCs/>
          <w:color w:val="000000"/>
        </w:rPr>
        <w:t>在学校的要求下，</w:t>
      </w:r>
      <w:r>
        <w:rPr>
          <w:iCs/>
          <w:color w:val="000000"/>
        </w:rPr>
        <w:t>促进平等事务总理顾问办公室</w:t>
      </w:r>
      <w:r>
        <w:rPr>
          <w:rFonts w:hint="eastAsia"/>
          <w:iCs/>
          <w:color w:val="000000"/>
        </w:rPr>
        <w:t>还特地为包考、劳滕和文尼雷尔等地区的中学预科学生和中学生进行了性别意识教育。培训主要采取“问答”形式。</w:t>
      </w:r>
    </w:p>
    <w:p w:rsidR="00692915" w:rsidRDefault="00692915" w:rsidP="009A1C1B">
      <w:pPr>
        <w:tabs>
          <w:tab w:val="left" w:pos="1170"/>
        </w:tabs>
        <w:ind w:firstLine="31680"/>
        <w:rPr>
          <w:rFonts w:hint="eastAsia"/>
          <w:iCs/>
          <w:color w:val="000000"/>
        </w:rPr>
      </w:pPr>
      <w:r>
        <w:rPr>
          <w:iCs/>
          <w:color w:val="000000"/>
        </w:rPr>
        <w:t>247.</w:t>
      </w:r>
      <w:r>
        <w:rPr>
          <w:iCs/>
          <w:color w:val="000000"/>
        </w:rPr>
        <w:tab/>
      </w:r>
      <w:r>
        <w:rPr>
          <w:rFonts w:hint="eastAsia"/>
          <w:iCs/>
          <w:color w:val="000000"/>
        </w:rPr>
        <w:t>2005</w:t>
      </w:r>
      <w:r>
        <w:rPr>
          <w:rFonts w:hint="eastAsia"/>
          <w:iCs/>
          <w:color w:val="000000"/>
        </w:rPr>
        <w:t>年，</w:t>
      </w:r>
      <w:r>
        <w:rPr>
          <w:iCs/>
          <w:color w:val="000000"/>
        </w:rPr>
        <w:t>妇发基金</w:t>
      </w:r>
      <w:r>
        <w:rPr>
          <w:rFonts w:hint="eastAsia"/>
          <w:bCs/>
          <w:color w:val="000000"/>
        </w:rPr>
        <w:t>关于《消除对妇女一切形式歧视公约》的东南亚（</w:t>
      </w:r>
      <w:r>
        <w:rPr>
          <w:bCs/>
          <w:color w:val="000000"/>
        </w:rPr>
        <w:t>SEA</w:t>
      </w:r>
      <w:r>
        <w:rPr>
          <w:rFonts w:hint="eastAsia"/>
          <w:bCs/>
          <w:color w:val="000000"/>
        </w:rPr>
        <w:t>）方案创建了“</w:t>
      </w:r>
      <w:r>
        <w:rPr>
          <w:iCs/>
          <w:color w:val="000000"/>
        </w:rPr>
        <w:t>《消除对妇女一切形式歧视公约》</w:t>
      </w:r>
      <w:r>
        <w:rPr>
          <w:rFonts w:hint="eastAsia"/>
          <w:iCs/>
          <w:color w:val="000000"/>
        </w:rPr>
        <w:t>表演艺术团项目”，该项目由一个包括</w:t>
      </w:r>
      <w:r>
        <w:rPr>
          <w:rFonts w:hint="eastAsia"/>
          <w:iCs/>
          <w:color w:val="000000"/>
        </w:rPr>
        <w:t>12</w:t>
      </w:r>
      <w:r>
        <w:rPr>
          <w:rFonts w:hint="eastAsia"/>
          <w:iCs/>
          <w:color w:val="000000"/>
        </w:rPr>
        <w:t>名青年、名为“马缰（</w:t>
      </w:r>
      <w:r>
        <w:rPr>
          <w:iCs/>
          <w:color w:val="000000"/>
        </w:rPr>
        <w:t>Kuda Talin</w:t>
      </w:r>
      <w:r>
        <w:rPr>
          <w:rFonts w:hint="eastAsia"/>
          <w:iCs/>
          <w:color w:val="000000"/>
        </w:rPr>
        <w:t>）”的舞蹈团对</w:t>
      </w:r>
      <w:r>
        <w:rPr>
          <w:iCs/>
          <w:color w:val="000000"/>
        </w:rPr>
        <w:t>《消除对妇女一切形式歧视公约》</w:t>
      </w:r>
      <w:r>
        <w:rPr>
          <w:rFonts w:hint="eastAsia"/>
          <w:iCs/>
          <w:color w:val="000000"/>
        </w:rPr>
        <w:t>进行研究，然后编出舞蹈剧目和戏剧小品，以便向城乡有文化和无文化的观众解释《公约》的实质性条款。该艺术团的培训在空地上进行，四周没有围墙，因此当地的住户可以前往观看诸如家庭暴力之类的表演。在看到有关家庭暴力的舞蹈时，观众往往是一笑了之，主要是因为他们对这一题材感到不自在。到目前为止，观看这些表演的主要是儿童、青年团体、地方社区和东帝汶国家警察。</w:t>
      </w:r>
      <w:r>
        <w:rPr>
          <w:iCs/>
          <w:color w:val="000000"/>
        </w:rPr>
        <w:t>促进平等事务总理顾问办公室</w:t>
      </w:r>
      <w:r>
        <w:rPr>
          <w:rFonts w:hint="eastAsia"/>
          <w:iCs/>
          <w:color w:val="000000"/>
        </w:rPr>
        <w:t>打算利用该表演团进一步进行有关</w:t>
      </w:r>
      <w:r>
        <w:rPr>
          <w:iCs/>
          <w:color w:val="000000"/>
        </w:rPr>
        <w:t>《消除对妇女一切形式歧视公约》</w:t>
      </w:r>
      <w:r>
        <w:rPr>
          <w:rFonts w:hint="eastAsia"/>
          <w:iCs/>
          <w:color w:val="000000"/>
        </w:rPr>
        <w:t>方面的培训。</w:t>
      </w:r>
    </w:p>
    <w:p w:rsidR="00692915" w:rsidRDefault="00692915" w:rsidP="009A1C1B">
      <w:pPr>
        <w:tabs>
          <w:tab w:val="left" w:pos="1170"/>
        </w:tabs>
        <w:spacing w:after="240"/>
        <w:ind w:firstLine="31680"/>
        <w:rPr>
          <w:rFonts w:hint="eastAsia"/>
          <w:iCs/>
          <w:color w:val="000000"/>
        </w:rPr>
      </w:pPr>
      <w:r>
        <w:rPr>
          <w:iCs/>
          <w:color w:val="000000"/>
        </w:rPr>
        <w:t>248.</w:t>
      </w:r>
      <w:r>
        <w:rPr>
          <w:iCs/>
          <w:color w:val="000000"/>
        </w:rPr>
        <w:tab/>
      </w:r>
      <w:r>
        <w:rPr>
          <w:rFonts w:hint="eastAsia"/>
          <w:iCs/>
          <w:color w:val="000000"/>
        </w:rPr>
        <w:t>为提高教师和学生对人权原则的意识，已经提出建议要求开展各种教育活动。目前，这些大多是即兴式的活动，而不是制度化的系统活动。因此，对于为教师提供的人权教育项目，</w:t>
      </w:r>
      <w:r>
        <w:rPr>
          <w:rFonts w:hint="eastAsia"/>
          <w:color w:val="000000"/>
        </w:rPr>
        <w:t>目前</w:t>
      </w:r>
      <w:r>
        <w:rPr>
          <w:rFonts w:hint="eastAsia"/>
          <w:iCs/>
          <w:color w:val="000000"/>
        </w:rPr>
        <w:t>尚无法提供有关其性质、程度和成功与否的详细信息，包括无法详细提供诸如性别、种族和宗教容忍以及残疾人权利之类的专门信息。</w:t>
      </w:r>
    </w:p>
    <w:p w:rsidR="00692915" w:rsidRDefault="00692915">
      <w:pPr>
        <w:pStyle w:val="Heading2"/>
        <w:tabs>
          <w:tab w:val="left" w:pos="520"/>
          <w:tab w:val="left" w:pos="1170"/>
        </w:tabs>
        <w:jc w:val="both"/>
        <w:rPr>
          <w:rFonts w:hint="eastAsia"/>
          <w:color w:val="000000"/>
          <w:sz w:val="24"/>
        </w:rPr>
      </w:pPr>
      <w:bookmarkStart w:id="58" w:name="_Toc150514950"/>
      <w:bookmarkStart w:id="59" w:name="_Toc150684853"/>
      <w:r>
        <w:rPr>
          <w:color w:val="000000"/>
          <w:sz w:val="24"/>
        </w:rPr>
        <w:t xml:space="preserve">7. </w:t>
      </w:r>
      <w:bookmarkEnd w:id="58"/>
      <w:bookmarkEnd w:id="59"/>
      <w:r>
        <w:rPr>
          <w:color w:val="000000"/>
          <w:sz w:val="24"/>
        </w:rPr>
        <w:tab/>
      </w:r>
      <w:r>
        <w:rPr>
          <w:rFonts w:hint="eastAsia"/>
          <w:color w:val="000000"/>
          <w:sz w:val="24"/>
          <w:u w:val="single"/>
        </w:rPr>
        <w:t>媒体与公共信息宣传</w:t>
      </w:r>
    </w:p>
    <w:p w:rsidR="00692915" w:rsidRDefault="00692915" w:rsidP="009A1C1B">
      <w:pPr>
        <w:tabs>
          <w:tab w:val="left" w:pos="1170"/>
        </w:tabs>
        <w:ind w:firstLine="31680"/>
        <w:rPr>
          <w:rFonts w:hint="eastAsia"/>
          <w:bCs/>
          <w:color w:val="000000"/>
        </w:rPr>
      </w:pPr>
      <w:r>
        <w:rPr>
          <w:bCs/>
          <w:color w:val="000000"/>
        </w:rPr>
        <w:t>249.</w:t>
      </w:r>
      <w:r>
        <w:rPr>
          <w:bCs/>
          <w:color w:val="000000"/>
        </w:rPr>
        <w:tab/>
      </w:r>
      <w:r>
        <w:rPr>
          <w:rFonts w:hint="eastAsia"/>
          <w:bCs/>
          <w:color w:val="000000"/>
        </w:rPr>
        <w:t>在东帝汶，一系列的问题给信息传播机制和媒体机构带来了严重障碍，如：媒体的硬件基础设施历来不发达；很多社区的地理位置偏僻（无论是对于印刷媒体的发行，还是收音机</w:t>
      </w:r>
      <w:r>
        <w:rPr>
          <w:rFonts w:hint="eastAsia"/>
          <w:bCs/>
          <w:color w:val="000000"/>
        </w:rPr>
        <w:t>/</w:t>
      </w:r>
      <w:r>
        <w:rPr>
          <w:rFonts w:hint="eastAsia"/>
          <w:bCs/>
          <w:color w:val="000000"/>
        </w:rPr>
        <w:t>电视接收都是如此）；广播技术比较缺乏；文盲率很高；贫困给家庭带来的影响，限制了大众对媒体服务的使用；缺乏规范媒体的法律框架等。</w:t>
      </w:r>
    </w:p>
    <w:p w:rsidR="00692915" w:rsidRDefault="00692915" w:rsidP="009A1C1B">
      <w:pPr>
        <w:tabs>
          <w:tab w:val="left" w:pos="1170"/>
        </w:tabs>
        <w:ind w:firstLine="31680"/>
        <w:rPr>
          <w:rFonts w:hint="eastAsia"/>
          <w:bCs/>
          <w:color w:val="000000"/>
        </w:rPr>
      </w:pPr>
      <w:r>
        <w:rPr>
          <w:bCs/>
          <w:color w:val="000000"/>
        </w:rPr>
        <w:t>250.</w:t>
      </w:r>
      <w:r>
        <w:rPr>
          <w:bCs/>
          <w:color w:val="000000"/>
        </w:rPr>
        <w:tab/>
      </w:r>
      <w:r>
        <w:rPr>
          <w:rFonts w:hint="eastAsia"/>
          <w:bCs/>
          <w:color w:val="000000"/>
        </w:rPr>
        <w:t>不过，尽管面临着各种问题，东帝汶仍然有众多的媒体和公共信息机构、无线通讯和印刷媒体为国家提供了基本的通讯手段。根据亚洲基金会</w:t>
      </w:r>
      <w:r>
        <w:rPr>
          <w:rFonts w:hint="eastAsia"/>
          <w:bCs/>
          <w:color w:val="000000"/>
        </w:rPr>
        <w:t>2001</w:t>
      </w:r>
      <w:r>
        <w:rPr>
          <w:rFonts w:hint="eastAsia"/>
          <w:bCs/>
          <w:color w:val="000000"/>
        </w:rPr>
        <w:t>年的一份报告，使用最普遍的媒体是收音机，听众占人口的</w:t>
      </w:r>
      <w:r>
        <w:rPr>
          <w:rFonts w:hint="eastAsia"/>
          <w:bCs/>
          <w:color w:val="000000"/>
        </w:rPr>
        <w:t>60%</w:t>
      </w:r>
      <w:r>
        <w:rPr>
          <w:rFonts w:hint="eastAsia"/>
          <w:bCs/>
          <w:color w:val="000000"/>
        </w:rPr>
        <w:t>。媒体传播的主要语言是德顿语和印度尼西亚语：大约有</w:t>
      </w:r>
      <w:r>
        <w:rPr>
          <w:rFonts w:hint="eastAsia"/>
          <w:bCs/>
          <w:color w:val="000000"/>
        </w:rPr>
        <w:t>76-99%</w:t>
      </w:r>
      <w:r>
        <w:rPr>
          <w:rFonts w:hint="eastAsia"/>
          <w:bCs/>
          <w:color w:val="000000"/>
        </w:rPr>
        <w:t>的受众懂这些语言，葡萄牙语位居第三（</w:t>
      </w:r>
      <w:r>
        <w:rPr>
          <w:rFonts w:hint="eastAsia"/>
          <w:bCs/>
          <w:color w:val="000000"/>
        </w:rPr>
        <w:t>18-23%</w:t>
      </w:r>
      <w:r>
        <w:rPr>
          <w:rFonts w:hint="eastAsia"/>
          <w:bCs/>
          <w:color w:val="000000"/>
        </w:rPr>
        <w:t>），英语排名最后（</w:t>
      </w:r>
      <w:r>
        <w:rPr>
          <w:rFonts w:hint="eastAsia"/>
          <w:bCs/>
          <w:color w:val="000000"/>
        </w:rPr>
        <w:t>4-6%</w:t>
      </w:r>
      <w:r>
        <w:rPr>
          <w:rFonts w:hint="eastAsia"/>
          <w:bCs/>
          <w:color w:val="000000"/>
        </w:rPr>
        <w:t>）。</w:t>
      </w:r>
      <w:r>
        <w:rPr>
          <w:rStyle w:val="FootnoteReference"/>
          <w:bCs/>
          <w:color w:val="000000"/>
        </w:rPr>
        <w:footnoteReference w:id="132"/>
      </w:r>
    </w:p>
    <w:p w:rsidR="00692915" w:rsidRDefault="00692915" w:rsidP="009A1C1B">
      <w:pPr>
        <w:tabs>
          <w:tab w:val="left" w:pos="1170"/>
        </w:tabs>
        <w:ind w:firstLine="31680"/>
        <w:rPr>
          <w:rFonts w:hint="eastAsia"/>
          <w:bCs/>
          <w:color w:val="000000"/>
        </w:rPr>
      </w:pPr>
      <w:r>
        <w:rPr>
          <w:bCs/>
          <w:color w:val="000000"/>
        </w:rPr>
        <w:t>251.</w:t>
      </w:r>
      <w:r>
        <w:rPr>
          <w:bCs/>
          <w:color w:val="000000"/>
        </w:rPr>
        <w:tab/>
      </w:r>
      <w:r>
        <w:rPr>
          <w:rFonts w:hint="eastAsia"/>
          <w:bCs/>
          <w:color w:val="000000"/>
        </w:rPr>
        <w:t>东帝汶未来媒体发展将面临着很多挑战，主要包括：</w:t>
      </w:r>
    </w:p>
    <w:p w:rsidR="00692915" w:rsidRDefault="00692915" w:rsidP="009A1C1B">
      <w:pPr>
        <w:numPr>
          <w:ilvl w:val="0"/>
          <w:numId w:val="15"/>
        </w:numPr>
        <w:tabs>
          <w:tab w:val="clear" w:pos="1080"/>
          <w:tab w:val="left" w:pos="1690"/>
        </w:tabs>
        <w:ind w:leftChars="450" w:left="31680" w:hangingChars="200" w:firstLine="31680"/>
        <w:rPr>
          <w:bCs/>
          <w:color w:val="000000"/>
        </w:rPr>
      </w:pPr>
      <w:r>
        <w:rPr>
          <w:rFonts w:hint="eastAsia"/>
          <w:bCs/>
          <w:color w:val="000000"/>
        </w:rPr>
        <w:t>在经济极其困难的情况下，保持经济活力；</w:t>
      </w:r>
    </w:p>
    <w:p w:rsidR="00692915" w:rsidRDefault="00692915" w:rsidP="009A1C1B">
      <w:pPr>
        <w:numPr>
          <w:ilvl w:val="0"/>
          <w:numId w:val="15"/>
        </w:numPr>
        <w:tabs>
          <w:tab w:val="clear" w:pos="1080"/>
          <w:tab w:val="left" w:pos="1690"/>
        </w:tabs>
        <w:ind w:leftChars="450" w:left="31680" w:hangingChars="200" w:firstLine="31680"/>
        <w:rPr>
          <w:bCs/>
          <w:color w:val="000000"/>
        </w:rPr>
      </w:pPr>
      <w:r>
        <w:rPr>
          <w:rFonts w:hint="eastAsia"/>
          <w:bCs/>
          <w:color w:val="000000"/>
        </w:rPr>
        <w:t>克服专业技术、技术诀窍和设备维护方面持续存在的差距；</w:t>
      </w:r>
    </w:p>
    <w:p w:rsidR="00692915" w:rsidRDefault="00692915" w:rsidP="009A1C1B">
      <w:pPr>
        <w:numPr>
          <w:ilvl w:val="0"/>
          <w:numId w:val="15"/>
        </w:numPr>
        <w:tabs>
          <w:tab w:val="clear" w:pos="1080"/>
          <w:tab w:val="left" w:pos="1690"/>
        </w:tabs>
        <w:ind w:leftChars="450" w:left="31680" w:hangingChars="200" w:firstLine="31680"/>
        <w:rPr>
          <w:bCs/>
          <w:color w:val="000000"/>
        </w:rPr>
      </w:pPr>
      <w:r>
        <w:rPr>
          <w:rFonts w:hint="eastAsia"/>
          <w:bCs/>
          <w:color w:val="000000"/>
        </w:rPr>
        <w:t>本着准确和不偏颇的分析原则，对政治事件及过程，包括政府责任、议会和司法制度进行报道；</w:t>
      </w:r>
    </w:p>
    <w:p w:rsidR="00692915" w:rsidRDefault="00692915" w:rsidP="009A1C1B">
      <w:pPr>
        <w:numPr>
          <w:ilvl w:val="0"/>
          <w:numId w:val="15"/>
        </w:numPr>
        <w:tabs>
          <w:tab w:val="clear" w:pos="1080"/>
          <w:tab w:val="left" w:pos="1690"/>
        </w:tabs>
        <w:ind w:leftChars="450" w:left="31680" w:hangingChars="200" w:firstLine="31680"/>
        <w:rPr>
          <w:bCs/>
          <w:color w:val="000000"/>
        </w:rPr>
      </w:pPr>
      <w:r>
        <w:rPr>
          <w:rFonts w:hint="eastAsia"/>
          <w:bCs/>
          <w:color w:val="000000"/>
        </w:rPr>
        <w:t>确保国家新闻能够传播到各地区，而对国家具有重要意义的地区新闻能够反馈到首都；</w:t>
      </w:r>
      <w:r>
        <w:rPr>
          <w:bCs/>
          <w:color w:val="000000"/>
          <w:vertAlign w:val="superscript"/>
        </w:rPr>
        <w:footnoteReference w:id="133"/>
      </w:r>
      <w:r>
        <w:rPr>
          <w:rFonts w:hint="eastAsia"/>
          <w:bCs/>
          <w:color w:val="000000"/>
        </w:rPr>
        <w:t>以及</w:t>
      </w:r>
    </w:p>
    <w:p w:rsidR="00692915" w:rsidRDefault="00692915" w:rsidP="009A1C1B">
      <w:pPr>
        <w:numPr>
          <w:ilvl w:val="0"/>
          <w:numId w:val="15"/>
        </w:numPr>
        <w:tabs>
          <w:tab w:val="clear" w:pos="1080"/>
          <w:tab w:val="left" w:pos="1690"/>
        </w:tabs>
        <w:spacing w:after="240"/>
        <w:ind w:leftChars="450" w:left="31680" w:hangingChars="200" w:firstLine="31680"/>
        <w:rPr>
          <w:bCs/>
          <w:color w:val="000000"/>
        </w:rPr>
      </w:pPr>
      <w:r>
        <w:rPr>
          <w:rFonts w:hint="eastAsia"/>
          <w:bCs/>
          <w:color w:val="000000"/>
        </w:rPr>
        <w:t>倡导言论自由，但需要遵守为新刑法提议的有关诽谤罪的规定，尤其是有关政治领导、宗教领袖和政府机构的相关规定。</w:t>
      </w:r>
    </w:p>
    <w:p w:rsidR="00692915" w:rsidRDefault="00692915" w:rsidP="009A1C1B">
      <w:pPr>
        <w:tabs>
          <w:tab w:val="left" w:pos="1170"/>
        </w:tabs>
        <w:ind w:firstLine="31680"/>
        <w:rPr>
          <w:rFonts w:hint="eastAsia"/>
          <w:bCs/>
          <w:color w:val="000000"/>
        </w:rPr>
      </w:pPr>
      <w:r>
        <w:rPr>
          <w:bCs/>
          <w:color w:val="000000"/>
        </w:rPr>
        <w:t>252.</w:t>
      </w:r>
      <w:r>
        <w:rPr>
          <w:bCs/>
          <w:color w:val="000000"/>
        </w:rPr>
        <w:tab/>
      </w:r>
      <w:r>
        <w:rPr>
          <w:rFonts w:hint="eastAsia"/>
          <w:bCs/>
          <w:color w:val="000000"/>
        </w:rPr>
        <w:t>东帝汶的广播电视活动由国家广播委员会监管，该委员会的成员包括政府代表、媒体专业人士和民间社会代表。</w:t>
      </w:r>
    </w:p>
    <w:p w:rsidR="00692915" w:rsidRDefault="00692915" w:rsidP="009A1C1B">
      <w:pPr>
        <w:tabs>
          <w:tab w:val="left" w:pos="1170"/>
        </w:tabs>
        <w:ind w:firstLine="31680"/>
        <w:rPr>
          <w:rFonts w:hint="eastAsia"/>
          <w:bCs/>
          <w:color w:val="000000"/>
        </w:rPr>
      </w:pPr>
      <w:r>
        <w:rPr>
          <w:bCs/>
          <w:color w:val="000000"/>
        </w:rPr>
        <w:t>253.</w:t>
      </w:r>
      <w:r>
        <w:rPr>
          <w:bCs/>
          <w:color w:val="000000"/>
        </w:rPr>
        <w:tab/>
      </w:r>
      <w:r>
        <w:rPr>
          <w:rFonts w:hint="eastAsia"/>
          <w:bCs/>
          <w:color w:val="000000"/>
        </w:rPr>
        <w:t xml:space="preserve"> </w:t>
      </w:r>
      <w:r>
        <w:rPr>
          <w:rFonts w:hint="eastAsia"/>
          <w:bCs/>
          <w:color w:val="000000"/>
        </w:rPr>
        <w:t>目前，东帝汶有一个国家电视台</w:t>
      </w:r>
      <w:r>
        <w:rPr>
          <w:rFonts w:eastAsia="SimHei" w:hint="eastAsia"/>
          <w:bCs/>
          <w:color w:val="000000"/>
          <w:spacing w:val="0"/>
        </w:rPr>
        <w:t>——</w:t>
      </w:r>
      <w:r>
        <w:rPr>
          <w:rFonts w:hint="eastAsia"/>
          <w:bCs/>
          <w:color w:val="000000"/>
        </w:rPr>
        <w:t>东帝汶电视台（</w:t>
      </w:r>
      <w:r>
        <w:rPr>
          <w:bCs/>
          <w:color w:val="000000"/>
        </w:rPr>
        <w:t>TVTL</w:t>
      </w:r>
      <w:r>
        <w:rPr>
          <w:rFonts w:hint="eastAsia"/>
          <w:bCs/>
          <w:color w:val="000000"/>
        </w:rPr>
        <w:t>）和一个国家广播台</w:t>
      </w:r>
      <w:r>
        <w:rPr>
          <w:rFonts w:eastAsia="SimHei" w:hint="eastAsia"/>
          <w:bCs/>
          <w:color w:val="000000"/>
          <w:spacing w:val="0"/>
        </w:rPr>
        <w:t>——</w:t>
      </w:r>
      <w:r>
        <w:rPr>
          <w:rFonts w:hint="eastAsia"/>
          <w:bCs/>
          <w:color w:val="000000"/>
        </w:rPr>
        <w:t>东帝汶广播台（</w:t>
      </w:r>
      <w:r>
        <w:rPr>
          <w:bCs/>
          <w:color w:val="000000"/>
        </w:rPr>
        <w:t>RTL</w:t>
      </w:r>
      <w:r>
        <w:rPr>
          <w:rFonts w:hint="eastAsia"/>
          <w:bCs/>
          <w:color w:val="000000"/>
        </w:rPr>
        <w:t>），这两个电台最初都隶属于公共信息办公室，之后在东帝汶独立时，由东帝汶过渡当局移交给了政府。如今，这些机构隶属于东帝汶广播电视总局。</w:t>
      </w:r>
      <w:r>
        <w:rPr>
          <w:rStyle w:val="FootnoteReference"/>
          <w:bCs/>
          <w:color w:val="000000"/>
        </w:rPr>
        <w:footnoteReference w:id="134"/>
      </w:r>
      <w:r>
        <w:rPr>
          <w:rFonts w:hint="eastAsia"/>
          <w:bCs/>
          <w:color w:val="000000"/>
        </w:rPr>
        <w:t>目前，住户当中只有</w:t>
      </w:r>
      <w:r>
        <w:rPr>
          <w:rFonts w:hint="eastAsia"/>
          <w:bCs/>
          <w:color w:val="000000"/>
        </w:rPr>
        <w:t>8%</w:t>
      </w:r>
      <w:r>
        <w:rPr>
          <w:rFonts w:hint="eastAsia"/>
          <w:bCs/>
          <w:color w:val="000000"/>
        </w:rPr>
        <w:t>的人有自己的电视，但尽管如此，有五分之一以上的人口能够看到东帝汶电视台的节目，这些人口分布在帝力和周边的各乡中。</w:t>
      </w:r>
      <w:r>
        <w:rPr>
          <w:rStyle w:val="FootnoteReference"/>
          <w:bCs/>
          <w:color w:val="000000"/>
        </w:rPr>
        <w:footnoteReference w:id="135"/>
      </w:r>
    </w:p>
    <w:p w:rsidR="00692915" w:rsidRDefault="00692915" w:rsidP="009A1C1B">
      <w:pPr>
        <w:tabs>
          <w:tab w:val="left" w:pos="1170"/>
        </w:tabs>
        <w:spacing w:after="240"/>
        <w:ind w:firstLine="31680"/>
        <w:rPr>
          <w:rFonts w:hint="eastAsia"/>
          <w:bCs/>
          <w:color w:val="000000"/>
        </w:rPr>
      </w:pPr>
      <w:r>
        <w:rPr>
          <w:bCs/>
          <w:color w:val="000000"/>
        </w:rPr>
        <w:t>254.</w:t>
      </w:r>
      <w:r>
        <w:rPr>
          <w:rFonts w:hint="eastAsia"/>
          <w:bCs/>
          <w:color w:val="000000"/>
        </w:rPr>
        <w:t xml:space="preserve"> </w:t>
      </w:r>
      <w:r>
        <w:rPr>
          <w:rFonts w:hint="eastAsia"/>
          <w:bCs/>
          <w:color w:val="000000"/>
        </w:rPr>
        <w:t>在联合国管理期间，</w:t>
      </w:r>
      <w:r>
        <w:rPr>
          <w:bCs/>
          <w:color w:val="000000"/>
        </w:rPr>
        <w:t>东帝汶过渡当局</w:t>
      </w:r>
      <w:r>
        <w:rPr>
          <w:rFonts w:hint="eastAsia"/>
          <w:bCs/>
          <w:color w:val="000000"/>
        </w:rPr>
        <w:t>以四种语言（英语、德顿语、葡萄牙语和印度尼西亚语）广播。这在移交后持续了一段时间，如今以德顿语和葡萄牙语进行广播，新闻还以印度尼西亚语进行广播。东帝汶电视台只以德顿语播出，最近还以葡萄牙语播出，但能够接收到该电视台的地区很有限。不是所有地区都能收到电视台信号，即使收到了，但大多数地方的电源却是断断续续的，因此破坏了这种媒体所带来的实际娱乐效果。东帝汶广播台的接收范围要广得多，但该国很多边远村庄仍然不能收听。</w:t>
      </w:r>
      <w:r>
        <w:rPr>
          <w:rStyle w:val="FootnoteReference"/>
          <w:bCs/>
          <w:color w:val="000000"/>
        </w:rPr>
        <w:footnoteReference w:id="136"/>
      </w:r>
      <w:r>
        <w:rPr>
          <w:rFonts w:hint="eastAsia"/>
          <w:bCs/>
          <w:color w:val="000000"/>
        </w:rPr>
        <w:t xml:space="preserve"> </w:t>
      </w:r>
    </w:p>
    <w:p w:rsidR="00692915" w:rsidRDefault="00692915">
      <w:pPr>
        <w:pStyle w:val="Heading3"/>
        <w:tabs>
          <w:tab w:val="left" w:pos="1170"/>
        </w:tabs>
        <w:jc w:val="both"/>
        <w:rPr>
          <w:rFonts w:eastAsia="KaiTi_GB2312" w:hint="eastAsia"/>
          <w:color w:val="000000"/>
          <w:u w:val="none"/>
        </w:rPr>
      </w:pPr>
      <w:r>
        <w:rPr>
          <w:rFonts w:eastAsia="KaiTi_GB2312" w:hint="eastAsia"/>
          <w:color w:val="000000"/>
          <w:u w:val="none"/>
        </w:rPr>
        <w:t>独立媒体</w:t>
      </w:r>
    </w:p>
    <w:p w:rsidR="00692915" w:rsidRDefault="00692915" w:rsidP="009A1C1B">
      <w:pPr>
        <w:tabs>
          <w:tab w:val="left" w:pos="1170"/>
        </w:tabs>
        <w:ind w:firstLine="31680"/>
        <w:rPr>
          <w:rFonts w:hint="eastAsia"/>
          <w:bCs/>
          <w:color w:val="000000"/>
        </w:rPr>
      </w:pPr>
      <w:r>
        <w:rPr>
          <w:bCs/>
          <w:color w:val="000000"/>
        </w:rPr>
        <w:t>255.</w:t>
      </w:r>
      <w:r>
        <w:rPr>
          <w:bCs/>
          <w:color w:val="000000"/>
        </w:rPr>
        <w:tab/>
      </w:r>
      <w:r>
        <w:rPr>
          <w:rFonts w:hint="eastAsia"/>
          <w:bCs/>
          <w:color w:val="000000"/>
        </w:rPr>
        <w:t>根据</w:t>
      </w:r>
      <w:r>
        <w:rPr>
          <w:rFonts w:hint="eastAsia"/>
          <w:bCs/>
          <w:color w:val="000000"/>
        </w:rPr>
        <w:t>1999</w:t>
      </w:r>
      <w:r>
        <w:rPr>
          <w:rFonts w:hint="eastAsia"/>
          <w:bCs/>
          <w:color w:val="000000"/>
        </w:rPr>
        <w:t>年全民协商的结果，东帝汶只有一个广播台具有广播能力，即：帝汶仁爱（</w:t>
      </w:r>
      <w:r>
        <w:rPr>
          <w:bCs/>
          <w:color w:val="000000"/>
        </w:rPr>
        <w:t>Kmanek</w:t>
      </w:r>
      <w:r>
        <w:rPr>
          <w:rFonts w:hint="eastAsia"/>
          <w:bCs/>
          <w:color w:val="000000"/>
        </w:rPr>
        <w:t>）广播台（</w:t>
      </w:r>
      <w:r>
        <w:rPr>
          <w:bCs/>
          <w:color w:val="000000"/>
        </w:rPr>
        <w:t>RTK</w:t>
      </w:r>
      <w:r>
        <w:rPr>
          <w:rFonts w:hint="eastAsia"/>
          <w:bCs/>
          <w:color w:val="000000"/>
        </w:rPr>
        <w:t>）。其他所有电台的基础设施都被毁坏了。</w:t>
      </w:r>
      <w:r>
        <w:rPr>
          <w:rFonts w:hint="eastAsia"/>
          <w:bCs/>
          <w:color w:val="000000"/>
        </w:rPr>
        <w:t>RTK</w:t>
      </w:r>
      <w:r>
        <w:rPr>
          <w:rFonts w:hint="eastAsia"/>
          <w:bCs/>
          <w:color w:val="000000"/>
        </w:rPr>
        <w:t>由天主教会负责运营，全国很多地方，包括</w:t>
      </w:r>
      <w:r>
        <w:rPr>
          <w:rFonts w:ascii="Arial" w:hAnsi="Arial" w:cs="Arial" w:hint="eastAsia"/>
          <w:color w:val="000000"/>
        </w:rPr>
        <w:t>欧库西飞地都能收到该电台。</w:t>
      </w:r>
    </w:p>
    <w:p w:rsidR="00692915" w:rsidRDefault="00692915" w:rsidP="009A1C1B">
      <w:pPr>
        <w:tabs>
          <w:tab w:val="left" w:pos="1170"/>
        </w:tabs>
        <w:ind w:firstLine="31680"/>
        <w:rPr>
          <w:rFonts w:hint="eastAsia"/>
          <w:bCs/>
          <w:color w:val="000000"/>
        </w:rPr>
      </w:pPr>
      <w:r>
        <w:rPr>
          <w:bCs/>
          <w:color w:val="000000"/>
        </w:rPr>
        <w:t>256.</w:t>
      </w:r>
      <w:r>
        <w:rPr>
          <w:bCs/>
          <w:color w:val="000000"/>
        </w:rPr>
        <w:tab/>
      </w:r>
      <w:r>
        <w:rPr>
          <w:rFonts w:hint="eastAsia"/>
          <w:bCs/>
          <w:color w:val="000000"/>
        </w:rPr>
        <w:t>自</w:t>
      </w:r>
      <w:r>
        <w:rPr>
          <w:rFonts w:hint="eastAsia"/>
          <w:bCs/>
          <w:color w:val="000000"/>
        </w:rPr>
        <w:t>2000</w:t>
      </w:r>
      <w:r>
        <w:rPr>
          <w:rFonts w:hint="eastAsia"/>
          <w:bCs/>
          <w:color w:val="000000"/>
        </w:rPr>
        <w:t>年以来，除了国家电台外，还新设立了很多独立电台。如今，东帝汶有</w:t>
      </w:r>
      <w:r>
        <w:rPr>
          <w:rFonts w:hint="eastAsia"/>
          <w:bCs/>
          <w:color w:val="000000"/>
        </w:rPr>
        <w:t>18</w:t>
      </w:r>
      <w:r>
        <w:rPr>
          <w:rFonts w:hint="eastAsia"/>
          <w:bCs/>
          <w:color w:val="000000"/>
        </w:rPr>
        <w:t>家电台：一家国家广播台“东帝汶广播台”和</w:t>
      </w:r>
      <w:r>
        <w:rPr>
          <w:rFonts w:hint="eastAsia"/>
          <w:bCs/>
          <w:color w:val="000000"/>
        </w:rPr>
        <w:t>17</w:t>
      </w:r>
      <w:r>
        <w:rPr>
          <w:rFonts w:hint="eastAsia"/>
          <w:bCs/>
          <w:color w:val="000000"/>
        </w:rPr>
        <w:t>家社区广播站</w:t>
      </w:r>
      <w:r>
        <w:rPr>
          <w:rFonts w:ascii="SimHei" w:eastAsia="SimHei" w:hint="eastAsia"/>
          <w:bCs/>
          <w:color w:val="000000"/>
          <w:spacing w:val="0"/>
        </w:rPr>
        <w:t>——</w:t>
      </w:r>
      <w:r>
        <w:rPr>
          <w:rFonts w:hint="eastAsia"/>
          <w:bCs/>
          <w:color w:val="000000"/>
        </w:rPr>
        <w:t>帝力</w:t>
      </w:r>
      <w:r>
        <w:rPr>
          <w:rFonts w:hint="eastAsia"/>
          <w:bCs/>
          <w:color w:val="000000"/>
        </w:rPr>
        <w:t>6</w:t>
      </w:r>
      <w:r>
        <w:rPr>
          <w:rFonts w:hint="eastAsia"/>
          <w:bCs/>
          <w:color w:val="000000"/>
        </w:rPr>
        <w:t>个，其他地区</w:t>
      </w:r>
      <w:r>
        <w:rPr>
          <w:rFonts w:hint="eastAsia"/>
          <w:bCs/>
          <w:color w:val="000000"/>
        </w:rPr>
        <w:t>11</w:t>
      </w:r>
      <w:r>
        <w:rPr>
          <w:rFonts w:hint="eastAsia"/>
          <w:bCs/>
          <w:color w:val="000000"/>
        </w:rPr>
        <w:t>个。帝力的广播站包括：</w:t>
      </w:r>
    </w:p>
    <w:p w:rsidR="00692915" w:rsidRDefault="00692915" w:rsidP="009A1C1B">
      <w:pPr>
        <w:numPr>
          <w:ilvl w:val="0"/>
          <w:numId w:val="15"/>
        </w:numPr>
        <w:tabs>
          <w:tab w:val="clear" w:pos="1080"/>
          <w:tab w:val="left" w:pos="1690"/>
        </w:tabs>
        <w:ind w:leftChars="450" w:left="31680" w:hangingChars="200" w:firstLine="31680"/>
        <w:rPr>
          <w:bCs/>
          <w:color w:val="000000"/>
        </w:rPr>
      </w:pPr>
      <w:r>
        <w:rPr>
          <w:bCs/>
          <w:color w:val="000000"/>
        </w:rPr>
        <w:t>东帝汶民族解放组织武装部队</w:t>
      </w:r>
      <w:r>
        <w:rPr>
          <w:rFonts w:hint="eastAsia"/>
          <w:bCs/>
          <w:color w:val="000000"/>
        </w:rPr>
        <w:t>广播站</w:t>
      </w:r>
      <w:r>
        <w:rPr>
          <w:rFonts w:ascii="SimHei" w:eastAsia="SimHei" w:hint="eastAsia"/>
          <w:bCs/>
          <w:color w:val="000000"/>
          <w:spacing w:val="0"/>
        </w:rPr>
        <w:t>——</w:t>
      </w:r>
      <w:r>
        <w:rPr>
          <w:rFonts w:hint="eastAsia"/>
          <w:bCs/>
          <w:color w:val="000000"/>
        </w:rPr>
        <w:t>“希望之声”，这是一家私人电台，以德顿语、葡萄牙语和印度尼西亚语广播，资金依靠捐助，节目包括新闻、公共信息、娱乐和广告；</w:t>
      </w:r>
    </w:p>
    <w:p w:rsidR="00692915" w:rsidRDefault="00692915" w:rsidP="009A1C1B">
      <w:pPr>
        <w:numPr>
          <w:ilvl w:val="0"/>
          <w:numId w:val="15"/>
        </w:numPr>
        <w:tabs>
          <w:tab w:val="clear" w:pos="1080"/>
          <w:tab w:val="left" w:pos="1690"/>
        </w:tabs>
        <w:ind w:leftChars="450" w:left="31680" w:hangingChars="200" w:firstLine="31680"/>
        <w:rPr>
          <w:bCs/>
          <w:color w:val="000000"/>
        </w:rPr>
      </w:pPr>
      <w:r>
        <w:rPr>
          <w:rFonts w:hint="eastAsia"/>
          <w:bCs/>
          <w:color w:val="000000"/>
        </w:rPr>
        <w:t>拉姆卡比安（</w:t>
      </w:r>
      <w:r>
        <w:rPr>
          <w:bCs/>
          <w:color w:val="000000"/>
        </w:rPr>
        <w:t>RAMKABIAN</w:t>
      </w:r>
      <w:r>
        <w:rPr>
          <w:rFonts w:hint="eastAsia"/>
          <w:bCs/>
          <w:color w:val="000000"/>
        </w:rPr>
        <w:t>）电台</w:t>
      </w:r>
      <w:r>
        <w:rPr>
          <w:rFonts w:ascii="SimHei" w:eastAsia="SimHei" w:hint="eastAsia"/>
          <w:bCs/>
          <w:color w:val="000000"/>
          <w:spacing w:val="0"/>
        </w:rPr>
        <w:t>——</w:t>
      </w:r>
      <w:r>
        <w:rPr>
          <w:rFonts w:hint="eastAsia"/>
          <w:bCs/>
          <w:color w:val="000000"/>
        </w:rPr>
        <w:t>该电台是在澳大利亚一家非政府组织“</w:t>
      </w:r>
      <w:r>
        <w:rPr>
          <w:rFonts w:ascii="Arial" w:hAnsi="Arial" w:cs="Arial" w:hint="eastAsia"/>
          <w:color w:val="000000"/>
        </w:rPr>
        <w:t>澳大利亚人民卫生教育发展海外组织（</w:t>
      </w:r>
      <w:r>
        <w:rPr>
          <w:bCs/>
          <w:color w:val="000000"/>
        </w:rPr>
        <w:t>APHEDA</w:t>
      </w:r>
      <w:r>
        <w:rPr>
          <w:rFonts w:ascii="Arial" w:hAnsi="Arial" w:cs="Arial" w:hint="eastAsia"/>
          <w:color w:val="000000"/>
        </w:rPr>
        <w:t>）</w:t>
      </w:r>
      <w:r>
        <w:rPr>
          <w:rFonts w:hint="eastAsia"/>
          <w:bCs/>
          <w:color w:val="000000"/>
        </w:rPr>
        <w:t>”的支助下建立的，开始时为流动广播站，主要在那些无法收到帝力广播节目的地区广播，负责向边远地区播出新闻、非政府组织的系列信息，以及帝力的娱乐节目。有时，还转播东帝汶广播台的国家新闻，主要以德顿语广播，在必要的时候，还用方言转播新闻；</w:t>
      </w:r>
    </w:p>
    <w:p w:rsidR="00692915" w:rsidRDefault="00692915" w:rsidP="009A1C1B">
      <w:pPr>
        <w:numPr>
          <w:ilvl w:val="0"/>
          <w:numId w:val="15"/>
        </w:numPr>
        <w:tabs>
          <w:tab w:val="clear" w:pos="1080"/>
          <w:tab w:val="left" w:pos="1690"/>
        </w:tabs>
        <w:ind w:leftChars="450" w:left="31680" w:hangingChars="200" w:firstLine="31680"/>
        <w:rPr>
          <w:bCs/>
          <w:color w:val="000000"/>
        </w:rPr>
      </w:pPr>
      <w:r>
        <w:rPr>
          <w:rFonts w:hint="eastAsia"/>
          <w:bCs/>
          <w:color w:val="000000"/>
        </w:rPr>
        <w:t>洛瑞克之声（</w:t>
      </w:r>
      <w:r>
        <w:rPr>
          <w:bCs/>
          <w:color w:val="000000"/>
        </w:rPr>
        <w:t>Loriko Lian</w:t>
      </w:r>
      <w:r>
        <w:rPr>
          <w:rFonts w:hint="eastAsia"/>
          <w:bCs/>
          <w:color w:val="000000"/>
        </w:rPr>
        <w:t>）广播台</w:t>
      </w:r>
      <w:r>
        <w:rPr>
          <w:rFonts w:ascii="SimHei" w:eastAsia="SimHei" w:hint="eastAsia"/>
          <w:bCs/>
          <w:color w:val="000000"/>
          <w:spacing w:val="0"/>
        </w:rPr>
        <w:t>——</w:t>
      </w:r>
      <w:r>
        <w:rPr>
          <w:rFonts w:hint="eastAsia"/>
          <w:bCs/>
          <w:color w:val="000000"/>
        </w:rPr>
        <w:t>最初为流动广播站，由非政府组织和青年组织联盟负责运营，旨在向边远地区人口传播非政府组织的信息。但由于缺乏资金，目前该电台在帝力进行广播，只有首都才能收听到。在撰写本报告之时，</w:t>
      </w:r>
      <w:r>
        <w:rPr>
          <w:bCs/>
          <w:color w:val="000000"/>
        </w:rPr>
        <w:t>妇发基金</w:t>
      </w:r>
      <w:r>
        <w:rPr>
          <w:rFonts w:hint="eastAsia"/>
          <w:bCs/>
          <w:color w:val="000000"/>
        </w:rPr>
        <w:t>关于</w:t>
      </w:r>
      <w:r>
        <w:rPr>
          <w:bCs/>
          <w:color w:val="000000"/>
        </w:rPr>
        <w:t>《消除对妇女一切形式歧视公约》</w:t>
      </w:r>
      <w:r>
        <w:rPr>
          <w:rFonts w:hint="eastAsia"/>
          <w:bCs/>
          <w:color w:val="000000"/>
        </w:rPr>
        <w:t>的东南亚方案正在为该电台提供支持，以制作一个关于</w:t>
      </w:r>
      <w:r>
        <w:rPr>
          <w:bCs/>
          <w:color w:val="000000"/>
        </w:rPr>
        <w:t>《消除对妇女一切形式歧视公约》</w:t>
      </w:r>
      <w:r>
        <w:rPr>
          <w:rFonts w:hint="eastAsia"/>
          <w:bCs/>
          <w:color w:val="000000"/>
        </w:rPr>
        <w:t>的纪录片，纪录片共分为两部分；</w:t>
      </w:r>
    </w:p>
    <w:p w:rsidR="00692915" w:rsidRDefault="00692915" w:rsidP="009A1C1B">
      <w:pPr>
        <w:numPr>
          <w:ilvl w:val="0"/>
          <w:numId w:val="15"/>
        </w:numPr>
        <w:tabs>
          <w:tab w:val="clear" w:pos="1080"/>
          <w:tab w:val="left" w:pos="1690"/>
        </w:tabs>
        <w:ind w:leftChars="450" w:left="31680" w:hangingChars="200" w:firstLine="31680"/>
        <w:rPr>
          <w:bCs/>
          <w:color w:val="000000"/>
        </w:rPr>
      </w:pPr>
      <w:r>
        <w:rPr>
          <w:rFonts w:hint="eastAsia"/>
          <w:bCs/>
          <w:color w:val="000000"/>
        </w:rPr>
        <w:t>克里布（</w:t>
      </w:r>
      <w:r>
        <w:rPr>
          <w:bCs/>
          <w:color w:val="000000"/>
        </w:rPr>
        <w:t>Klibur</w:t>
      </w:r>
      <w:r>
        <w:rPr>
          <w:rFonts w:hint="eastAsia"/>
          <w:bCs/>
          <w:color w:val="000000"/>
        </w:rPr>
        <w:t>）电台</w:t>
      </w:r>
      <w:r>
        <w:rPr>
          <w:rFonts w:ascii="SimHei" w:eastAsia="SimHei" w:hint="eastAsia"/>
          <w:bCs/>
          <w:color w:val="000000"/>
          <w:spacing w:val="0"/>
        </w:rPr>
        <w:t>——</w:t>
      </w:r>
      <w:r>
        <w:rPr>
          <w:rFonts w:hint="eastAsia"/>
          <w:bCs/>
          <w:color w:val="000000"/>
        </w:rPr>
        <w:t>在帝力进行广播，东帝汶其他地方很少能收听到；</w:t>
      </w:r>
    </w:p>
    <w:p w:rsidR="00692915" w:rsidRDefault="00692915" w:rsidP="009A1C1B">
      <w:pPr>
        <w:numPr>
          <w:ilvl w:val="0"/>
          <w:numId w:val="15"/>
        </w:numPr>
        <w:tabs>
          <w:tab w:val="clear" w:pos="1080"/>
          <w:tab w:val="left" w:pos="1690"/>
        </w:tabs>
        <w:spacing w:after="240"/>
        <w:ind w:leftChars="450" w:left="31680" w:hangingChars="200" w:firstLine="31680"/>
        <w:rPr>
          <w:bCs/>
          <w:color w:val="000000"/>
        </w:rPr>
      </w:pPr>
      <w:r>
        <w:rPr>
          <w:rFonts w:hint="eastAsia"/>
          <w:bCs/>
          <w:color w:val="000000"/>
        </w:rPr>
        <w:t>电台之声</w:t>
      </w:r>
      <w:r>
        <w:rPr>
          <w:rFonts w:ascii="SimHei" w:eastAsia="SimHei" w:hint="eastAsia"/>
          <w:bCs/>
          <w:color w:val="000000"/>
          <w:spacing w:val="0"/>
        </w:rPr>
        <w:t>——</w:t>
      </w:r>
      <w:r>
        <w:rPr>
          <w:rFonts w:hint="eastAsia"/>
          <w:bCs/>
          <w:color w:val="000000"/>
        </w:rPr>
        <w:t>由基督教会负责运营，主要广播宗教教义。</w:t>
      </w:r>
    </w:p>
    <w:p w:rsidR="00692915" w:rsidRDefault="00692915" w:rsidP="009A1C1B">
      <w:pPr>
        <w:tabs>
          <w:tab w:val="left" w:pos="1170"/>
        </w:tabs>
        <w:ind w:firstLine="31680"/>
        <w:rPr>
          <w:rFonts w:hint="eastAsia"/>
          <w:bCs/>
          <w:color w:val="000000"/>
        </w:rPr>
      </w:pPr>
      <w:r>
        <w:rPr>
          <w:bCs/>
          <w:color w:val="000000"/>
        </w:rPr>
        <w:t>257.</w:t>
      </w:r>
      <w:r>
        <w:rPr>
          <w:bCs/>
          <w:color w:val="000000"/>
        </w:rPr>
        <w:tab/>
      </w:r>
      <w:r>
        <w:rPr>
          <w:rFonts w:hint="eastAsia"/>
          <w:bCs/>
          <w:color w:val="000000"/>
        </w:rPr>
        <w:t>这些新电台大多在捐赠者资助下建立，而且仍然要靠资助来维持其运营。</w:t>
      </w:r>
    </w:p>
    <w:p w:rsidR="00692915" w:rsidRDefault="00692915" w:rsidP="009A1C1B">
      <w:pPr>
        <w:tabs>
          <w:tab w:val="left" w:pos="1170"/>
        </w:tabs>
        <w:ind w:firstLine="31680"/>
        <w:rPr>
          <w:rFonts w:hint="eastAsia"/>
          <w:bCs/>
          <w:color w:val="000000"/>
        </w:rPr>
      </w:pPr>
      <w:r>
        <w:rPr>
          <w:bCs/>
          <w:color w:val="000000"/>
        </w:rPr>
        <w:t>258.</w:t>
      </w:r>
      <w:r>
        <w:rPr>
          <w:bCs/>
          <w:color w:val="000000"/>
        </w:rPr>
        <w:tab/>
      </w:r>
      <w:r>
        <w:rPr>
          <w:rFonts w:hint="eastAsia"/>
          <w:bCs/>
          <w:color w:val="000000"/>
        </w:rPr>
        <w:t>全国的社区广播站主要广播各种社会节目。</w:t>
      </w:r>
      <w:r>
        <w:rPr>
          <w:rFonts w:hint="eastAsia"/>
          <w:bCs/>
          <w:color w:val="000000"/>
        </w:rPr>
        <w:t>2003</w:t>
      </w:r>
      <w:r>
        <w:rPr>
          <w:rFonts w:hint="eastAsia"/>
          <w:bCs/>
          <w:color w:val="000000"/>
        </w:rPr>
        <w:t>年</w:t>
      </w:r>
      <w:r>
        <w:rPr>
          <w:rFonts w:hint="eastAsia"/>
          <w:bCs/>
          <w:color w:val="000000"/>
        </w:rPr>
        <w:t>9</w:t>
      </w:r>
      <w:r>
        <w:rPr>
          <w:rFonts w:hint="eastAsia"/>
          <w:bCs/>
          <w:color w:val="000000"/>
        </w:rPr>
        <w:t>月，一些小广播站自愿建立了“帝汶穆拉克（</w:t>
      </w:r>
      <w:r>
        <w:rPr>
          <w:bCs/>
          <w:color w:val="000000"/>
        </w:rPr>
        <w:t>Murak</w:t>
      </w:r>
      <w:r>
        <w:rPr>
          <w:rFonts w:hint="eastAsia"/>
          <w:bCs/>
          <w:color w:val="000000"/>
        </w:rPr>
        <w:t>）”广播站，专门广播青春期女孩权利和社区研究（涉及三个社区广播站）方面的信息。“儿童之声”有三个广播站，其从事的研究主要是要确认各种对儿童产生影响的地方问题。</w:t>
      </w:r>
      <w:r>
        <w:rPr>
          <w:rFonts w:hint="eastAsia"/>
          <w:bCs/>
          <w:color w:val="000000"/>
        </w:rPr>
        <w:t>2004</w:t>
      </w:r>
      <w:r>
        <w:rPr>
          <w:rFonts w:hint="eastAsia"/>
          <w:bCs/>
          <w:color w:val="000000"/>
        </w:rPr>
        <w:t>年，在波波纳罗、</w:t>
      </w:r>
      <w:r>
        <w:rPr>
          <w:rFonts w:ascii="Arial" w:hAnsi="Arial" w:cs="Arial" w:hint="eastAsia"/>
          <w:color w:val="000000"/>
        </w:rPr>
        <w:t>利基萨和洛斯帕洛斯等地区，还推出了戏剧、脱口秀和访谈之类的各种广播节目。社区广播站的覆盖面很有限，但一般用方言和德顿语广播。</w:t>
      </w:r>
    </w:p>
    <w:p w:rsidR="00692915" w:rsidRDefault="00692915" w:rsidP="009A1C1B">
      <w:pPr>
        <w:tabs>
          <w:tab w:val="left" w:pos="1170"/>
        </w:tabs>
        <w:spacing w:after="240"/>
        <w:ind w:firstLine="31680"/>
        <w:rPr>
          <w:rFonts w:hint="eastAsia"/>
          <w:color w:val="000000"/>
        </w:rPr>
      </w:pPr>
      <w:r>
        <w:rPr>
          <w:color w:val="000000"/>
        </w:rPr>
        <w:t>259.</w:t>
      </w:r>
      <w:r>
        <w:rPr>
          <w:color w:val="000000"/>
        </w:rPr>
        <w:tab/>
      </w:r>
      <w:r>
        <w:rPr>
          <w:rFonts w:hint="eastAsia"/>
          <w:color w:val="000000"/>
        </w:rPr>
        <w:t>社区广播站的生存也在相当大程度上依靠捐赠者的支助。</w:t>
      </w:r>
      <w:r>
        <w:rPr>
          <w:rFonts w:hint="eastAsia"/>
          <w:color w:val="000000"/>
        </w:rPr>
        <w:t>2001</w:t>
      </w:r>
      <w:r>
        <w:rPr>
          <w:rFonts w:hint="eastAsia"/>
          <w:color w:val="000000"/>
        </w:rPr>
        <w:t>年，世界银行的社区能力建设项目（</w:t>
      </w:r>
      <w:r>
        <w:rPr>
          <w:color w:val="000000"/>
        </w:rPr>
        <w:t>CEP</w:t>
      </w:r>
      <w:r>
        <w:rPr>
          <w:rFonts w:hint="eastAsia"/>
          <w:color w:val="000000"/>
        </w:rPr>
        <w:t>）和美国国际开发署建立了</w:t>
      </w:r>
      <w:r>
        <w:rPr>
          <w:rFonts w:hint="eastAsia"/>
          <w:color w:val="000000"/>
        </w:rPr>
        <w:t>12</w:t>
      </w:r>
      <w:r>
        <w:rPr>
          <w:rFonts w:hint="eastAsia"/>
          <w:color w:val="000000"/>
        </w:rPr>
        <w:t>个社区广播站，但遗憾的是，因为各种原因（其中大多数与资金短缺有关），其中大多数社区广播站如今都停止运营了，目前仍在运营的只有</w:t>
      </w:r>
      <w:r>
        <w:rPr>
          <w:rFonts w:hint="eastAsia"/>
          <w:color w:val="000000"/>
        </w:rPr>
        <w:t>5</w:t>
      </w:r>
      <w:r>
        <w:rPr>
          <w:rFonts w:hint="eastAsia"/>
          <w:color w:val="000000"/>
        </w:rPr>
        <w:t>家由社区能力建设项目资助的广播站，这些广播站分布在洛斯帕洛斯、利基萨（</w:t>
      </w:r>
      <w:r>
        <w:rPr>
          <w:color w:val="000000"/>
        </w:rPr>
        <w:t>Tokodede</w:t>
      </w:r>
      <w:r>
        <w:rPr>
          <w:rFonts w:hint="eastAsia"/>
          <w:color w:val="000000"/>
        </w:rPr>
        <w:t>电台）、维克克、马利亚纳和欧库西。</w:t>
      </w:r>
    </w:p>
    <w:p w:rsidR="00692915" w:rsidRDefault="00692915">
      <w:pPr>
        <w:tabs>
          <w:tab w:val="left" w:pos="1170"/>
        </w:tabs>
        <w:spacing w:after="240"/>
        <w:ind w:firstLineChars="0" w:firstLine="0"/>
        <w:rPr>
          <w:rFonts w:hint="eastAsia"/>
          <w:bCs/>
          <w:color w:val="000000"/>
        </w:rPr>
      </w:pPr>
      <w:r>
        <w:rPr>
          <w:rFonts w:eastAsia="KaiTi_GB2312" w:hint="eastAsia"/>
          <w:color w:val="000000"/>
        </w:rPr>
        <w:t>印刷媒体</w:t>
      </w:r>
    </w:p>
    <w:p w:rsidR="00692915" w:rsidRDefault="00692915" w:rsidP="009A1C1B">
      <w:pPr>
        <w:tabs>
          <w:tab w:val="left" w:pos="1170"/>
        </w:tabs>
        <w:ind w:firstLine="31680"/>
        <w:rPr>
          <w:rFonts w:hint="eastAsia"/>
          <w:bCs/>
          <w:color w:val="000000"/>
        </w:rPr>
      </w:pPr>
      <w:r>
        <w:rPr>
          <w:bCs/>
          <w:color w:val="000000"/>
        </w:rPr>
        <w:t>260.</w:t>
      </w:r>
      <w:r>
        <w:rPr>
          <w:bCs/>
          <w:color w:val="000000"/>
        </w:rPr>
        <w:tab/>
      </w:r>
      <w:r>
        <w:rPr>
          <w:rFonts w:hint="eastAsia"/>
          <w:bCs/>
          <w:color w:val="000000"/>
        </w:rPr>
        <w:t>东帝汶的印刷媒体在经过起起落落的风雨历程之后，于</w:t>
      </w:r>
      <w:r>
        <w:rPr>
          <w:rFonts w:hint="eastAsia"/>
          <w:bCs/>
          <w:color w:val="000000"/>
        </w:rPr>
        <w:t>2000</w:t>
      </w:r>
      <w:r>
        <w:rPr>
          <w:rFonts w:hint="eastAsia"/>
          <w:bCs/>
          <w:color w:val="000000"/>
        </w:rPr>
        <w:t>年初开始兴旺。其中有些出版物在印度尼西亚时代就已经存在，但也有很多新的刊物。东帝汶的印刷媒体已迈上了一个新的台阶。尽管读者有限，但如今有很多报纸、快报、小报和杂志</w:t>
      </w:r>
      <w:r>
        <w:rPr>
          <w:rFonts w:ascii="SimHei" w:eastAsia="SimHei" w:hint="eastAsia"/>
          <w:bCs/>
          <w:smallCaps/>
          <w:color w:val="000000"/>
          <w:spacing w:val="0"/>
        </w:rPr>
        <w:t>——</w:t>
      </w:r>
      <w:r>
        <w:rPr>
          <w:rFonts w:hint="eastAsia"/>
          <w:bCs/>
          <w:color w:val="000000"/>
        </w:rPr>
        <w:t>包括日刊、周刊和月刊。最著名的刊物有：《东帝汶邮报》、《东帝汶之声》、《日报》和《每日时报》，刊物内容广泛，但主要以政治和治理内容为特色。</w:t>
      </w:r>
    </w:p>
    <w:p w:rsidR="00692915" w:rsidRDefault="00692915" w:rsidP="009A1C1B">
      <w:pPr>
        <w:tabs>
          <w:tab w:val="left" w:pos="1170"/>
        </w:tabs>
        <w:ind w:firstLine="31680"/>
        <w:rPr>
          <w:rFonts w:hint="eastAsia"/>
          <w:bCs/>
          <w:color w:val="000000"/>
        </w:rPr>
      </w:pPr>
      <w:r>
        <w:rPr>
          <w:bCs/>
          <w:color w:val="000000"/>
        </w:rPr>
        <w:t>261.</w:t>
      </w:r>
      <w:r>
        <w:rPr>
          <w:bCs/>
          <w:color w:val="000000"/>
        </w:rPr>
        <w:tab/>
      </w:r>
      <w:r>
        <w:rPr>
          <w:rFonts w:hint="eastAsia"/>
          <w:bCs/>
          <w:color w:val="000000"/>
        </w:rPr>
        <w:t>很多报纸都以多种语言出版，通常为德顿语、葡萄牙语、印度尼西亚语和英语。只以一种语言出版的刊物不多。大约有</w:t>
      </w:r>
      <w:r>
        <w:rPr>
          <w:rFonts w:hint="eastAsia"/>
          <w:bCs/>
          <w:color w:val="000000"/>
        </w:rPr>
        <w:t>30%</w:t>
      </w:r>
      <w:r>
        <w:rPr>
          <w:rFonts w:hint="eastAsia"/>
          <w:bCs/>
          <w:color w:val="000000"/>
        </w:rPr>
        <w:t>的人口有机会阅读报纸，</w:t>
      </w:r>
      <w:r>
        <w:rPr>
          <w:rFonts w:hint="eastAsia"/>
          <w:bCs/>
          <w:color w:val="000000"/>
        </w:rPr>
        <w:t>23%</w:t>
      </w:r>
      <w:r>
        <w:rPr>
          <w:rFonts w:hint="eastAsia"/>
          <w:bCs/>
          <w:color w:val="000000"/>
        </w:rPr>
        <w:t>的人口有机会阅读杂志和时事通讯。</w:t>
      </w:r>
      <w:r>
        <w:rPr>
          <w:rStyle w:val="FootnoteReference"/>
          <w:bCs/>
          <w:color w:val="000000"/>
        </w:rPr>
        <w:footnoteReference w:id="137"/>
      </w:r>
    </w:p>
    <w:p w:rsidR="00692915" w:rsidRDefault="00692915" w:rsidP="009A1C1B">
      <w:pPr>
        <w:tabs>
          <w:tab w:val="left" w:pos="1170"/>
        </w:tabs>
        <w:ind w:firstLine="31680"/>
        <w:rPr>
          <w:rFonts w:hint="eastAsia"/>
          <w:bCs/>
          <w:color w:val="000000"/>
        </w:rPr>
      </w:pPr>
      <w:r>
        <w:rPr>
          <w:bCs/>
          <w:color w:val="000000"/>
        </w:rPr>
        <w:t>262.</w:t>
      </w:r>
      <w:r>
        <w:rPr>
          <w:bCs/>
          <w:color w:val="000000"/>
        </w:rPr>
        <w:tab/>
      </w:r>
      <w:r>
        <w:rPr>
          <w:rFonts w:hint="eastAsia"/>
          <w:bCs/>
          <w:color w:val="000000"/>
        </w:rPr>
        <w:t>正如大众媒体一样，新印刷媒体组织的运营也要靠捐赠者资助，因为读者有限，人口缺乏购买力，印刷媒体机构无法通过刊物获得足以维持企业的资金。新闻记者的薪水、刊物的印刷和发行过去需要而且将来也需要捐赠者的资助。虽说捐赠资金用于媒体发展的比例正在下降，但尽管如此，媒体的资金保障仍然在很大程度上来自捐赠资金。</w:t>
      </w:r>
      <w:r>
        <w:rPr>
          <w:rStyle w:val="FootnoteReference"/>
          <w:bCs/>
          <w:color w:val="000000"/>
        </w:rPr>
        <w:footnoteReference w:id="138"/>
      </w:r>
      <w:r>
        <w:rPr>
          <w:rFonts w:hint="eastAsia"/>
          <w:bCs/>
          <w:color w:val="000000"/>
        </w:rPr>
        <w:t>最近，捐赠者的支持力度已经减弱，结果显示，东帝汶有很大比例的大众媒体和印刷媒体仍然不能在经济上自给自足，捐赠者一旦停止资助，就有可能倒闭。</w:t>
      </w:r>
    </w:p>
    <w:p w:rsidR="00692915" w:rsidRDefault="00692915" w:rsidP="009A1C1B">
      <w:pPr>
        <w:tabs>
          <w:tab w:val="left" w:pos="1170"/>
        </w:tabs>
        <w:spacing w:after="240"/>
        <w:ind w:firstLine="31680"/>
        <w:rPr>
          <w:rFonts w:hint="eastAsia"/>
          <w:color w:val="000000"/>
        </w:rPr>
      </w:pPr>
      <w:r>
        <w:rPr>
          <w:color w:val="000000"/>
        </w:rPr>
        <w:t>263.</w:t>
      </w:r>
      <w:r>
        <w:rPr>
          <w:color w:val="000000"/>
        </w:rPr>
        <w:tab/>
      </w:r>
      <w:r>
        <w:rPr>
          <w:rFonts w:hint="eastAsia"/>
          <w:color w:val="000000"/>
        </w:rPr>
        <w:t xml:space="preserve"> 2005</w:t>
      </w:r>
      <w:r>
        <w:rPr>
          <w:rFonts w:hint="eastAsia"/>
          <w:color w:val="000000"/>
        </w:rPr>
        <w:t>年</w:t>
      </w:r>
      <w:r>
        <w:rPr>
          <w:rFonts w:hint="eastAsia"/>
          <w:color w:val="000000"/>
        </w:rPr>
        <w:t>1</w:t>
      </w:r>
      <w:r>
        <w:rPr>
          <w:rFonts w:hint="eastAsia"/>
          <w:color w:val="000000"/>
        </w:rPr>
        <w:t>月，东帝汶的国际记者培训机构组织了一次媒体评论策划研讨会，共召集了媒体和非政府组织的</w:t>
      </w:r>
      <w:r>
        <w:rPr>
          <w:rFonts w:hint="eastAsia"/>
          <w:color w:val="000000"/>
        </w:rPr>
        <w:t>70</w:t>
      </w:r>
      <w:r>
        <w:rPr>
          <w:rFonts w:hint="eastAsia"/>
          <w:color w:val="000000"/>
        </w:rPr>
        <w:t>名代表。该研讨会旨在为媒体机构的发展确定最关键的领域，并制定出相应的战略，以便在冲突后的新兴发展中民主国家中，充分发挥媒体的有效作用。东帝汶的媒体代表确认了很多对该国媒体机构构成威胁的关键领域。总的来说，大家一致认为，媒体部门需要：走向成熟，提高技术能力和经济上的自立能力，确保机构的发展和长期可持续性，发挥媒体的监督作用，制定相关的媒体法，营造有利的环境以加强机构的经营能力。</w:t>
      </w:r>
      <w:r>
        <w:rPr>
          <w:rStyle w:val="FootnoteReference"/>
          <w:bCs/>
          <w:color w:val="000000"/>
        </w:rPr>
        <w:footnoteReference w:id="139"/>
      </w:r>
    </w:p>
    <w:p w:rsidR="00692915" w:rsidRDefault="00692915">
      <w:pPr>
        <w:tabs>
          <w:tab w:val="left" w:pos="1170"/>
        </w:tabs>
        <w:spacing w:after="240"/>
        <w:ind w:firstLineChars="0" w:firstLine="0"/>
        <w:rPr>
          <w:rFonts w:hint="eastAsia"/>
          <w:bCs/>
          <w:color w:val="000000"/>
        </w:rPr>
      </w:pPr>
      <w:r>
        <w:rPr>
          <w:rFonts w:eastAsia="KaiTi_GB2312" w:hint="eastAsia"/>
          <w:color w:val="000000"/>
        </w:rPr>
        <w:t>媒体与人权</w:t>
      </w:r>
    </w:p>
    <w:p w:rsidR="00692915" w:rsidRDefault="00692915" w:rsidP="009A1C1B">
      <w:pPr>
        <w:tabs>
          <w:tab w:val="left" w:pos="1170"/>
        </w:tabs>
        <w:ind w:firstLine="31680"/>
        <w:rPr>
          <w:rFonts w:hint="eastAsia"/>
          <w:color w:val="000000"/>
        </w:rPr>
      </w:pPr>
      <w:r>
        <w:rPr>
          <w:color w:val="000000"/>
        </w:rPr>
        <w:t>264.</w:t>
      </w:r>
      <w:r>
        <w:rPr>
          <w:color w:val="000000"/>
        </w:rPr>
        <w:tab/>
      </w:r>
      <w:r>
        <w:rPr>
          <w:rFonts w:hint="eastAsia"/>
          <w:color w:val="000000"/>
        </w:rPr>
        <w:t>几乎所有的广播台、电视和印刷媒体都安排了相应的时间和板块，以宣传和讨论人权方面的问题。很多非政府组织都与媒体签约，以促进宣传其人权方案。</w:t>
      </w:r>
    </w:p>
    <w:p w:rsidR="00692915" w:rsidRDefault="00692915" w:rsidP="009A1C1B">
      <w:pPr>
        <w:tabs>
          <w:tab w:val="left" w:pos="1170"/>
        </w:tabs>
        <w:ind w:firstLine="31680"/>
        <w:rPr>
          <w:rFonts w:hint="eastAsia"/>
          <w:color w:val="000000"/>
        </w:rPr>
      </w:pPr>
      <w:r>
        <w:rPr>
          <w:color w:val="000000"/>
        </w:rPr>
        <w:t>265.</w:t>
      </w:r>
      <w:r>
        <w:rPr>
          <w:color w:val="000000"/>
        </w:rPr>
        <w:tab/>
      </w:r>
      <w:r>
        <w:rPr>
          <w:rFonts w:hint="eastAsia"/>
          <w:color w:val="000000"/>
        </w:rPr>
        <w:t>东帝汶的文盲率很高，因此，电子媒体对公众宣传有着重要的作用。但是，由于供电不稳定，电子媒体的覆盖率受到了限制。很显然，从总体上来说，不仅需要发挥社区广播的作用，而且需要地方政府和民间社会为信息（包括人权信息）的宣传做出努力。</w:t>
      </w:r>
    </w:p>
    <w:p w:rsidR="00692915" w:rsidRDefault="00692915" w:rsidP="009A1C1B">
      <w:pPr>
        <w:tabs>
          <w:tab w:val="left" w:pos="1170"/>
        </w:tabs>
        <w:ind w:firstLine="31680"/>
        <w:rPr>
          <w:rFonts w:hint="eastAsia"/>
          <w:color w:val="000000"/>
        </w:rPr>
      </w:pPr>
      <w:r>
        <w:rPr>
          <w:color w:val="000000"/>
        </w:rPr>
        <w:t>266.</w:t>
      </w:r>
      <w:r>
        <w:rPr>
          <w:color w:val="000000"/>
        </w:rPr>
        <w:tab/>
      </w:r>
      <w:r>
        <w:rPr>
          <w:rFonts w:hint="eastAsia"/>
          <w:color w:val="000000"/>
        </w:rPr>
        <w:t>以印刷媒体和电子媒体公布的各种方案涉及各种与帝汶人密切相关的人权问题，如：儿童与妇女权利、言论自由、程序保障、政治参与以及与减贫有关的各种问题</w:t>
      </w:r>
      <w:r>
        <w:rPr>
          <w:rFonts w:ascii="SimHei" w:eastAsia="SimHei" w:hint="eastAsia"/>
          <w:color w:val="000000"/>
          <w:spacing w:val="0"/>
        </w:rPr>
        <w:t>——</w:t>
      </w:r>
      <w:r>
        <w:rPr>
          <w:rFonts w:hint="eastAsia"/>
          <w:color w:val="000000"/>
        </w:rPr>
        <w:t>这是绝大多数东帝汶人特别关心的时事问题。</w:t>
      </w:r>
    </w:p>
    <w:p w:rsidR="00692915" w:rsidRDefault="00692915" w:rsidP="009A1C1B">
      <w:pPr>
        <w:tabs>
          <w:tab w:val="left" w:pos="1170"/>
        </w:tabs>
        <w:ind w:firstLine="31680"/>
        <w:rPr>
          <w:bCs/>
          <w:color w:val="000000"/>
        </w:rPr>
      </w:pPr>
      <w:r>
        <w:rPr>
          <w:bCs/>
          <w:color w:val="000000"/>
        </w:rPr>
        <w:t>267.</w:t>
      </w:r>
      <w:r>
        <w:rPr>
          <w:bCs/>
          <w:color w:val="000000"/>
        </w:rPr>
        <w:tab/>
      </w:r>
      <w:r>
        <w:rPr>
          <w:rFonts w:hint="eastAsia"/>
          <w:bCs/>
          <w:color w:val="000000"/>
        </w:rPr>
        <w:t>在广播媒体中，帝汶仁爱广播台和东帝汶广播台用了相当多的时间定期播出有关妇女和儿童问题的节目。在</w:t>
      </w:r>
      <w:r>
        <w:rPr>
          <w:bCs/>
          <w:color w:val="000000"/>
        </w:rPr>
        <w:t>人权事务高级专员办事处</w:t>
      </w:r>
      <w:r>
        <w:rPr>
          <w:rFonts w:hint="eastAsia"/>
          <w:bCs/>
          <w:color w:val="000000"/>
        </w:rPr>
        <w:t>和</w:t>
      </w:r>
      <w:r>
        <w:rPr>
          <w:bCs/>
          <w:color w:val="000000"/>
        </w:rPr>
        <w:t>东帝汶支助团</w:t>
      </w:r>
      <w:r>
        <w:rPr>
          <w:rFonts w:hint="eastAsia"/>
          <w:bCs/>
          <w:color w:val="000000"/>
        </w:rPr>
        <w:t>公共信息办公室的资助下，</w:t>
      </w:r>
      <w:r>
        <w:rPr>
          <w:bCs/>
          <w:color w:val="000000"/>
        </w:rPr>
        <w:t>东帝汶支助团</w:t>
      </w:r>
      <w:r>
        <w:rPr>
          <w:rFonts w:hint="eastAsia"/>
          <w:bCs/>
          <w:color w:val="000000"/>
        </w:rPr>
        <w:t>人权股</w:t>
      </w:r>
      <w:r>
        <w:rPr>
          <w:bCs/>
          <w:color w:val="000000"/>
        </w:rPr>
        <w:t>/</w:t>
      </w:r>
      <w:r>
        <w:rPr>
          <w:bCs/>
          <w:color w:val="000000"/>
        </w:rPr>
        <w:t>东帝汶办事处</w:t>
      </w:r>
      <w:r>
        <w:rPr>
          <w:rFonts w:hint="eastAsia"/>
          <w:bCs/>
          <w:color w:val="000000"/>
        </w:rPr>
        <w:t>播出了大约</w:t>
      </w:r>
      <w:r>
        <w:rPr>
          <w:rFonts w:hint="eastAsia"/>
          <w:bCs/>
          <w:color w:val="000000"/>
        </w:rPr>
        <w:t>100</w:t>
      </w:r>
      <w:r>
        <w:rPr>
          <w:rFonts w:hint="eastAsia"/>
          <w:bCs/>
          <w:color w:val="000000"/>
        </w:rPr>
        <w:t>个节目，每次节目时间为</w:t>
      </w:r>
      <w:r>
        <w:rPr>
          <w:rFonts w:hint="eastAsia"/>
          <w:bCs/>
          <w:color w:val="000000"/>
        </w:rPr>
        <w:t>1</w:t>
      </w:r>
      <w:r>
        <w:rPr>
          <w:rFonts w:hint="eastAsia"/>
          <w:bCs/>
          <w:color w:val="000000"/>
        </w:rPr>
        <w:t>小时，内容涉及人权问题，如：妇女权利、对妇女暴力问题（包括家庭暴力、出于商业目的的性剥削等）、儿童保护、决策中的人权等。促进平等事务总理顾问办公室在</w:t>
      </w:r>
      <w:r>
        <w:rPr>
          <w:bCs/>
          <w:color w:val="000000"/>
        </w:rPr>
        <w:t>联合国东帝汶支助团</w:t>
      </w:r>
      <w:r>
        <w:rPr>
          <w:rFonts w:hint="eastAsia"/>
          <w:bCs/>
          <w:color w:val="000000"/>
        </w:rPr>
        <w:t>性别事务股的支持下，也参与了一系列讨论，这些讨论涉及</w:t>
      </w:r>
      <w:r>
        <w:rPr>
          <w:rFonts w:hint="eastAsia"/>
          <w:bCs/>
          <w:color w:val="000000"/>
        </w:rPr>
        <w:t>2005</w:t>
      </w:r>
      <w:r>
        <w:rPr>
          <w:rFonts w:hint="eastAsia"/>
          <w:bCs/>
          <w:color w:val="000000"/>
        </w:rPr>
        <w:t>年妇女在</w:t>
      </w:r>
      <w:r>
        <w:rPr>
          <w:rFonts w:eastAsia="KaiTi_GB2312" w:hint="eastAsia"/>
          <w:bCs/>
          <w:color w:val="000000"/>
        </w:rPr>
        <w:t>乡</w:t>
      </w:r>
      <w:r>
        <w:rPr>
          <w:rFonts w:hint="eastAsia"/>
          <w:bCs/>
          <w:color w:val="000000"/>
        </w:rPr>
        <w:t>选举中的作用，东帝汶广播台播放了这次选举的情况。</w:t>
      </w:r>
    </w:p>
    <w:p w:rsidR="00692915" w:rsidRDefault="00692915" w:rsidP="009A1C1B">
      <w:pPr>
        <w:tabs>
          <w:tab w:val="left" w:pos="1170"/>
        </w:tabs>
        <w:ind w:firstLine="31680"/>
        <w:rPr>
          <w:rFonts w:hint="eastAsia"/>
          <w:color w:val="000000"/>
        </w:rPr>
      </w:pPr>
      <w:r>
        <w:rPr>
          <w:color w:val="000000"/>
        </w:rPr>
        <w:t>268.</w:t>
      </w:r>
      <w:r>
        <w:rPr>
          <w:color w:val="000000"/>
        </w:rPr>
        <w:tab/>
      </w:r>
      <w:r>
        <w:rPr>
          <w:rFonts w:hint="eastAsia"/>
          <w:color w:val="000000"/>
        </w:rPr>
        <w:t>2003</w:t>
      </w:r>
      <w:r>
        <w:rPr>
          <w:rFonts w:hint="eastAsia"/>
          <w:color w:val="000000"/>
        </w:rPr>
        <w:t>年，</w:t>
      </w:r>
      <w:r>
        <w:rPr>
          <w:color w:val="000000"/>
        </w:rPr>
        <w:t>促进平等事务总理顾问办公室</w:t>
      </w:r>
      <w:r>
        <w:rPr>
          <w:rFonts w:hint="eastAsia"/>
          <w:color w:val="000000"/>
        </w:rPr>
        <w:t>首次举办了一次为期两天的培训班，这是与国际记者培训机构的媒体监督部（设在帝力的一家新闻机构）一起进行的，培训内容涉及媒体与性别，尤其是如何通过媒体更好地解决妇女权利的问题。</w:t>
      </w:r>
      <w:r>
        <w:rPr>
          <w:color w:val="000000"/>
        </w:rPr>
        <w:t>促进平等事务总理顾问办公室</w:t>
      </w:r>
      <w:r>
        <w:rPr>
          <w:rFonts w:hint="eastAsia"/>
          <w:color w:val="000000"/>
        </w:rPr>
        <w:t>要求媒体监督部对帝力各大报纸和电台展示妇女形象的情况进行分析。该部采用专门的监督模板，对两家报纸和帝力地区两家电台在两周内的报道题材进行了分析。有关广播节目和印刷媒体的分析结果显示，媒体中有关妇女的报道很少，即使有，也不能反映广大妇女的心声，而且所描述的妇女往往是受害人或传统的形象。</w:t>
      </w:r>
      <w:r>
        <w:rPr>
          <w:rStyle w:val="FootnoteReference"/>
          <w:color w:val="000000"/>
        </w:rPr>
        <w:footnoteReference w:id="140"/>
      </w:r>
      <w:r>
        <w:rPr>
          <w:rFonts w:hint="eastAsia"/>
          <w:color w:val="000000"/>
        </w:rPr>
        <w:t>有关</w:t>
      </w:r>
      <w:r>
        <w:rPr>
          <w:color w:val="000000"/>
        </w:rPr>
        <w:t>《消除对妇女一切形式歧视公约》</w:t>
      </w:r>
      <w:r>
        <w:rPr>
          <w:rFonts w:hint="eastAsia"/>
          <w:color w:val="000000"/>
        </w:rPr>
        <w:t>的专门文件将进一步讨论媒体中的妇女待遇问题。</w:t>
      </w:r>
    </w:p>
    <w:p w:rsidR="00692915" w:rsidRDefault="00692915" w:rsidP="009A1C1B">
      <w:pPr>
        <w:tabs>
          <w:tab w:val="left" w:pos="1170"/>
        </w:tabs>
        <w:ind w:firstLine="31680"/>
        <w:rPr>
          <w:rFonts w:hint="eastAsia"/>
          <w:bCs/>
          <w:color w:val="000000"/>
        </w:rPr>
      </w:pPr>
      <w:r>
        <w:rPr>
          <w:bCs/>
          <w:color w:val="000000"/>
        </w:rPr>
        <w:t>269.</w:t>
      </w:r>
      <w:r>
        <w:rPr>
          <w:bCs/>
          <w:color w:val="000000"/>
        </w:rPr>
        <w:tab/>
      </w:r>
      <w:r>
        <w:rPr>
          <w:rFonts w:hint="eastAsia"/>
          <w:bCs/>
          <w:color w:val="000000"/>
        </w:rPr>
        <w:t>继</w:t>
      </w:r>
      <w:r>
        <w:rPr>
          <w:bCs/>
          <w:color w:val="000000"/>
        </w:rPr>
        <w:t>促进平等事务总理顾问办公室</w:t>
      </w:r>
      <w:r>
        <w:rPr>
          <w:rFonts w:hint="eastAsia"/>
          <w:bCs/>
          <w:color w:val="000000"/>
        </w:rPr>
        <w:t>举办首次性别问题培训后，国际记者培训机构的记者又于</w:t>
      </w:r>
      <w:r>
        <w:rPr>
          <w:rFonts w:hint="eastAsia"/>
          <w:bCs/>
          <w:color w:val="000000"/>
        </w:rPr>
        <w:t>2005</w:t>
      </w:r>
      <w:r>
        <w:rPr>
          <w:rFonts w:hint="eastAsia"/>
          <w:bCs/>
          <w:color w:val="000000"/>
        </w:rPr>
        <w:t>年开展了一个项目，该项目是受总理顾问办公室的委托进行的，名为“探索妇女之路（</w:t>
      </w:r>
      <w:r>
        <w:rPr>
          <w:bCs/>
          <w:i/>
          <w:color w:val="000000"/>
        </w:rPr>
        <w:t>Feto Buka Dalen</w:t>
      </w:r>
      <w:r>
        <w:rPr>
          <w:rFonts w:hint="eastAsia"/>
          <w:bCs/>
          <w:color w:val="000000"/>
        </w:rPr>
        <w:t>）”，这是国家广播台的一个系列节目，主要介绍自独立以来东帝汶妇女的进步和所面临的挑战。总共播出了</w:t>
      </w:r>
      <w:r>
        <w:rPr>
          <w:rFonts w:hint="eastAsia"/>
          <w:bCs/>
          <w:color w:val="000000"/>
        </w:rPr>
        <w:t>12</w:t>
      </w:r>
      <w:r>
        <w:rPr>
          <w:rFonts w:hint="eastAsia"/>
          <w:bCs/>
          <w:color w:val="000000"/>
        </w:rPr>
        <w:t>次有关</w:t>
      </w:r>
      <w:r>
        <w:rPr>
          <w:bCs/>
          <w:color w:val="000000"/>
        </w:rPr>
        <w:t>《消除对妇女一切形式歧视公约》</w:t>
      </w:r>
      <w:r>
        <w:rPr>
          <w:rFonts w:hint="eastAsia"/>
          <w:bCs/>
          <w:color w:val="000000"/>
        </w:rPr>
        <w:t>的节目，每次</w:t>
      </w:r>
      <w:r>
        <w:rPr>
          <w:rFonts w:hint="eastAsia"/>
          <w:bCs/>
          <w:color w:val="000000"/>
        </w:rPr>
        <w:t>20</w:t>
      </w:r>
      <w:r>
        <w:rPr>
          <w:rFonts w:hint="eastAsia"/>
          <w:bCs/>
          <w:color w:val="000000"/>
        </w:rPr>
        <w:t>分钟，内容涉及卫生、教育、就业和妇女寻求司法帮助的情况，包括对</w:t>
      </w:r>
      <w:r>
        <w:rPr>
          <w:bCs/>
          <w:color w:val="000000"/>
        </w:rPr>
        <w:t>《消除对妇女一切形式歧视公约》</w:t>
      </w:r>
      <w:r>
        <w:rPr>
          <w:rFonts w:hint="eastAsia"/>
          <w:bCs/>
          <w:color w:val="000000"/>
        </w:rPr>
        <w:t>和公约报告程序的介绍。此外，还采访了各行各业的妇女，以了解她们有关这些问题的知识和体验，这些节目由</w:t>
      </w:r>
      <w:r>
        <w:rPr>
          <w:rFonts w:hint="eastAsia"/>
          <w:bCs/>
          <w:color w:val="000000"/>
        </w:rPr>
        <w:t>16</w:t>
      </w:r>
      <w:r>
        <w:rPr>
          <w:rFonts w:hint="eastAsia"/>
          <w:bCs/>
          <w:color w:val="000000"/>
        </w:rPr>
        <w:t>个社区广播站以德顿语在四个地区广播，这四个地区是：维克克、洛斯帕洛斯、马利亚纳和</w:t>
      </w:r>
      <w:r>
        <w:rPr>
          <w:color w:val="000000"/>
          <w:szCs w:val="18"/>
        </w:rPr>
        <w:t>阿伊莱乌</w:t>
      </w:r>
      <w:r>
        <w:rPr>
          <w:rFonts w:hint="eastAsia"/>
          <w:color w:val="000000"/>
          <w:szCs w:val="18"/>
        </w:rPr>
        <w:t>。</w:t>
      </w:r>
    </w:p>
    <w:p w:rsidR="00692915" w:rsidRDefault="00692915" w:rsidP="009A1C1B">
      <w:pPr>
        <w:tabs>
          <w:tab w:val="left" w:pos="1170"/>
        </w:tabs>
        <w:ind w:firstLine="31680"/>
        <w:rPr>
          <w:rFonts w:hint="eastAsia"/>
          <w:bCs/>
          <w:color w:val="000000"/>
        </w:rPr>
      </w:pPr>
      <w:r>
        <w:rPr>
          <w:bCs/>
          <w:color w:val="000000"/>
        </w:rPr>
        <w:t>270.</w:t>
      </w:r>
      <w:r>
        <w:rPr>
          <w:bCs/>
          <w:color w:val="000000"/>
        </w:rPr>
        <w:tab/>
      </w:r>
      <w:r>
        <w:rPr>
          <w:rFonts w:hint="eastAsia"/>
          <w:bCs/>
          <w:color w:val="000000"/>
        </w:rPr>
        <w:t>在对该项目进行评估后，得出了值得注意的信息反馈。在参与调查的</w:t>
      </w:r>
      <w:r>
        <w:rPr>
          <w:rFonts w:hint="eastAsia"/>
          <w:bCs/>
          <w:color w:val="000000"/>
        </w:rPr>
        <w:t>400</w:t>
      </w:r>
      <w:r>
        <w:rPr>
          <w:rFonts w:hint="eastAsia"/>
          <w:bCs/>
          <w:color w:val="000000"/>
        </w:rPr>
        <w:t>名人员中，有</w:t>
      </w:r>
      <w:r>
        <w:rPr>
          <w:rFonts w:hint="eastAsia"/>
          <w:bCs/>
          <w:color w:val="000000"/>
        </w:rPr>
        <w:t>289</w:t>
      </w:r>
      <w:r>
        <w:rPr>
          <w:rFonts w:hint="eastAsia"/>
          <w:bCs/>
          <w:color w:val="000000"/>
        </w:rPr>
        <w:t>名（</w:t>
      </w:r>
      <w:r>
        <w:rPr>
          <w:rFonts w:hint="eastAsia"/>
          <w:bCs/>
          <w:color w:val="000000"/>
        </w:rPr>
        <w:t>72%</w:t>
      </w:r>
      <w:r>
        <w:rPr>
          <w:rFonts w:hint="eastAsia"/>
          <w:bCs/>
          <w:color w:val="000000"/>
        </w:rPr>
        <w:t>）听过该节目。在这</w:t>
      </w:r>
      <w:r>
        <w:rPr>
          <w:rFonts w:hint="eastAsia"/>
          <w:bCs/>
          <w:color w:val="000000"/>
        </w:rPr>
        <w:t>289</w:t>
      </w:r>
      <w:r>
        <w:rPr>
          <w:rFonts w:hint="eastAsia"/>
          <w:bCs/>
          <w:color w:val="000000"/>
        </w:rPr>
        <w:t>名听众中，有</w:t>
      </w:r>
      <w:r>
        <w:rPr>
          <w:rFonts w:hint="eastAsia"/>
          <w:bCs/>
          <w:color w:val="000000"/>
        </w:rPr>
        <w:t>159</w:t>
      </w:r>
      <w:r>
        <w:rPr>
          <w:rFonts w:hint="eastAsia"/>
          <w:bCs/>
          <w:color w:val="000000"/>
        </w:rPr>
        <w:t>名（</w:t>
      </w:r>
      <w:r>
        <w:rPr>
          <w:rFonts w:hint="eastAsia"/>
          <w:bCs/>
          <w:color w:val="000000"/>
        </w:rPr>
        <w:t>55%</w:t>
      </w:r>
      <w:r>
        <w:rPr>
          <w:rFonts w:hint="eastAsia"/>
          <w:bCs/>
          <w:color w:val="000000"/>
        </w:rPr>
        <w:t>）听了所有的节目，</w:t>
      </w:r>
      <w:r>
        <w:rPr>
          <w:rFonts w:hint="eastAsia"/>
          <w:bCs/>
          <w:color w:val="000000"/>
        </w:rPr>
        <w:t>211</w:t>
      </w:r>
      <w:r>
        <w:rPr>
          <w:rFonts w:hint="eastAsia"/>
          <w:bCs/>
          <w:color w:val="000000"/>
        </w:rPr>
        <w:t>名（</w:t>
      </w:r>
      <w:r>
        <w:rPr>
          <w:rFonts w:hint="eastAsia"/>
          <w:bCs/>
          <w:color w:val="000000"/>
        </w:rPr>
        <w:t>73%</w:t>
      </w:r>
      <w:r>
        <w:rPr>
          <w:rFonts w:hint="eastAsia"/>
          <w:bCs/>
          <w:color w:val="000000"/>
        </w:rPr>
        <w:t>）认为节目通俗易懂，</w:t>
      </w:r>
      <w:r>
        <w:rPr>
          <w:rFonts w:hint="eastAsia"/>
          <w:bCs/>
          <w:color w:val="000000"/>
        </w:rPr>
        <w:t>257</w:t>
      </w:r>
      <w:r>
        <w:rPr>
          <w:rFonts w:hint="eastAsia"/>
          <w:bCs/>
          <w:color w:val="000000"/>
        </w:rPr>
        <w:t>名（</w:t>
      </w:r>
      <w:r>
        <w:rPr>
          <w:rFonts w:hint="eastAsia"/>
          <w:bCs/>
          <w:color w:val="000000"/>
        </w:rPr>
        <w:t>89%</w:t>
      </w:r>
      <w:r>
        <w:rPr>
          <w:rFonts w:hint="eastAsia"/>
          <w:bCs/>
          <w:color w:val="000000"/>
        </w:rPr>
        <w:t>）要求继续播放这类节目。在有关该节目的意见中，只有五分之一多的被调查人员认为节目“提高了社区教育水平”，“有助于鼓励妇女独立”，使用的资料“具有可信度和有助于了解性别问题”，将会“鼓励妇女参与国家的发展”。</w:t>
      </w:r>
    </w:p>
    <w:p w:rsidR="00692915" w:rsidRDefault="00692915" w:rsidP="009A1C1B">
      <w:pPr>
        <w:tabs>
          <w:tab w:val="left" w:pos="1170"/>
        </w:tabs>
        <w:ind w:firstLine="31680"/>
        <w:rPr>
          <w:rFonts w:hint="eastAsia"/>
          <w:color w:val="000000"/>
        </w:rPr>
      </w:pPr>
      <w:r>
        <w:rPr>
          <w:color w:val="000000"/>
        </w:rPr>
        <w:t>271.</w:t>
      </w:r>
      <w:r>
        <w:rPr>
          <w:color w:val="000000"/>
        </w:rPr>
        <w:tab/>
      </w:r>
      <w:r>
        <w:rPr>
          <w:rFonts w:hint="eastAsia"/>
          <w:color w:val="000000"/>
        </w:rPr>
        <w:t>除了提高人民对妇女暴力问题的意识外，</w:t>
      </w:r>
      <w:r>
        <w:rPr>
          <w:color w:val="000000"/>
        </w:rPr>
        <w:t>促进平等事务总理顾问办公室</w:t>
      </w:r>
      <w:r>
        <w:rPr>
          <w:rFonts w:hint="eastAsia"/>
          <w:color w:val="000000"/>
        </w:rPr>
        <w:t>还积极利用媒体提高人们对性别和妇女权利的意识。如，在该办公室的支持下，从</w:t>
      </w:r>
      <w:r>
        <w:rPr>
          <w:rFonts w:hint="eastAsia"/>
          <w:color w:val="000000"/>
        </w:rPr>
        <w:t>2003</w:t>
      </w:r>
      <w:r>
        <w:rPr>
          <w:rFonts w:hint="eastAsia"/>
          <w:color w:val="000000"/>
        </w:rPr>
        <w:t>年开始，举办了一年一次的知识竞赛活动，活动名为“探索知识”，由中学生参与电视节目中有关性别平等问题的知识问答，获胜组将获得“米卡托（</w:t>
      </w:r>
      <w:r>
        <w:rPr>
          <w:color w:val="000000"/>
        </w:rPr>
        <w:t>Micato</w:t>
      </w:r>
      <w:r>
        <w:rPr>
          <w:rFonts w:hint="eastAsia"/>
          <w:color w:val="000000"/>
        </w:rPr>
        <w:t>）奖杯”，该奖杯是根据促进平等事务办公室目前的总理顾问命名的。</w:t>
      </w:r>
    </w:p>
    <w:p w:rsidR="00692915" w:rsidRDefault="00692915" w:rsidP="009A1C1B">
      <w:pPr>
        <w:tabs>
          <w:tab w:val="left" w:pos="1170"/>
        </w:tabs>
        <w:ind w:firstLine="31680"/>
        <w:rPr>
          <w:rFonts w:hint="eastAsia"/>
          <w:color w:val="000000"/>
        </w:rPr>
      </w:pPr>
      <w:r>
        <w:rPr>
          <w:color w:val="000000"/>
        </w:rPr>
        <w:t>272.</w:t>
      </w:r>
      <w:r>
        <w:rPr>
          <w:color w:val="000000"/>
        </w:rPr>
        <w:tab/>
      </w:r>
      <w:r>
        <w:rPr>
          <w:rFonts w:hint="eastAsia"/>
          <w:color w:val="000000"/>
        </w:rPr>
        <w:t>在撰写本报告时，</w:t>
      </w:r>
      <w:r>
        <w:rPr>
          <w:color w:val="000000"/>
        </w:rPr>
        <w:t>促进平等事务总理顾问办公室</w:t>
      </w:r>
      <w:r>
        <w:rPr>
          <w:rFonts w:hint="eastAsia"/>
          <w:color w:val="000000"/>
        </w:rPr>
        <w:t>在</w:t>
      </w:r>
      <w:r>
        <w:rPr>
          <w:color w:val="000000"/>
        </w:rPr>
        <w:t>妇发基金</w:t>
      </w:r>
      <w:r>
        <w:rPr>
          <w:color w:val="000000"/>
        </w:rPr>
        <w:t xml:space="preserve"> </w:t>
      </w:r>
      <w:r>
        <w:rPr>
          <w:rFonts w:hint="eastAsia"/>
          <w:color w:val="000000"/>
        </w:rPr>
        <w:t>关于</w:t>
      </w:r>
      <w:r>
        <w:rPr>
          <w:color w:val="000000"/>
        </w:rPr>
        <w:t>《消除对妇女一切形式歧视公约》</w:t>
      </w:r>
      <w:r>
        <w:rPr>
          <w:rFonts w:hint="eastAsia"/>
          <w:color w:val="000000"/>
        </w:rPr>
        <w:t>的东南亚方案合作下，准备为一个社区广播站“</w:t>
      </w:r>
      <w:r>
        <w:rPr>
          <w:rFonts w:hint="eastAsia"/>
          <w:bCs/>
          <w:color w:val="000000"/>
        </w:rPr>
        <w:t>洛瑞克之声广播台</w:t>
      </w:r>
      <w:r>
        <w:rPr>
          <w:rFonts w:hint="eastAsia"/>
          <w:color w:val="000000"/>
        </w:rPr>
        <w:t>”提供支持，</w:t>
      </w:r>
      <w:r>
        <w:rPr>
          <w:rFonts w:hint="eastAsia"/>
          <w:bCs/>
          <w:color w:val="000000"/>
        </w:rPr>
        <w:t>制作一个关于</w:t>
      </w:r>
      <w:r>
        <w:rPr>
          <w:bCs/>
          <w:color w:val="000000"/>
        </w:rPr>
        <w:t>《消除对妇女一切形式歧视公约》</w:t>
      </w:r>
      <w:r>
        <w:rPr>
          <w:rFonts w:hint="eastAsia"/>
          <w:bCs/>
          <w:color w:val="000000"/>
        </w:rPr>
        <w:t>的纪录片，纪录片共分为两部分，内容将包括：就《公约》相关领域对社区进行的采访，以及舞蹈团有关《</w:t>
      </w:r>
      <w:r>
        <w:rPr>
          <w:color w:val="000000"/>
        </w:rPr>
        <w:t>消除对妇女一切形式歧视公约》</w:t>
      </w:r>
      <w:r>
        <w:rPr>
          <w:rFonts w:hint="eastAsia"/>
          <w:bCs/>
          <w:color w:val="000000"/>
        </w:rPr>
        <w:t>的表演。</w:t>
      </w:r>
      <w:r>
        <w:rPr>
          <w:rFonts w:hint="eastAsia"/>
          <w:color w:val="000000"/>
        </w:rPr>
        <w:t>该纪录片将在东帝汶全国播放，以提高普通民众对</w:t>
      </w:r>
      <w:r>
        <w:rPr>
          <w:color w:val="000000"/>
        </w:rPr>
        <w:t>《消除对妇女一切形式歧视公约》</w:t>
      </w:r>
      <w:r>
        <w:rPr>
          <w:rFonts w:hint="eastAsia"/>
          <w:color w:val="000000"/>
        </w:rPr>
        <w:t>的认识。</w:t>
      </w:r>
    </w:p>
    <w:p w:rsidR="00692915" w:rsidRDefault="00692915" w:rsidP="009A1C1B">
      <w:pPr>
        <w:tabs>
          <w:tab w:val="left" w:pos="1170"/>
        </w:tabs>
        <w:spacing w:after="240"/>
        <w:ind w:firstLine="31680"/>
        <w:rPr>
          <w:rFonts w:hint="eastAsia"/>
          <w:color w:val="000000"/>
        </w:rPr>
      </w:pPr>
      <w:r>
        <w:rPr>
          <w:color w:val="000000"/>
        </w:rPr>
        <w:t>273.</w:t>
      </w:r>
      <w:r>
        <w:rPr>
          <w:color w:val="000000"/>
        </w:rPr>
        <w:tab/>
      </w:r>
      <w:r>
        <w:rPr>
          <w:rFonts w:hint="eastAsia"/>
          <w:color w:val="000000"/>
        </w:rPr>
        <w:t>如上所述，有些非政府组织也积极出版了人权方面的资料。例如：教育部</w:t>
      </w:r>
      <w:r>
        <w:rPr>
          <w:rFonts w:hint="eastAsia"/>
          <w:color w:val="000000"/>
        </w:rPr>
        <w:t>/</w:t>
      </w:r>
      <w:r>
        <w:rPr>
          <w:rFonts w:hint="eastAsia"/>
          <w:color w:val="000000"/>
        </w:rPr>
        <w:t>援外社国际协会有关儿童权利的刊物《鳄鱼》；全国性妇女非政府组织东帝汶妇女通讯论坛出版的每月简讯《鼓》（</w:t>
      </w:r>
      <w:r>
        <w:rPr>
          <w:i/>
          <w:color w:val="000000"/>
        </w:rPr>
        <w:t>Babadok</w:t>
      </w:r>
      <w:r>
        <w:rPr>
          <w:rFonts w:hint="eastAsia"/>
          <w:color w:val="000000"/>
        </w:rPr>
        <w:t>）。目前，尽管媒体对于弱势群体人权和少数民族人权普遍采取了一种开放的态度，但有关其他弱势人群（包括难民、老人或残疾人）权利的刊物很少。</w:t>
      </w:r>
    </w:p>
    <w:p w:rsidR="00692915" w:rsidRDefault="00692915">
      <w:pPr>
        <w:tabs>
          <w:tab w:val="left" w:pos="1170"/>
        </w:tabs>
        <w:spacing w:after="240"/>
        <w:ind w:firstLineChars="0" w:firstLine="0"/>
        <w:rPr>
          <w:rFonts w:hint="eastAsia"/>
          <w:color w:val="000000"/>
        </w:rPr>
      </w:pPr>
      <w:r>
        <w:rPr>
          <w:rFonts w:eastAsia="KaiTi_GB2312" w:hint="eastAsia"/>
          <w:bCs/>
          <w:color w:val="000000"/>
        </w:rPr>
        <w:t>民间社会</w:t>
      </w:r>
    </w:p>
    <w:p w:rsidR="00692915" w:rsidRDefault="00692915" w:rsidP="009A1C1B">
      <w:pPr>
        <w:tabs>
          <w:tab w:val="left" w:pos="1170"/>
        </w:tabs>
        <w:ind w:firstLine="31680"/>
        <w:rPr>
          <w:rFonts w:hint="eastAsia"/>
          <w:bCs/>
          <w:color w:val="000000"/>
        </w:rPr>
      </w:pPr>
      <w:r>
        <w:rPr>
          <w:bCs/>
          <w:color w:val="000000"/>
        </w:rPr>
        <w:t>274.</w:t>
      </w:r>
      <w:r>
        <w:rPr>
          <w:bCs/>
          <w:color w:val="000000"/>
        </w:rPr>
        <w:tab/>
      </w:r>
      <w:r>
        <w:rPr>
          <w:rFonts w:hint="eastAsia"/>
          <w:bCs/>
          <w:color w:val="000000"/>
        </w:rPr>
        <w:t>在东帝汶，公民参与政治生活由来已久。实际上，在争取独立的过程中，帝汶人的积极参与发挥了至关重要的作用。</w:t>
      </w:r>
    </w:p>
    <w:p w:rsidR="00692915" w:rsidRDefault="00692915" w:rsidP="009A1C1B">
      <w:pPr>
        <w:tabs>
          <w:tab w:val="left" w:pos="1170"/>
        </w:tabs>
        <w:ind w:firstLine="31680"/>
        <w:rPr>
          <w:rFonts w:hint="eastAsia"/>
          <w:bCs/>
          <w:color w:val="000000"/>
        </w:rPr>
      </w:pPr>
      <w:r>
        <w:rPr>
          <w:bCs/>
          <w:color w:val="000000"/>
        </w:rPr>
        <w:t>275.</w:t>
      </w:r>
      <w:r>
        <w:rPr>
          <w:bCs/>
          <w:color w:val="000000"/>
        </w:rPr>
        <w:tab/>
      </w:r>
      <w:r>
        <w:rPr>
          <w:rFonts w:hint="eastAsia"/>
          <w:bCs/>
          <w:color w:val="000000"/>
          <w:spacing w:val="8"/>
        </w:rPr>
        <w:t>显然在很多情况下，</w:t>
      </w:r>
      <w:r>
        <w:rPr>
          <w:rFonts w:hint="eastAsia"/>
          <w:bCs/>
          <w:color w:val="000000"/>
          <w:spacing w:val="8"/>
        </w:rPr>
        <w:t>1999</w:t>
      </w:r>
      <w:r>
        <w:rPr>
          <w:rFonts w:hint="eastAsia"/>
          <w:bCs/>
          <w:color w:val="000000"/>
          <w:spacing w:val="8"/>
        </w:rPr>
        <w:t>年末危机期间的国际干预、向完全由帝汶人自治的政治过渡，以及国家目前的发展进程都要得益于民间社会的积极参与。国家独立以后，东帝汶的非政府组织</w:t>
      </w:r>
      <w:r>
        <w:rPr>
          <w:rFonts w:ascii="Arial" w:hAnsi="Arial" w:cs="Arial" w:hint="eastAsia"/>
          <w:color w:val="000000"/>
          <w:spacing w:val="8"/>
        </w:rPr>
        <w:t>如雨后春笋般破土而出，目前，已有几百家民间组织</w:t>
      </w:r>
      <w:r>
        <w:rPr>
          <w:rStyle w:val="FootnoteReference"/>
          <w:bCs/>
          <w:color w:val="000000"/>
          <w:spacing w:val="8"/>
        </w:rPr>
        <w:footnoteReference w:id="141"/>
      </w:r>
      <w:r>
        <w:rPr>
          <w:rFonts w:ascii="Arial" w:hAnsi="Arial" w:cs="Arial" w:hint="eastAsia"/>
          <w:color w:val="000000"/>
        </w:rPr>
        <w:t>在东帝汶非政府组织论坛注册。不过，注册并没有任何特定标准，无论性质和职能如何，很多民间组织都可注册。由于注册不受限制，结果，注册的机构泛滥成灾，很多非政府组织都没有特定的宗旨。民间部门这种无节制的洪流冲跨了非政府组织以前所享有的优越地位。过去，民间社会包括具有凝聚力和尽职尽责的青年组织、与教会有关的组织和妇女组织，这些组织协力实施三项不同的职能：慈善、宣传和社区发展。</w:t>
      </w:r>
    </w:p>
    <w:p w:rsidR="00692915" w:rsidRDefault="00692915" w:rsidP="009A1C1B">
      <w:pPr>
        <w:tabs>
          <w:tab w:val="left" w:pos="1170"/>
        </w:tabs>
        <w:ind w:firstLine="31680"/>
        <w:rPr>
          <w:rFonts w:hint="eastAsia"/>
          <w:bCs/>
          <w:color w:val="000000"/>
        </w:rPr>
      </w:pPr>
      <w:r>
        <w:rPr>
          <w:bCs/>
          <w:color w:val="000000"/>
        </w:rPr>
        <w:t>276.</w:t>
      </w:r>
      <w:r>
        <w:rPr>
          <w:bCs/>
          <w:color w:val="000000"/>
        </w:rPr>
        <w:tab/>
      </w:r>
      <w:r>
        <w:rPr>
          <w:rFonts w:hint="eastAsia"/>
          <w:bCs/>
          <w:color w:val="000000"/>
          <w:spacing w:val="8"/>
        </w:rPr>
        <w:t>在经历了独立初期的“洪流”之后，从</w:t>
      </w:r>
      <w:r>
        <w:rPr>
          <w:rFonts w:hint="eastAsia"/>
          <w:bCs/>
          <w:color w:val="000000"/>
          <w:spacing w:val="8"/>
        </w:rPr>
        <w:t>2002</w:t>
      </w:r>
      <w:r>
        <w:rPr>
          <w:rFonts w:hint="eastAsia"/>
          <w:bCs/>
          <w:color w:val="000000"/>
          <w:spacing w:val="8"/>
        </w:rPr>
        <w:t>年开始，东帝汶目前仍然运作的非政府组织数量已在过去三年中减少了。截止</w:t>
      </w:r>
      <w:r>
        <w:rPr>
          <w:rFonts w:hint="eastAsia"/>
          <w:bCs/>
          <w:color w:val="000000"/>
          <w:spacing w:val="8"/>
        </w:rPr>
        <w:t>2005</w:t>
      </w:r>
      <w:r>
        <w:rPr>
          <w:rFonts w:hint="eastAsia"/>
          <w:bCs/>
          <w:color w:val="000000"/>
          <w:spacing w:val="8"/>
        </w:rPr>
        <w:t>年</w:t>
      </w:r>
      <w:r>
        <w:rPr>
          <w:rFonts w:hint="eastAsia"/>
          <w:bCs/>
          <w:color w:val="000000"/>
          <w:spacing w:val="8"/>
        </w:rPr>
        <w:t>12</w:t>
      </w:r>
      <w:r>
        <w:rPr>
          <w:rFonts w:hint="eastAsia"/>
          <w:bCs/>
          <w:color w:val="000000"/>
          <w:spacing w:val="8"/>
        </w:rPr>
        <w:t>月，活跃在东帝汶的国家非政府组织有</w:t>
      </w:r>
      <w:r>
        <w:rPr>
          <w:rFonts w:hint="eastAsia"/>
          <w:bCs/>
          <w:color w:val="000000"/>
          <w:spacing w:val="8"/>
        </w:rPr>
        <w:t>316</w:t>
      </w:r>
      <w:r>
        <w:rPr>
          <w:rFonts w:hint="eastAsia"/>
          <w:bCs/>
          <w:color w:val="000000"/>
          <w:spacing w:val="8"/>
        </w:rPr>
        <w:t>家，国际非政府组织有</w:t>
      </w:r>
      <w:r>
        <w:rPr>
          <w:rFonts w:hint="eastAsia"/>
          <w:bCs/>
          <w:color w:val="000000"/>
          <w:spacing w:val="8"/>
        </w:rPr>
        <w:t>77</w:t>
      </w:r>
      <w:r>
        <w:rPr>
          <w:rFonts w:hint="eastAsia"/>
          <w:bCs/>
          <w:color w:val="000000"/>
          <w:spacing w:val="8"/>
        </w:rPr>
        <w:t>家。据说，非政府组织数量的减少是因为：缺乏稳定的资金；组织从非营利性的转向了营利性的；在进行公务员招聘后领导阶层发生了变化；联合国机构政策的影响；缺乏捐赠者的支持；管理问题等。</w:t>
      </w:r>
      <w:r>
        <w:rPr>
          <w:rStyle w:val="FootnoteReference"/>
          <w:bCs/>
          <w:color w:val="000000"/>
          <w:spacing w:val="8"/>
        </w:rPr>
        <w:footnoteReference w:id="142"/>
      </w:r>
      <w:r>
        <w:rPr>
          <w:rFonts w:hint="eastAsia"/>
          <w:bCs/>
          <w:color w:val="000000"/>
        </w:rPr>
        <w:t>不过，非政府组织仍然在全国（包括阿陶罗岛）很活跃。</w:t>
      </w:r>
    </w:p>
    <w:p w:rsidR="00692915" w:rsidRDefault="00692915" w:rsidP="009A1C1B">
      <w:pPr>
        <w:tabs>
          <w:tab w:val="left" w:pos="1170"/>
        </w:tabs>
        <w:spacing w:after="240"/>
        <w:ind w:firstLine="31680"/>
        <w:rPr>
          <w:rFonts w:hint="eastAsia"/>
          <w:color w:val="000000"/>
        </w:rPr>
      </w:pPr>
      <w:r>
        <w:rPr>
          <w:color w:val="000000"/>
        </w:rPr>
        <w:t>277.</w:t>
      </w:r>
      <w:r>
        <w:rPr>
          <w:color w:val="000000"/>
        </w:rPr>
        <w:tab/>
      </w:r>
      <w:r>
        <w:rPr>
          <w:rFonts w:hint="eastAsia"/>
          <w:color w:val="000000"/>
        </w:rPr>
        <w:t>一部有关民间组织的新法律</w:t>
      </w:r>
      <w:r>
        <w:rPr>
          <w:rFonts w:ascii="SimHei" w:eastAsia="SimHei" w:hint="eastAsia"/>
          <w:color w:val="000000"/>
          <w:spacing w:val="0"/>
        </w:rPr>
        <w:t>——</w:t>
      </w:r>
      <w:r>
        <w:rPr>
          <w:rFonts w:hint="eastAsia"/>
          <w:color w:val="000000"/>
        </w:rPr>
        <w:t>《关于非营利法人的第</w:t>
      </w:r>
      <w:r>
        <w:rPr>
          <w:color w:val="000000"/>
        </w:rPr>
        <w:t>2005/5</w:t>
      </w:r>
      <w:r>
        <w:rPr>
          <w:rFonts w:hint="eastAsia"/>
          <w:color w:val="000000"/>
        </w:rPr>
        <w:t>号法律》于</w:t>
      </w:r>
      <w:r>
        <w:rPr>
          <w:rFonts w:hint="eastAsia"/>
          <w:color w:val="000000"/>
        </w:rPr>
        <w:t>2005</w:t>
      </w:r>
      <w:r>
        <w:rPr>
          <w:rFonts w:hint="eastAsia"/>
          <w:color w:val="000000"/>
        </w:rPr>
        <w:t>年生效，根据该法律，各实体应注册为民间组织，尽管很多非政府组织尚有待注册。</w:t>
      </w:r>
    </w:p>
    <w:p w:rsidR="00692915" w:rsidRDefault="00692915">
      <w:pPr>
        <w:tabs>
          <w:tab w:val="left" w:pos="1170"/>
        </w:tabs>
        <w:spacing w:after="240"/>
        <w:ind w:firstLineChars="0" w:firstLine="0"/>
        <w:rPr>
          <w:rFonts w:hint="eastAsia"/>
          <w:bCs/>
          <w:color w:val="000000"/>
        </w:rPr>
      </w:pPr>
      <w:r>
        <w:rPr>
          <w:rFonts w:eastAsia="KaiTi_GB2312" w:hint="eastAsia"/>
          <w:iCs/>
          <w:color w:val="000000"/>
        </w:rPr>
        <w:t>民间活动</w:t>
      </w:r>
    </w:p>
    <w:p w:rsidR="00692915" w:rsidRDefault="00692915" w:rsidP="009A1C1B">
      <w:pPr>
        <w:tabs>
          <w:tab w:val="left" w:pos="1170"/>
        </w:tabs>
        <w:ind w:firstLine="31680"/>
        <w:rPr>
          <w:rFonts w:hint="eastAsia"/>
          <w:bCs/>
          <w:color w:val="000000"/>
        </w:rPr>
      </w:pPr>
      <w:r>
        <w:rPr>
          <w:bCs/>
          <w:color w:val="000000"/>
        </w:rPr>
        <w:t>278.</w:t>
      </w:r>
      <w:r>
        <w:rPr>
          <w:bCs/>
          <w:color w:val="000000"/>
        </w:rPr>
        <w:tab/>
      </w:r>
      <w:r>
        <w:rPr>
          <w:rFonts w:hint="eastAsia"/>
          <w:bCs/>
          <w:color w:val="000000"/>
        </w:rPr>
        <w:t>东帝汶民间社会在整个国家范围内所行使的职能和从事的活动很多。在新独立国家的形成时期，民间社会在</w:t>
      </w:r>
      <w:r>
        <w:rPr>
          <w:rFonts w:hint="eastAsia"/>
          <w:bCs/>
          <w:color w:val="000000"/>
        </w:rPr>
        <w:t>2001</w:t>
      </w:r>
      <w:r>
        <w:rPr>
          <w:rFonts w:hint="eastAsia"/>
          <w:bCs/>
          <w:color w:val="000000"/>
        </w:rPr>
        <w:t>年有关制宪议会选举的公民教育中，以及</w:t>
      </w:r>
      <w:r>
        <w:rPr>
          <w:rFonts w:hint="eastAsia"/>
          <w:bCs/>
          <w:color w:val="000000"/>
        </w:rPr>
        <w:t>2002</w:t>
      </w:r>
      <w:r>
        <w:rPr>
          <w:rFonts w:hint="eastAsia"/>
          <w:bCs/>
          <w:color w:val="000000"/>
        </w:rPr>
        <w:t>年有关总统选举的公民教育中发挥了积极作用。另外，对于联合国过渡行政当局所制定的宪法和规章草案，民间社会也积极提供了各种意见和建议。</w:t>
      </w:r>
    </w:p>
    <w:p w:rsidR="00692915" w:rsidRDefault="00692915" w:rsidP="009A1C1B">
      <w:pPr>
        <w:tabs>
          <w:tab w:val="left" w:pos="1170"/>
        </w:tabs>
        <w:ind w:firstLine="31680"/>
        <w:rPr>
          <w:rFonts w:hint="eastAsia"/>
          <w:bCs/>
          <w:color w:val="000000"/>
        </w:rPr>
      </w:pPr>
      <w:r>
        <w:rPr>
          <w:bCs/>
          <w:color w:val="000000"/>
        </w:rPr>
        <w:t>279.</w:t>
      </w:r>
      <w:r>
        <w:rPr>
          <w:bCs/>
          <w:color w:val="000000"/>
        </w:rPr>
        <w:tab/>
      </w:r>
      <w:r>
        <w:rPr>
          <w:rFonts w:hint="eastAsia"/>
          <w:bCs/>
          <w:color w:val="000000"/>
        </w:rPr>
        <w:t>目前，民间社会所关注的发展领域更为广泛。国际非政府组织往往活跃于食品安全、营养、社区恢复、教育、人权、职业培训、英语学习、青年活动、宣传、医疗、法律援助、水与卫生、性别意识、化解冲突和宽容教育、社区卫生所、创收活动、土地利用规划及其他领域。</w:t>
      </w:r>
      <w:r>
        <w:rPr>
          <w:rStyle w:val="FootnoteReference"/>
          <w:bCs/>
          <w:color w:val="000000"/>
        </w:rPr>
        <w:footnoteReference w:id="143"/>
      </w:r>
      <w:r>
        <w:rPr>
          <w:rFonts w:hint="eastAsia"/>
          <w:bCs/>
          <w:color w:val="000000"/>
        </w:rPr>
        <w:t>全国性非政府组织主要活跃于农业、教育、卫生、经济、水与卫生、儿童与媒体等领域，</w:t>
      </w:r>
      <w:r>
        <w:rPr>
          <w:rStyle w:val="FootnoteReference"/>
          <w:bCs/>
          <w:color w:val="000000"/>
        </w:rPr>
        <w:footnoteReference w:id="144"/>
      </w:r>
      <w:r>
        <w:rPr>
          <w:rFonts w:hint="eastAsia"/>
          <w:bCs/>
          <w:color w:val="000000"/>
        </w:rPr>
        <w:t>这说明国民要在很大程度上依赖国际援助和支持。</w:t>
      </w:r>
    </w:p>
    <w:p w:rsidR="00692915" w:rsidRDefault="00692915" w:rsidP="009A1C1B">
      <w:pPr>
        <w:tabs>
          <w:tab w:val="left" w:pos="1170"/>
        </w:tabs>
        <w:ind w:firstLine="31680"/>
        <w:rPr>
          <w:rFonts w:hint="eastAsia"/>
          <w:bCs/>
          <w:color w:val="000000"/>
        </w:rPr>
      </w:pPr>
      <w:r>
        <w:rPr>
          <w:bCs/>
          <w:color w:val="000000"/>
        </w:rPr>
        <w:t>280.</w:t>
      </w:r>
      <w:r>
        <w:rPr>
          <w:bCs/>
          <w:color w:val="000000"/>
        </w:rPr>
        <w:tab/>
      </w:r>
      <w:r>
        <w:rPr>
          <w:rFonts w:hint="eastAsia"/>
          <w:bCs/>
          <w:color w:val="000000"/>
        </w:rPr>
        <w:t xml:space="preserve"> </w:t>
      </w:r>
      <w:r>
        <w:rPr>
          <w:rFonts w:hint="eastAsia"/>
          <w:bCs/>
          <w:color w:val="000000"/>
        </w:rPr>
        <w:t>在对东帝汶的侵犯人权情况进行监测和报告方面，非政府组织已经发挥了并将继续发挥重要的作用，人权非政府组织的活动几乎涉及所有可能存在侵犯人权问题的领域。他们对法院诉讼、警察行为进行监督，有些情况下，还对监狱条件进行监测。另外，他们还为制定东帝汶的政策与方案发展，从事了相关研究。</w:t>
      </w:r>
    </w:p>
    <w:p w:rsidR="00692915" w:rsidRDefault="00692915" w:rsidP="009A1C1B">
      <w:pPr>
        <w:tabs>
          <w:tab w:val="left" w:pos="1170"/>
        </w:tabs>
        <w:spacing w:after="240"/>
        <w:ind w:firstLine="31680"/>
        <w:rPr>
          <w:rFonts w:hint="eastAsia"/>
          <w:color w:val="000000"/>
        </w:rPr>
      </w:pPr>
      <w:r>
        <w:rPr>
          <w:color w:val="000000"/>
        </w:rPr>
        <w:t>281.</w:t>
      </w:r>
      <w:r>
        <w:rPr>
          <w:color w:val="000000"/>
        </w:rPr>
        <w:tab/>
      </w:r>
      <w:r>
        <w:rPr>
          <w:rFonts w:hint="eastAsia"/>
          <w:color w:val="000000"/>
        </w:rPr>
        <w:t>非政府组织参与的方式很多，从提供服务、监测、宣传、协助制定政策与计划，一直到从事基层的发展活动。与地方政府不同的是，地方政府仍在努力进行运营能力方面的建设，而民间组织已在提供地方服务方面发挥了积极作用，而且活动涉及众多领域。在捐赠方向东帝汶资助的发展项目和提供的技术援助（相当于大约</w:t>
      </w:r>
      <w:r>
        <w:rPr>
          <w:rFonts w:hint="eastAsia"/>
          <w:color w:val="000000"/>
        </w:rPr>
        <w:t>8</w:t>
      </w:r>
      <w:r>
        <w:rPr>
          <w:color w:val="000000"/>
        </w:rPr>
        <w:t>,</w:t>
      </w:r>
      <w:r>
        <w:rPr>
          <w:rFonts w:hint="eastAsia"/>
          <w:color w:val="000000"/>
        </w:rPr>
        <w:t>000</w:t>
      </w:r>
      <w:r>
        <w:rPr>
          <w:rFonts w:hint="eastAsia"/>
          <w:color w:val="000000"/>
        </w:rPr>
        <w:t>万美元）中，大约有</w:t>
      </w:r>
      <w:r>
        <w:rPr>
          <w:rFonts w:hint="eastAsia"/>
          <w:color w:val="000000"/>
        </w:rPr>
        <w:t>10%</w:t>
      </w:r>
      <w:r>
        <w:rPr>
          <w:rFonts w:hint="eastAsia"/>
          <w:color w:val="000000"/>
        </w:rPr>
        <w:t>是通过非政府组织进行的，其中大多数是针对地方团体和社区的项目。</w:t>
      </w:r>
      <w:r>
        <w:rPr>
          <w:rStyle w:val="FootnoteReference"/>
          <w:bCs/>
          <w:color w:val="000000"/>
        </w:rPr>
        <w:footnoteReference w:id="145"/>
      </w:r>
    </w:p>
    <w:p w:rsidR="00692915" w:rsidRDefault="00692915">
      <w:pPr>
        <w:tabs>
          <w:tab w:val="left" w:pos="1170"/>
        </w:tabs>
        <w:spacing w:after="240"/>
        <w:ind w:firstLineChars="0" w:firstLine="0"/>
        <w:rPr>
          <w:rFonts w:hint="eastAsia"/>
          <w:bCs/>
          <w:color w:val="000000"/>
        </w:rPr>
      </w:pPr>
      <w:r>
        <w:rPr>
          <w:rFonts w:eastAsia="KaiTi_GB2312" w:hint="eastAsia"/>
          <w:iCs/>
          <w:color w:val="000000"/>
        </w:rPr>
        <w:t>民间妇女组织</w:t>
      </w:r>
    </w:p>
    <w:p w:rsidR="00692915" w:rsidRDefault="00692915" w:rsidP="009A1C1B">
      <w:pPr>
        <w:tabs>
          <w:tab w:val="left" w:pos="1170"/>
        </w:tabs>
        <w:ind w:firstLine="31680"/>
        <w:rPr>
          <w:rFonts w:hint="eastAsia"/>
          <w:bCs/>
          <w:color w:val="000000"/>
        </w:rPr>
      </w:pPr>
      <w:r>
        <w:rPr>
          <w:bCs/>
          <w:color w:val="000000"/>
        </w:rPr>
        <w:t>282.</w:t>
      </w:r>
      <w:r>
        <w:rPr>
          <w:bCs/>
          <w:color w:val="000000"/>
        </w:rPr>
        <w:tab/>
      </w:r>
      <w:r>
        <w:rPr>
          <w:rFonts w:hint="eastAsia"/>
          <w:bCs/>
          <w:color w:val="000000"/>
          <w:u w:val="single"/>
        </w:rPr>
        <w:t>全国大会</w:t>
      </w:r>
      <w:r>
        <w:rPr>
          <w:rFonts w:hint="eastAsia"/>
          <w:bCs/>
          <w:color w:val="000000"/>
        </w:rPr>
        <w:t>。最近几年，地区和全国妇女大会发挥了重要作用，这些会议将妇女召集在一起讨论各种影响其日程生活的问题。</w:t>
      </w:r>
      <w:r>
        <w:rPr>
          <w:rFonts w:hint="eastAsia"/>
          <w:bCs/>
          <w:color w:val="000000"/>
        </w:rPr>
        <w:t>2000</w:t>
      </w:r>
      <w:r>
        <w:rPr>
          <w:rFonts w:hint="eastAsia"/>
          <w:bCs/>
          <w:color w:val="000000"/>
        </w:rPr>
        <w:t>年</w:t>
      </w:r>
      <w:r>
        <w:rPr>
          <w:rFonts w:hint="eastAsia"/>
          <w:bCs/>
          <w:color w:val="000000"/>
        </w:rPr>
        <w:t>6</w:t>
      </w:r>
      <w:r>
        <w:rPr>
          <w:rFonts w:hint="eastAsia"/>
          <w:bCs/>
          <w:color w:val="000000"/>
        </w:rPr>
        <w:t>月，第一次全国妇女大会在帝力召开，共有</w:t>
      </w:r>
      <w:r>
        <w:rPr>
          <w:rFonts w:hint="eastAsia"/>
          <w:bCs/>
          <w:color w:val="000000"/>
        </w:rPr>
        <w:t>500</w:t>
      </w:r>
      <w:r>
        <w:rPr>
          <w:rFonts w:hint="eastAsia"/>
          <w:bCs/>
          <w:color w:val="000000"/>
        </w:rPr>
        <w:t>多名来自东帝汶各地的妇女参与了这次会议。在这次会议上，通过了一项行动计划，该计划建议：妇女参与国家机构、国家决策活动以及其他活动；通过培训项目鼓励妇女参与政治生活；通过一项政策规定过渡政府中妇女代表的比例至少为</w:t>
      </w:r>
      <w:r>
        <w:rPr>
          <w:rFonts w:hint="eastAsia"/>
          <w:bCs/>
          <w:color w:val="000000"/>
        </w:rPr>
        <w:t>30%</w:t>
      </w:r>
      <w:r>
        <w:rPr>
          <w:rFonts w:hint="eastAsia"/>
          <w:bCs/>
          <w:color w:val="000000"/>
        </w:rPr>
        <w:t>；通过宣传突出妇女受歧视的问题</w:t>
      </w:r>
      <w:r>
        <w:rPr>
          <w:rFonts w:ascii="SimHei" w:eastAsia="SimHei" w:hint="eastAsia"/>
          <w:bCs/>
          <w:color w:val="000000"/>
          <w:spacing w:val="0"/>
        </w:rPr>
        <w:t>——</w:t>
      </w:r>
      <w:r>
        <w:rPr>
          <w:rFonts w:hint="eastAsia"/>
          <w:bCs/>
          <w:color w:val="000000"/>
        </w:rPr>
        <w:t>这是东帝汶的一个主要问题。第二次妇女大会于</w:t>
      </w:r>
      <w:r>
        <w:rPr>
          <w:rFonts w:hint="eastAsia"/>
          <w:bCs/>
          <w:color w:val="000000"/>
        </w:rPr>
        <w:t>2004</w:t>
      </w:r>
      <w:r>
        <w:rPr>
          <w:rFonts w:hint="eastAsia"/>
          <w:bCs/>
          <w:color w:val="000000"/>
        </w:rPr>
        <w:t>年召开，这次会议提出了类似建议：在政治生活中，妇女代表的人数不足，需要进一步针对妇女进行能力建设。参与</w:t>
      </w:r>
      <w:r>
        <w:rPr>
          <w:rFonts w:hint="eastAsia"/>
          <w:bCs/>
          <w:color w:val="000000"/>
        </w:rPr>
        <w:t>2004</w:t>
      </w:r>
      <w:r>
        <w:rPr>
          <w:rFonts w:hint="eastAsia"/>
          <w:bCs/>
          <w:color w:val="000000"/>
        </w:rPr>
        <w:t>年大会的妇女要求内阁中的妇女代表比例为</w:t>
      </w:r>
      <w:r>
        <w:rPr>
          <w:rFonts w:hint="eastAsia"/>
          <w:bCs/>
          <w:color w:val="000000"/>
        </w:rPr>
        <w:t>50%</w:t>
      </w:r>
      <w:r>
        <w:rPr>
          <w:rFonts w:hint="eastAsia"/>
          <w:bCs/>
          <w:color w:val="000000"/>
        </w:rPr>
        <w:t>。</w:t>
      </w:r>
    </w:p>
    <w:p w:rsidR="00692915" w:rsidRDefault="00692915" w:rsidP="009A1C1B">
      <w:pPr>
        <w:tabs>
          <w:tab w:val="left" w:pos="1170"/>
        </w:tabs>
        <w:spacing w:after="240"/>
        <w:ind w:firstLine="31680"/>
        <w:rPr>
          <w:rFonts w:hint="eastAsia"/>
          <w:color w:val="000000"/>
        </w:rPr>
      </w:pPr>
      <w:r>
        <w:rPr>
          <w:color w:val="000000"/>
        </w:rPr>
        <w:t>283.</w:t>
      </w:r>
      <w:r>
        <w:rPr>
          <w:color w:val="000000"/>
        </w:rPr>
        <w:tab/>
      </w:r>
      <w:r>
        <w:rPr>
          <w:rFonts w:hint="eastAsia"/>
          <w:color w:val="000000"/>
          <w:u w:val="single"/>
        </w:rPr>
        <w:t>妇女非政府组织</w:t>
      </w:r>
      <w:r>
        <w:rPr>
          <w:rFonts w:hint="eastAsia"/>
          <w:color w:val="000000"/>
        </w:rPr>
        <w:t>。东帝汶妇女网成立于</w:t>
      </w:r>
      <w:r>
        <w:rPr>
          <w:rFonts w:hint="eastAsia"/>
          <w:color w:val="000000"/>
        </w:rPr>
        <w:t>2000</w:t>
      </w:r>
      <w:r>
        <w:rPr>
          <w:rFonts w:hint="eastAsia"/>
          <w:color w:val="000000"/>
        </w:rPr>
        <w:t>年</w:t>
      </w:r>
      <w:r>
        <w:rPr>
          <w:rFonts w:hint="eastAsia"/>
          <w:color w:val="000000"/>
        </w:rPr>
        <w:t>3</w:t>
      </w:r>
      <w:r>
        <w:rPr>
          <w:rFonts w:hint="eastAsia"/>
          <w:color w:val="000000"/>
        </w:rPr>
        <w:t>月，共有</w:t>
      </w:r>
      <w:r>
        <w:rPr>
          <w:rFonts w:hint="eastAsia"/>
          <w:color w:val="000000"/>
        </w:rPr>
        <w:t>15</w:t>
      </w:r>
      <w:r>
        <w:rPr>
          <w:rFonts w:hint="eastAsia"/>
          <w:color w:val="000000"/>
        </w:rPr>
        <w:t>家左右的妇女组织，其中大多数都在首都。该组织以及其他妇女团体代表帝汶妇女积极开展了各种宣传活动，除了鼓励妇女参与公共生活的宣传外，这些活动还包括：扫盲、基于性别的暴力、卫生保健、技能和经济能力的培养。这些组织还针对各种影响东帝汶妇女的问题，成功地开展了提高人们意识的活动，另外，还进行了各种立法方面的宣传，如：推出新的《反家庭暴力法》，制定国家《刑法典》。</w:t>
      </w:r>
    </w:p>
    <w:p w:rsidR="00692915" w:rsidRDefault="00692915">
      <w:pPr>
        <w:tabs>
          <w:tab w:val="left" w:pos="1170"/>
        </w:tabs>
        <w:spacing w:after="240"/>
        <w:ind w:firstLineChars="0" w:firstLine="0"/>
        <w:rPr>
          <w:rFonts w:ascii="FangSong_GB2312" w:eastAsia="FangSong_GB2312" w:hint="eastAsia"/>
          <w:iCs/>
          <w:color w:val="000000"/>
        </w:rPr>
      </w:pPr>
      <w:r>
        <w:rPr>
          <w:rFonts w:ascii="FangSong_GB2312" w:eastAsia="FangSong_GB2312" w:hint="eastAsia"/>
          <w:iCs/>
          <w:color w:val="000000"/>
        </w:rPr>
        <w:t>政府与民间社会之间的关系</w:t>
      </w:r>
    </w:p>
    <w:p w:rsidR="00692915" w:rsidRDefault="00692915" w:rsidP="009A1C1B">
      <w:pPr>
        <w:tabs>
          <w:tab w:val="left" w:pos="1170"/>
        </w:tabs>
        <w:ind w:firstLine="31680"/>
        <w:rPr>
          <w:rFonts w:hint="eastAsia"/>
          <w:color w:val="000000"/>
        </w:rPr>
      </w:pPr>
      <w:r>
        <w:rPr>
          <w:color w:val="000000"/>
        </w:rPr>
        <w:t>284.</w:t>
      </w:r>
      <w:r>
        <w:rPr>
          <w:color w:val="000000"/>
        </w:rPr>
        <w:tab/>
      </w:r>
      <w:r>
        <w:rPr>
          <w:rFonts w:hint="eastAsia"/>
          <w:color w:val="000000"/>
        </w:rPr>
        <w:t>政府认为，非政府组织在国家生活中发挥了重要作用，他们对国家发展的作用是有目共睹的。政府认识到，应在不干预的基础上，尊重民间组织的独立性，并在可能的情况下，为此创造必要的条件，这一点很重要。</w:t>
      </w:r>
    </w:p>
    <w:p w:rsidR="00692915" w:rsidRDefault="00692915" w:rsidP="009A1C1B">
      <w:pPr>
        <w:tabs>
          <w:tab w:val="left" w:pos="1170"/>
        </w:tabs>
        <w:ind w:firstLine="31680"/>
        <w:rPr>
          <w:rFonts w:hint="eastAsia"/>
          <w:color w:val="000000"/>
        </w:rPr>
      </w:pPr>
      <w:r>
        <w:rPr>
          <w:color w:val="000000"/>
        </w:rPr>
        <w:t>285.</w:t>
      </w:r>
      <w:r>
        <w:rPr>
          <w:color w:val="000000"/>
        </w:rPr>
        <w:tab/>
      </w:r>
      <w:r>
        <w:rPr>
          <w:rFonts w:hint="eastAsia"/>
          <w:color w:val="000000"/>
        </w:rPr>
        <w:t>通过合作计划、提供服务、咨询、研讨会和关于共同议题的会议，政府与民间社会之间在很多方面建立了紧密的合作关系。在地方政府一级，这种情况尤其明显</w:t>
      </w:r>
      <w:r>
        <w:rPr>
          <w:rFonts w:ascii="SimHei" w:eastAsia="SimHei" w:hint="eastAsia"/>
          <w:color w:val="000000"/>
          <w:spacing w:val="0"/>
        </w:rPr>
        <w:t>——</w:t>
      </w:r>
      <w:r>
        <w:rPr>
          <w:rFonts w:hint="eastAsia"/>
          <w:color w:val="000000"/>
        </w:rPr>
        <w:t>合作领域通常包括：卫生保健、</w:t>
      </w:r>
      <w:r>
        <w:rPr>
          <w:rStyle w:val="FootnoteReference"/>
          <w:bCs/>
          <w:color w:val="000000"/>
        </w:rPr>
        <w:footnoteReference w:id="146"/>
      </w:r>
      <w:r>
        <w:rPr>
          <w:rFonts w:hint="eastAsia"/>
          <w:color w:val="000000"/>
        </w:rPr>
        <w:t>教育、</w:t>
      </w:r>
      <w:r>
        <w:rPr>
          <w:rStyle w:val="FootnoteReference"/>
          <w:bCs/>
          <w:color w:val="000000"/>
        </w:rPr>
        <w:footnoteReference w:id="147"/>
      </w:r>
      <w:r>
        <w:rPr>
          <w:rFonts w:hint="eastAsia"/>
          <w:color w:val="000000"/>
        </w:rPr>
        <w:t>水与卫生、</w:t>
      </w:r>
      <w:r>
        <w:rPr>
          <w:rStyle w:val="FootnoteReference"/>
          <w:bCs/>
          <w:color w:val="000000"/>
        </w:rPr>
        <w:footnoteReference w:id="148"/>
      </w:r>
      <w:r>
        <w:rPr>
          <w:rFonts w:hint="eastAsia"/>
          <w:color w:val="000000"/>
        </w:rPr>
        <w:t>重建等。正如本文件上文所述，</w:t>
      </w:r>
      <w:r>
        <w:rPr>
          <w:color w:val="000000"/>
        </w:rPr>
        <w:t>促进平等事务总理顾问办公室</w:t>
      </w:r>
      <w:r>
        <w:rPr>
          <w:rFonts w:hint="eastAsia"/>
          <w:color w:val="000000"/>
        </w:rPr>
        <w:t>已经与妇女组织之间建立了良好的工作关系，该办公室与东帝汶妇女网一起进行了一项旨在确保妇女被纳入退伍战斗人员名单的活动。</w:t>
      </w:r>
    </w:p>
    <w:p w:rsidR="00692915" w:rsidRDefault="00692915" w:rsidP="009A1C1B">
      <w:pPr>
        <w:tabs>
          <w:tab w:val="left" w:pos="1170"/>
        </w:tabs>
        <w:ind w:firstLine="31680"/>
        <w:rPr>
          <w:rFonts w:hint="eastAsia"/>
          <w:color w:val="000000"/>
        </w:rPr>
      </w:pPr>
      <w:r>
        <w:rPr>
          <w:color w:val="000000"/>
        </w:rPr>
        <w:t>286.</w:t>
      </w:r>
      <w:r>
        <w:rPr>
          <w:color w:val="000000"/>
        </w:rPr>
        <w:tab/>
      </w:r>
      <w:r>
        <w:rPr>
          <w:rFonts w:hint="eastAsia"/>
          <w:color w:val="000000"/>
        </w:rPr>
        <w:t>在有些领域，政府与非政府组织难以合作，这不足为奇，因为各自的工作重点或取向存在着差异。例如，国家认为在早期发展阶段，应重点加强和巩固国家机构，这与非政府组织的取向不同。由于传统上公民对政治的参与受到压制，从这个角度来看，东帝汶的民间组织有时会采取与国家对立的立场。</w:t>
      </w:r>
      <w:r>
        <w:rPr>
          <w:rStyle w:val="FootnoteReference"/>
          <w:bCs/>
          <w:color w:val="000000"/>
        </w:rPr>
        <w:footnoteReference w:id="149"/>
      </w:r>
      <w:r>
        <w:rPr>
          <w:rFonts w:hint="eastAsia"/>
          <w:color w:val="000000"/>
        </w:rPr>
        <w:t>他们认为，国家没有对社会问题做出反应，在强化机构建设方面过于关注，而对发展采取了非参与性的做法。</w:t>
      </w:r>
    </w:p>
    <w:p w:rsidR="00692915" w:rsidRDefault="00692915" w:rsidP="009A1C1B">
      <w:pPr>
        <w:tabs>
          <w:tab w:val="left" w:pos="1170"/>
        </w:tabs>
        <w:ind w:firstLine="31680"/>
        <w:rPr>
          <w:rFonts w:hint="eastAsia"/>
          <w:color w:val="000000"/>
        </w:rPr>
      </w:pPr>
      <w:r>
        <w:rPr>
          <w:color w:val="000000"/>
        </w:rPr>
        <w:t>287.</w:t>
      </w:r>
      <w:r>
        <w:rPr>
          <w:rFonts w:hint="eastAsia"/>
          <w:color w:val="000000"/>
        </w:rPr>
        <w:tab/>
      </w:r>
      <w:r>
        <w:rPr>
          <w:rFonts w:hint="eastAsia"/>
          <w:color w:val="000000"/>
        </w:rPr>
        <w:t>在立法和政策提议方面，包括《宪法》、《东帝汶海洋法》、</w:t>
      </w:r>
      <w:r>
        <w:rPr>
          <w:rStyle w:val="FootnoteReference"/>
          <w:bCs/>
          <w:color w:val="000000"/>
        </w:rPr>
        <w:footnoteReference w:id="150"/>
      </w:r>
      <w:r>
        <w:rPr>
          <w:rFonts w:hint="eastAsia"/>
          <w:color w:val="000000"/>
        </w:rPr>
        <w:t>《公务员法》</w:t>
      </w:r>
      <w:r>
        <w:rPr>
          <w:rStyle w:val="FootnoteReference"/>
          <w:bCs/>
          <w:color w:val="000000"/>
        </w:rPr>
        <w:footnoteReference w:id="151"/>
      </w:r>
      <w:r>
        <w:rPr>
          <w:rFonts w:hint="eastAsia"/>
          <w:color w:val="000000"/>
        </w:rPr>
        <w:t>和《不动产法》</w:t>
      </w:r>
      <w:r>
        <w:rPr>
          <w:rStyle w:val="FootnoteReference"/>
          <w:bCs/>
          <w:color w:val="000000"/>
        </w:rPr>
        <w:footnoteReference w:id="152"/>
      </w:r>
      <w:r>
        <w:rPr>
          <w:rFonts w:hint="eastAsia"/>
          <w:color w:val="000000"/>
        </w:rPr>
        <w:t>的制定，政府一直积极与民间社会和公众进行协商</w:t>
      </w:r>
      <w:r>
        <w:rPr>
          <w:rFonts w:ascii="SimHei" w:eastAsia="SimHei" w:hint="eastAsia"/>
          <w:color w:val="000000"/>
          <w:spacing w:val="0"/>
        </w:rPr>
        <w:t>——</w:t>
      </w:r>
      <w:r>
        <w:rPr>
          <w:rFonts w:hint="eastAsia"/>
          <w:color w:val="000000"/>
        </w:rPr>
        <w:t>在为编制这些报告所举行的地区研讨会中，肯定了这一点。对于一些被政府视作显然缺乏确凿依据的投诉，政府没有积极做出反应，在指控涉及腐败问题的情况下，通常会发生这种问题。</w:t>
      </w:r>
    </w:p>
    <w:p w:rsidR="00692915" w:rsidRDefault="00692915" w:rsidP="009A1C1B">
      <w:pPr>
        <w:tabs>
          <w:tab w:val="left" w:pos="1170"/>
        </w:tabs>
        <w:spacing w:after="240"/>
        <w:ind w:firstLine="31680"/>
        <w:rPr>
          <w:rFonts w:hint="eastAsia"/>
          <w:bCs/>
          <w:color w:val="000000"/>
        </w:rPr>
      </w:pPr>
      <w:r>
        <w:rPr>
          <w:bCs/>
          <w:color w:val="000000"/>
        </w:rPr>
        <w:t>288.</w:t>
      </w:r>
      <w:r>
        <w:rPr>
          <w:bCs/>
          <w:color w:val="000000"/>
        </w:rPr>
        <w:tab/>
      </w:r>
      <w:r>
        <w:rPr>
          <w:rFonts w:hint="eastAsia"/>
          <w:bCs/>
          <w:color w:val="000000"/>
        </w:rPr>
        <w:t xml:space="preserve"> </w:t>
      </w:r>
      <w:r>
        <w:rPr>
          <w:rFonts w:hint="eastAsia"/>
          <w:bCs/>
          <w:color w:val="000000"/>
        </w:rPr>
        <w:t>一方面，政府对东帝汶民间社会和非政府组织的重要作用表示承认；另一方面，政府希望非政府组织提高透明度和加强问责制。事实上，政府认为，有些非政府组织没有尽力与其他机构，尤其是政府部门进行协调，他们没有充分公开自身的活动范围和受援助资金的用途。</w:t>
      </w:r>
      <w:r>
        <w:rPr>
          <w:rStyle w:val="FootnoteReference"/>
          <w:bCs/>
          <w:color w:val="000000"/>
        </w:rPr>
        <w:footnoteReference w:id="153"/>
      </w:r>
      <w:r>
        <w:rPr>
          <w:rFonts w:hint="eastAsia"/>
          <w:bCs/>
          <w:color w:val="000000"/>
        </w:rPr>
        <w:t>为此，政府欢迎并支持采取各种措施</w:t>
      </w:r>
      <w:r>
        <w:rPr>
          <w:rFonts w:ascii="SimHei" w:eastAsia="SimHei" w:hint="eastAsia"/>
          <w:bCs/>
          <w:color w:val="000000"/>
          <w:spacing w:val="0"/>
        </w:rPr>
        <w:t>——</w:t>
      </w:r>
      <w:r>
        <w:rPr>
          <w:rFonts w:hint="eastAsia"/>
          <w:bCs/>
          <w:color w:val="000000"/>
        </w:rPr>
        <w:t>例如通过加强监督和报告机制，来加强民间社会与非政府组织在实施人权方面的宣传力度。有鉴于此，政府认为：为了使非政府组织能够有效实施各种倡议（例如，发展倡议、防止或阻止侵犯人权事件的倡议），政府必须愿意与民间社会一起合作，有效发挥相关国家机器的作用。</w:t>
      </w:r>
      <w:r>
        <w:rPr>
          <w:rStyle w:val="FootnoteReference"/>
          <w:bCs/>
          <w:color w:val="000000"/>
        </w:rPr>
        <w:footnoteReference w:id="154"/>
      </w:r>
    </w:p>
    <w:p w:rsidR="00692915" w:rsidRDefault="00692915">
      <w:pPr>
        <w:pStyle w:val="Heading2"/>
        <w:tabs>
          <w:tab w:val="left" w:pos="1170"/>
        </w:tabs>
        <w:jc w:val="both"/>
        <w:rPr>
          <w:rFonts w:hint="eastAsia"/>
          <w:color w:val="000000"/>
          <w:sz w:val="24"/>
        </w:rPr>
      </w:pPr>
      <w:bookmarkStart w:id="60" w:name="_Toc150514957"/>
      <w:bookmarkStart w:id="61" w:name="_Toc150684860"/>
      <w:r>
        <w:rPr>
          <w:color w:val="000000"/>
          <w:sz w:val="24"/>
        </w:rPr>
        <w:t xml:space="preserve">8.  </w:t>
      </w:r>
      <w:bookmarkEnd w:id="60"/>
      <w:bookmarkEnd w:id="61"/>
      <w:r>
        <w:rPr>
          <w:rFonts w:hint="eastAsia"/>
          <w:color w:val="000000"/>
          <w:sz w:val="24"/>
          <w:u w:val="single"/>
        </w:rPr>
        <w:t>人权与发展</w:t>
      </w:r>
    </w:p>
    <w:p w:rsidR="00692915" w:rsidRDefault="00692915" w:rsidP="009A1C1B">
      <w:pPr>
        <w:tabs>
          <w:tab w:val="left" w:pos="1170"/>
        </w:tabs>
        <w:ind w:firstLine="31680"/>
        <w:rPr>
          <w:rFonts w:hint="eastAsia"/>
          <w:bCs/>
          <w:color w:val="000000"/>
        </w:rPr>
      </w:pPr>
      <w:r>
        <w:rPr>
          <w:bCs/>
          <w:color w:val="000000"/>
        </w:rPr>
        <w:t>289.</w:t>
      </w:r>
      <w:r>
        <w:rPr>
          <w:bCs/>
          <w:color w:val="000000"/>
        </w:rPr>
        <w:tab/>
      </w:r>
      <w:r>
        <w:rPr>
          <w:rFonts w:hint="eastAsia"/>
          <w:bCs/>
          <w:color w:val="000000"/>
        </w:rPr>
        <w:t>2002</w:t>
      </w:r>
      <w:r>
        <w:rPr>
          <w:rFonts w:hint="eastAsia"/>
          <w:bCs/>
          <w:color w:val="000000"/>
        </w:rPr>
        <w:t>年起草了东帝汶第一个《国家发展计划》，该计划为国家的发展制定了一个为期五年的路线图，并对未来</w:t>
      </w:r>
      <w:r>
        <w:rPr>
          <w:rFonts w:hint="eastAsia"/>
          <w:bCs/>
          <w:color w:val="000000"/>
        </w:rPr>
        <w:t>20</w:t>
      </w:r>
      <w:r>
        <w:rPr>
          <w:rFonts w:hint="eastAsia"/>
          <w:bCs/>
          <w:color w:val="000000"/>
        </w:rPr>
        <w:t>年做出了远景规划。《</w:t>
      </w:r>
      <w:r>
        <w:rPr>
          <w:rFonts w:hint="eastAsia"/>
          <w:bCs/>
          <w:color w:val="000000"/>
        </w:rPr>
        <w:t>2020</w:t>
      </w:r>
      <w:r>
        <w:rPr>
          <w:rFonts w:hint="eastAsia"/>
          <w:bCs/>
          <w:color w:val="000000"/>
        </w:rPr>
        <w:t>年东帝汶远景规划》（以下简称《</w:t>
      </w:r>
      <w:r>
        <w:rPr>
          <w:rFonts w:hint="eastAsia"/>
          <w:bCs/>
          <w:color w:val="000000"/>
        </w:rPr>
        <w:t>2020</w:t>
      </w:r>
      <w:r>
        <w:rPr>
          <w:rFonts w:hint="eastAsia"/>
          <w:bCs/>
          <w:color w:val="000000"/>
        </w:rPr>
        <w:t>年远景规划》）在全国广泛征求了民间社会的意见，它与千年发展目标和《联合国千年宣言》密切相关。《国家发展计划》将千年发展目标的大部分内容都融入了其总目标和部门目标之中。《国家发展计划》有两项目标：减少国家所有部门和所有地区的贫困，促进公平和可持续的经济增长，提高东帝汶所有人口的健康、教育和福利水平</w:t>
      </w:r>
      <w:r>
        <w:rPr>
          <w:rFonts w:ascii="SimHei" w:eastAsia="SimHei" w:hint="eastAsia"/>
          <w:bCs/>
          <w:color w:val="000000"/>
          <w:spacing w:val="0"/>
        </w:rPr>
        <w:t>——</w:t>
      </w:r>
      <w:r>
        <w:rPr>
          <w:rFonts w:hint="eastAsia"/>
          <w:bCs/>
          <w:color w:val="000000"/>
        </w:rPr>
        <w:t>这在很多方面与千年发展目标和人类发展进程一致。为了加强政策制定和目标</w:t>
      </w:r>
      <w:r>
        <w:rPr>
          <w:rFonts w:hint="eastAsia"/>
          <w:bCs/>
          <w:color w:val="000000"/>
        </w:rPr>
        <w:t>1</w:t>
      </w:r>
      <w:r>
        <w:rPr>
          <w:rFonts w:hint="eastAsia"/>
          <w:bCs/>
          <w:color w:val="000000"/>
        </w:rPr>
        <w:t>（即：减贫）实施方案之间的联系，提高政府将这些目标转化为年度预算拨款的能力，以及强化政府为发展伙伴援助重点提供明确指导的能力，政府已做出了一致的努力。东帝汶政府和联合国国家小组于</w:t>
      </w:r>
      <w:r>
        <w:rPr>
          <w:rFonts w:hint="eastAsia"/>
          <w:bCs/>
          <w:color w:val="000000"/>
        </w:rPr>
        <w:t>2003</w:t>
      </w:r>
      <w:r>
        <w:rPr>
          <w:rFonts w:hint="eastAsia"/>
          <w:bCs/>
          <w:color w:val="000000"/>
        </w:rPr>
        <w:t>年</w:t>
      </w:r>
      <w:r>
        <w:rPr>
          <w:rFonts w:hint="eastAsia"/>
          <w:bCs/>
          <w:color w:val="000000"/>
        </w:rPr>
        <w:t>3</w:t>
      </w:r>
      <w:r>
        <w:rPr>
          <w:rFonts w:hint="eastAsia"/>
          <w:bCs/>
          <w:color w:val="000000"/>
        </w:rPr>
        <w:t>月在帝力组织了第一次千年发展目标研讨会，会上总理提出了广为人知的贫困评估计划《东帝汶：我们的现状》。这是与四个发展伙伴共同进行第一次国家贫困评估后所取得的成果，这四个伙伴是：世界银行、亚洲开发银行、联合国开发计划署和日本国际协力事业团（</w:t>
      </w:r>
      <w:r>
        <w:rPr>
          <w:rFonts w:hint="eastAsia"/>
          <w:bCs/>
          <w:color w:val="000000"/>
        </w:rPr>
        <w:t>JICA</w:t>
      </w:r>
      <w:r>
        <w:rPr>
          <w:rFonts w:hint="eastAsia"/>
          <w:bCs/>
          <w:color w:val="000000"/>
        </w:rPr>
        <w:t>）。</w:t>
      </w:r>
      <w:r>
        <w:rPr>
          <w:rFonts w:hint="eastAsia"/>
          <w:bCs/>
          <w:color w:val="000000"/>
        </w:rPr>
        <w:t xml:space="preserve"> </w:t>
      </w:r>
    </w:p>
    <w:p w:rsidR="00692915" w:rsidRDefault="00692915" w:rsidP="009A1C1B">
      <w:pPr>
        <w:tabs>
          <w:tab w:val="left" w:pos="1170"/>
        </w:tabs>
        <w:ind w:firstLine="31680"/>
        <w:rPr>
          <w:rFonts w:hint="eastAsia"/>
          <w:color w:val="000000"/>
        </w:rPr>
      </w:pPr>
      <w:r>
        <w:rPr>
          <w:color w:val="000000"/>
        </w:rPr>
        <w:t>290.</w:t>
      </w:r>
      <w:r>
        <w:rPr>
          <w:color w:val="000000"/>
        </w:rPr>
        <w:tab/>
      </w:r>
      <w:r>
        <w:rPr>
          <w:rFonts w:hint="eastAsia"/>
          <w:color w:val="000000"/>
        </w:rPr>
        <w:t>根据《</w:t>
      </w:r>
      <w:r>
        <w:rPr>
          <w:rFonts w:hint="eastAsia"/>
          <w:color w:val="000000"/>
        </w:rPr>
        <w:t>2020</w:t>
      </w:r>
      <w:r>
        <w:rPr>
          <w:rFonts w:hint="eastAsia"/>
          <w:color w:val="000000"/>
        </w:rPr>
        <w:t>年远景规划》，东帝汶将成为一个稳定、民主、有责任和没有腐败的法治国家，将是一个具有丰富传统文化色彩的繁荣社会，人人将能丰衣足食和安居乐业。所有领域的生活水平、服务、生产和就业都将得到提高，收入分配将实现公平，人们的寿命和健康水平将会提高，将成为有文化、有知识、有技能和有生产能力的人。社会将变得安定，不再有歧视，人们将享有参与经济、社会和政治活动的各种机会，而这又将进一步促进社会的公平和国家的团结。</w:t>
      </w:r>
    </w:p>
    <w:p w:rsidR="00692915" w:rsidRDefault="00692915" w:rsidP="009A1C1B">
      <w:pPr>
        <w:tabs>
          <w:tab w:val="left" w:pos="1170"/>
        </w:tabs>
        <w:ind w:firstLine="31680"/>
        <w:rPr>
          <w:rFonts w:hint="eastAsia"/>
          <w:bCs/>
          <w:color w:val="000000"/>
        </w:rPr>
      </w:pPr>
      <w:r>
        <w:rPr>
          <w:bCs/>
          <w:color w:val="000000"/>
        </w:rPr>
        <w:t>291.</w:t>
      </w:r>
      <w:r>
        <w:rPr>
          <w:bCs/>
          <w:color w:val="000000"/>
        </w:rPr>
        <w:tab/>
      </w:r>
      <w:r>
        <w:rPr>
          <w:rFonts w:hint="eastAsia"/>
          <w:bCs/>
          <w:color w:val="000000"/>
        </w:rPr>
        <w:t>除了这些重要目标外，《国家发展计划》还提出了一系列的配套目标和发展指标（定量和定性指标），以促进东帝汶未来</w:t>
      </w:r>
      <w:r>
        <w:rPr>
          <w:rFonts w:hint="eastAsia"/>
          <w:bCs/>
          <w:color w:val="000000"/>
        </w:rPr>
        <w:t>5</w:t>
      </w:r>
      <w:r>
        <w:rPr>
          <w:rFonts w:hint="eastAsia"/>
          <w:bCs/>
          <w:color w:val="000000"/>
        </w:rPr>
        <w:t>年中的发展计划。这些目标相互关联，其中有些目标与国家人权承诺直接相关：</w:t>
      </w:r>
      <w:r>
        <w:rPr>
          <w:rStyle w:val="FootnoteReference"/>
          <w:bCs/>
          <w:color w:val="000000"/>
        </w:rPr>
        <w:footnoteReference w:id="155"/>
      </w:r>
    </w:p>
    <w:p w:rsidR="00692915" w:rsidRDefault="00692915" w:rsidP="009A1C1B">
      <w:pPr>
        <w:numPr>
          <w:ilvl w:val="0"/>
          <w:numId w:val="15"/>
        </w:numPr>
        <w:tabs>
          <w:tab w:val="clear" w:pos="1080"/>
          <w:tab w:val="left" w:pos="1690"/>
        </w:tabs>
        <w:ind w:leftChars="450" w:left="31680" w:hangingChars="200" w:firstLine="31680"/>
        <w:rPr>
          <w:rFonts w:hint="eastAsia"/>
          <w:bCs/>
          <w:color w:val="000000"/>
        </w:rPr>
      </w:pPr>
      <w:r>
        <w:rPr>
          <w:rFonts w:hint="eastAsia"/>
          <w:bCs/>
          <w:color w:val="000000"/>
        </w:rPr>
        <w:t>提高东帝汶人民的教育、健康和营养水平；</w:t>
      </w:r>
    </w:p>
    <w:p w:rsidR="00692915" w:rsidRDefault="00692915" w:rsidP="009A1C1B">
      <w:pPr>
        <w:numPr>
          <w:ilvl w:val="0"/>
          <w:numId w:val="15"/>
        </w:numPr>
        <w:tabs>
          <w:tab w:val="clear" w:pos="1080"/>
          <w:tab w:val="left" w:pos="1690"/>
        </w:tabs>
        <w:ind w:leftChars="450" w:left="31680" w:hangingChars="200" w:firstLine="31680"/>
        <w:rPr>
          <w:rFonts w:hint="eastAsia"/>
          <w:bCs/>
          <w:color w:val="000000"/>
        </w:rPr>
      </w:pPr>
      <w:r>
        <w:rPr>
          <w:rFonts w:hint="eastAsia"/>
          <w:bCs/>
          <w:color w:val="000000"/>
        </w:rPr>
        <w:t>促进性别平等，赋予妇女权力；</w:t>
      </w:r>
    </w:p>
    <w:p w:rsidR="00692915" w:rsidRDefault="00692915" w:rsidP="009A1C1B">
      <w:pPr>
        <w:numPr>
          <w:ilvl w:val="0"/>
          <w:numId w:val="15"/>
        </w:numPr>
        <w:tabs>
          <w:tab w:val="clear" w:pos="1080"/>
          <w:tab w:val="left" w:pos="1690"/>
        </w:tabs>
        <w:ind w:leftChars="450" w:left="31680" w:hangingChars="200" w:firstLine="31680"/>
        <w:rPr>
          <w:bCs/>
          <w:color w:val="000000"/>
        </w:rPr>
      </w:pPr>
      <w:r>
        <w:rPr>
          <w:rFonts w:hint="eastAsia"/>
          <w:bCs/>
          <w:color w:val="000000"/>
        </w:rPr>
        <w:t>提高东帝汶个人、家庭和社区的经济、社会和文化水平；</w:t>
      </w:r>
    </w:p>
    <w:p w:rsidR="00692915" w:rsidRDefault="00692915" w:rsidP="009A1C1B">
      <w:pPr>
        <w:numPr>
          <w:ilvl w:val="0"/>
          <w:numId w:val="15"/>
        </w:numPr>
        <w:tabs>
          <w:tab w:val="clear" w:pos="1080"/>
          <w:tab w:val="left" w:pos="1690"/>
        </w:tabs>
        <w:ind w:leftChars="450" w:left="31680" w:hangingChars="200" w:firstLine="31680"/>
        <w:rPr>
          <w:bCs/>
          <w:color w:val="000000"/>
        </w:rPr>
      </w:pPr>
      <w:r>
        <w:rPr>
          <w:rFonts w:hint="eastAsia"/>
          <w:bCs/>
          <w:color w:val="000000"/>
        </w:rPr>
        <w:t>确保人人都有平等的工作机会，劳动力能够得到有效利用；</w:t>
      </w:r>
    </w:p>
    <w:p w:rsidR="00692915" w:rsidRDefault="00692915" w:rsidP="009A1C1B">
      <w:pPr>
        <w:numPr>
          <w:ilvl w:val="0"/>
          <w:numId w:val="15"/>
        </w:numPr>
        <w:tabs>
          <w:tab w:val="clear" w:pos="1080"/>
          <w:tab w:val="left" w:pos="1690"/>
        </w:tabs>
        <w:ind w:leftChars="450" w:left="31680" w:hangingChars="200" w:firstLine="31680"/>
        <w:rPr>
          <w:bCs/>
          <w:color w:val="000000"/>
        </w:rPr>
      </w:pPr>
      <w:r>
        <w:rPr>
          <w:rFonts w:hint="eastAsia"/>
          <w:bCs/>
          <w:color w:val="000000"/>
        </w:rPr>
        <w:t>在确保各地区均衡的基础上，减少贫困；</w:t>
      </w:r>
    </w:p>
    <w:p w:rsidR="00692915" w:rsidRDefault="00692915" w:rsidP="009A1C1B">
      <w:pPr>
        <w:numPr>
          <w:ilvl w:val="0"/>
          <w:numId w:val="15"/>
        </w:numPr>
        <w:tabs>
          <w:tab w:val="clear" w:pos="1080"/>
          <w:tab w:val="left" w:pos="1690"/>
        </w:tabs>
        <w:ind w:leftChars="450" w:left="31680" w:hangingChars="200" w:firstLine="31680"/>
        <w:rPr>
          <w:bCs/>
          <w:color w:val="000000"/>
        </w:rPr>
      </w:pPr>
      <w:r>
        <w:rPr>
          <w:rFonts w:hint="eastAsia"/>
          <w:bCs/>
          <w:color w:val="000000"/>
        </w:rPr>
        <w:t>建立一个社会安全网，帮助那些不能工作或不能自食其力的人们减轻负担；</w:t>
      </w:r>
    </w:p>
    <w:p w:rsidR="00692915" w:rsidRDefault="00692915" w:rsidP="009A1C1B">
      <w:pPr>
        <w:numPr>
          <w:ilvl w:val="0"/>
          <w:numId w:val="15"/>
        </w:numPr>
        <w:tabs>
          <w:tab w:val="clear" w:pos="1080"/>
          <w:tab w:val="left" w:pos="1690"/>
        </w:tabs>
        <w:ind w:leftChars="450" w:left="31680" w:hangingChars="200" w:firstLine="31680"/>
        <w:rPr>
          <w:bCs/>
          <w:color w:val="000000"/>
        </w:rPr>
      </w:pPr>
      <w:r>
        <w:rPr>
          <w:rFonts w:hint="eastAsia"/>
          <w:bCs/>
          <w:color w:val="000000"/>
        </w:rPr>
        <w:t>建立一个有效、方便和公正的司法体系，并进行有效管理，这种体系不仅高效和透明，而且符合东帝汶所弘扬的积极价值观和文化传统；</w:t>
      </w:r>
    </w:p>
    <w:p w:rsidR="00692915" w:rsidRDefault="00692915" w:rsidP="009A1C1B">
      <w:pPr>
        <w:numPr>
          <w:ilvl w:val="0"/>
          <w:numId w:val="15"/>
        </w:numPr>
        <w:tabs>
          <w:tab w:val="clear" w:pos="1080"/>
          <w:tab w:val="left" w:pos="1690"/>
        </w:tabs>
        <w:ind w:leftChars="450" w:left="31680" w:hangingChars="200" w:firstLine="31680"/>
        <w:rPr>
          <w:bCs/>
          <w:color w:val="000000"/>
        </w:rPr>
      </w:pPr>
      <w:r>
        <w:rPr>
          <w:rFonts w:hint="eastAsia"/>
          <w:bCs/>
          <w:color w:val="000000"/>
        </w:rPr>
        <w:t>为已经活跃的民间社会焕发新的活力；</w:t>
      </w:r>
    </w:p>
    <w:p w:rsidR="00692915" w:rsidRDefault="00692915" w:rsidP="009A1C1B">
      <w:pPr>
        <w:numPr>
          <w:ilvl w:val="0"/>
          <w:numId w:val="15"/>
        </w:numPr>
        <w:tabs>
          <w:tab w:val="clear" w:pos="1080"/>
          <w:tab w:val="left" w:pos="1690"/>
        </w:tabs>
        <w:ind w:leftChars="450" w:left="31680" w:hangingChars="200" w:firstLine="31680"/>
        <w:rPr>
          <w:bCs/>
          <w:color w:val="000000"/>
        </w:rPr>
      </w:pPr>
      <w:r>
        <w:rPr>
          <w:rFonts w:hint="eastAsia"/>
          <w:bCs/>
          <w:color w:val="000000"/>
        </w:rPr>
        <w:t>促进公民参与公共和国家事务；</w:t>
      </w:r>
    </w:p>
    <w:p w:rsidR="00692915" w:rsidRDefault="00692915" w:rsidP="009A1C1B">
      <w:pPr>
        <w:numPr>
          <w:ilvl w:val="0"/>
          <w:numId w:val="15"/>
        </w:numPr>
        <w:tabs>
          <w:tab w:val="clear" w:pos="1080"/>
          <w:tab w:val="left" w:pos="1690"/>
        </w:tabs>
        <w:ind w:leftChars="450" w:left="31680" w:hangingChars="200" w:firstLine="31680"/>
        <w:rPr>
          <w:bCs/>
          <w:color w:val="000000"/>
        </w:rPr>
      </w:pPr>
      <w:r>
        <w:rPr>
          <w:rFonts w:hint="eastAsia"/>
          <w:bCs/>
          <w:color w:val="000000"/>
        </w:rPr>
        <w:t>形成一种尊重人权（尤其是尊重妇女、儿童和其他弱势人群的人权，包括穷人的人权）和法治的氛围；以及</w:t>
      </w:r>
    </w:p>
    <w:p w:rsidR="00692915" w:rsidRDefault="00692915" w:rsidP="009A1C1B">
      <w:pPr>
        <w:numPr>
          <w:ilvl w:val="0"/>
          <w:numId w:val="15"/>
        </w:numPr>
        <w:tabs>
          <w:tab w:val="clear" w:pos="1080"/>
          <w:tab w:val="left" w:pos="1690"/>
        </w:tabs>
        <w:spacing w:after="240"/>
        <w:ind w:leftChars="450" w:left="31680" w:hangingChars="200" w:firstLine="31680"/>
        <w:rPr>
          <w:rFonts w:hint="eastAsia"/>
          <w:bCs/>
          <w:color w:val="000000"/>
        </w:rPr>
      </w:pPr>
      <w:r>
        <w:rPr>
          <w:rFonts w:hint="eastAsia"/>
          <w:bCs/>
          <w:color w:val="000000"/>
        </w:rPr>
        <w:t>形成一种具有活力的多党民主制度，并以强有力的制衡措施和分权制度作为补充。</w:t>
      </w:r>
    </w:p>
    <w:p w:rsidR="00692915" w:rsidRDefault="00692915" w:rsidP="009A1C1B">
      <w:pPr>
        <w:tabs>
          <w:tab w:val="left" w:pos="1170"/>
        </w:tabs>
        <w:ind w:firstLine="31680"/>
        <w:rPr>
          <w:rFonts w:hint="eastAsia"/>
          <w:bCs/>
          <w:color w:val="000000"/>
        </w:rPr>
      </w:pPr>
      <w:r>
        <w:rPr>
          <w:bCs/>
          <w:color w:val="000000"/>
        </w:rPr>
        <w:t>292.</w:t>
      </w:r>
      <w:r>
        <w:rPr>
          <w:bCs/>
          <w:color w:val="000000"/>
        </w:rPr>
        <w:tab/>
      </w:r>
      <w:r>
        <w:rPr>
          <w:rFonts w:hint="eastAsia"/>
          <w:bCs/>
          <w:color w:val="000000"/>
        </w:rPr>
        <w:t>为实现这些目标和远景计划，必须坚持以下原则：确保参与；非歧视和平等；性别平等；弱势群体的参与；法治和民主；尊重并保护各群体的价值观和文化</w:t>
      </w:r>
      <w:r>
        <w:rPr>
          <w:rFonts w:ascii="SimHei" w:eastAsia="SimHei" w:hint="eastAsia"/>
          <w:bCs/>
          <w:color w:val="000000"/>
          <w:spacing w:val="0"/>
        </w:rPr>
        <w:t>——</w:t>
      </w:r>
      <w:r>
        <w:rPr>
          <w:rFonts w:hint="eastAsia"/>
          <w:bCs/>
          <w:color w:val="000000"/>
        </w:rPr>
        <w:t>包括东帝汶社会的文化、宗教或其他方面。</w:t>
      </w:r>
    </w:p>
    <w:p w:rsidR="00692915" w:rsidRDefault="00692915" w:rsidP="009A1C1B">
      <w:pPr>
        <w:tabs>
          <w:tab w:val="left" w:pos="1170"/>
        </w:tabs>
        <w:ind w:firstLine="31680"/>
        <w:rPr>
          <w:rFonts w:hint="eastAsia"/>
          <w:bCs/>
          <w:iCs/>
          <w:color w:val="000000"/>
        </w:rPr>
      </w:pPr>
      <w:r>
        <w:rPr>
          <w:bCs/>
          <w:color w:val="000000"/>
        </w:rPr>
        <w:t>293.</w:t>
      </w:r>
      <w:r>
        <w:rPr>
          <w:bCs/>
          <w:color w:val="000000"/>
        </w:rPr>
        <w:tab/>
      </w:r>
      <w:r>
        <w:rPr>
          <w:rFonts w:hint="eastAsia"/>
          <w:bCs/>
          <w:iCs/>
          <w:color w:val="000000"/>
        </w:rPr>
        <w:t>通过《国家发展计划》，可以看出制订发展规划的五项以权利为基础的原则</w:t>
      </w:r>
      <w:r>
        <w:rPr>
          <w:rFonts w:ascii="SimHei" w:eastAsia="SimHei" w:hint="eastAsia"/>
          <w:bCs/>
          <w:iCs/>
          <w:color w:val="000000"/>
          <w:spacing w:val="0"/>
        </w:rPr>
        <w:t>——</w:t>
      </w:r>
      <w:r>
        <w:rPr>
          <w:rFonts w:hint="eastAsia"/>
          <w:bCs/>
          <w:iCs/>
          <w:color w:val="000000"/>
        </w:rPr>
        <w:t>责任；参与；非歧视、关注弱势人群；相互依存以及多元化。</w:t>
      </w:r>
    </w:p>
    <w:p w:rsidR="00692915" w:rsidRDefault="00692915" w:rsidP="009A1C1B">
      <w:pPr>
        <w:tabs>
          <w:tab w:val="left" w:pos="1170"/>
        </w:tabs>
        <w:ind w:firstLine="31680"/>
        <w:rPr>
          <w:rFonts w:hint="eastAsia"/>
          <w:bCs/>
          <w:color w:val="000000"/>
        </w:rPr>
      </w:pPr>
      <w:r>
        <w:rPr>
          <w:bCs/>
          <w:color w:val="000000"/>
        </w:rPr>
        <w:t>294.</w:t>
      </w:r>
      <w:r>
        <w:rPr>
          <w:bCs/>
          <w:color w:val="000000"/>
        </w:rPr>
        <w:tab/>
      </w:r>
      <w:r>
        <w:rPr>
          <w:rFonts w:hint="eastAsia"/>
          <w:bCs/>
          <w:color w:val="000000"/>
        </w:rPr>
        <w:t>在编制计划的过程中，体现了前所未有的包容性和参与水平，对于一个新兴的发展中国家而言，尤其如此。这一过程对于建立东帝汶人、政府官员、民间社会和社区的信心和能力至关重要。《国家发展计划》属于他们，反应了他们的价值观、需求、思想、抱负和优先关注问题。</w:t>
      </w:r>
    </w:p>
    <w:p w:rsidR="00692915" w:rsidRDefault="00692915" w:rsidP="009A1C1B">
      <w:pPr>
        <w:tabs>
          <w:tab w:val="left" w:pos="1170"/>
        </w:tabs>
        <w:spacing w:after="240"/>
        <w:ind w:firstLine="31680"/>
        <w:rPr>
          <w:rFonts w:hint="eastAsia"/>
          <w:bCs/>
          <w:color w:val="000000"/>
        </w:rPr>
      </w:pPr>
      <w:r>
        <w:rPr>
          <w:bCs/>
          <w:color w:val="000000"/>
        </w:rPr>
        <w:t>295.</w:t>
      </w:r>
      <w:r>
        <w:rPr>
          <w:bCs/>
          <w:color w:val="000000"/>
        </w:rPr>
        <w:tab/>
      </w:r>
      <w:r>
        <w:rPr>
          <w:rFonts w:hint="eastAsia"/>
          <w:bCs/>
          <w:color w:val="000000"/>
        </w:rPr>
        <w:t>政府已做出了一致努力，以实现有关性别的千年发展目标，包括：促进两性平等和赋予妇女权力的目标</w:t>
      </w:r>
      <w:r>
        <w:rPr>
          <w:rFonts w:hint="eastAsia"/>
          <w:bCs/>
          <w:color w:val="000000"/>
        </w:rPr>
        <w:t>3</w:t>
      </w:r>
      <w:r>
        <w:rPr>
          <w:rFonts w:hint="eastAsia"/>
          <w:bCs/>
          <w:color w:val="000000"/>
        </w:rPr>
        <w:t>，以及改善产妇保健的目标</w:t>
      </w:r>
      <w:r>
        <w:rPr>
          <w:rFonts w:hint="eastAsia"/>
          <w:bCs/>
          <w:color w:val="000000"/>
        </w:rPr>
        <w:t>5</w:t>
      </w:r>
      <w:r>
        <w:rPr>
          <w:rFonts w:hint="eastAsia"/>
          <w:bCs/>
          <w:color w:val="000000"/>
        </w:rPr>
        <w:t>。教育和卫生领域有两个典型的例子，例如：教育部目前正在编制按性别划分的学校入学、辍学和毕业率数据，而且正在实施《国家生殖健康战略》。目前，有关性别的其余千年发展目标还有待完善和做出相应的调整以适应本地需求，促进平等事务总理顾问已在每个部门的工作小组担任了常任理事，以确保在部门投资方案的制定和实施过程中将性别观点纳入主流。</w:t>
      </w:r>
    </w:p>
    <w:p w:rsidR="00692915" w:rsidRDefault="00692915">
      <w:pPr>
        <w:pStyle w:val="Heading3"/>
        <w:tabs>
          <w:tab w:val="left" w:pos="1170"/>
        </w:tabs>
        <w:jc w:val="both"/>
        <w:rPr>
          <w:rFonts w:eastAsia="KaiTi_GB2312" w:hint="eastAsia"/>
          <w:color w:val="000000"/>
          <w:u w:val="none"/>
        </w:rPr>
      </w:pPr>
      <w:r>
        <w:rPr>
          <w:rFonts w:eastAsia="KaiTi_GB2312" w:hint="eastAsia"/>
          <w:color w:val="000000"/>
          <w:u w:val="none"/>
        </w:rPr>
        <w:t>基于权利的发展指标</w:t>
      </w:r>
    </w:p>
    <w:p w:rsidR="00692915" w:rsidRDefault="00692915" w:rsidP="009A1C1B">
      <w:pPr>
        <w:tabs>
          <w:tab w:val="left" w:pos="1170"/>
        </w:tabs>
        <w:ind w:firstLine="31680"/>
        <w:rPr>
          <w:rFonts w:hint="eastAsia"/>
          <w:bCs/>
          <w:color w:val="000000"/>
        </w:rPr>
      </w:pPr>
      <w:r>
        <w:rPr>
          <w:bCs/>
          <w:color w:val="000000"/>
        </w:rPr>
        <w:t>296.</w:t>
      </w:r>
      <w:r>
        <w:rPr>
          <w:bCs/>
          <w:color w:val="000000"/>
        </w:rPr>
        <w:tab/>
      </w:r>
      <w:r>
        <w:rPr>
          <w:rFonts w:hint="eastAsia"/>
          <w:bCs/>
          <w:color w:val="000000"/>
        </w:rPr>
        <w:t>在大量借鉴了千年发展目标相关规定的基础上，《国家发展计划》及其目标确定了一个以权利为基础的发展方向，并以一系列明确的发展指标作为指导和衡量尺度。《国家发展计划》中所确定的关键发展指标与全球千年发展目标中所列的指标直接相关，这说明东帝汶在对千年发展目标做出承诺后，愿意协调国家发展目标与其承诺之间的关系，同时还说明，《国家发展计划》的成功实施将意味着千年发展目标的成功实现。其中很多指标和基准还与政府的人权义务直接相关，这为基于权利的发展，以及经济、社会和文化权利目标的逐步实现提供了必要框架。</w:t>
      </w:r>
    </w:p>
    <w:p w:rsidR="00692915" w:rsidRDefault="00692915" w:rsidP="009A1C1B">
      <w:pPr>
        <w:tabs>
          <w:tab w:val="left" w:pos="1170"/>
        </w:tabs>
        <w:ind w:firstLine="31680"/>
        <w:rPr>
          <w:rFonts w:hint="eastAsia"/>
          <w:bCs/>
          <w:color w:val="000000"/>
        </w:rPr>
      </w:pPr>
      <w:r>
        <w:rPr>
          <w:bCs/>
          <w:color w:val="000000"/>
        </w:rPr>
        <w:t>297.</w:t>
      </w:r>
      <w:r>
        <w:rPr>
          <w:bCs/>
          <w:color w:val="000000"/>
        </w:rPr>
        <w:tab/>
      </w:r>
      <w:r>
        <w:rPr>
          <w:rFonts w:hint="eastAsia"/>
          <w:bCs/>
          <w:color w:val="000000"/>
        </w:rPr>
        <w:t>发展指标旨在衡量国家目标的实施进展，这些指标按照四个关键领域进行了归类：经济、社会、保障、赋权。值得注意的是，性别平等理念贯穿于始终。</w:t>
      </w:r>
    </w:p>
    <w:p w:rsidR="00692915" w:rsidRDefault="00692915" w:rsidP="009A1C1B">
      <w:pPr>
        <w:tabs>
          <w:tab w:val="left" w:pos="1170"/>
        </w:tabs>
        <w:spacing w:after="240"/>
        <w:ind w:firstLine="31680"/>
        <w:rPr>
          <w:rFonts w:hint="eastAsia"/>
          <w:color w:val="000000"/>
        </w:rPr>
      </w:pPr>
      <w:r>
        <w:rPr>
          <w:color w:val="000000"/>
        </w:rPr>
        <w:t>298.</w:t>
      </w:r>
      <w:r>
        <w:rPr>
          <w:color w:val="000000"/>
        </w:rPr>
        <w:tab/>
      </w:r>
      <w:r>
        <w:rPr>
          <w:rFonts w:hint="eastAsia"/>
          <w:color w:val="000000"/>
        </w:rPr>
        <w:t>经济指标包括贫困率、收入增长（总量及人均国内生产总值）、收入分配的不平等、劳动力参与及就业等。社会指标包括粮食供应、受教育的机会及教育的利用情况、健康、安全饮用水的使用情况以及基本卫生等。所要衡量的指标还包括：初等教育毕业率、成人识字率、与最近小学校之间的步行距离、预期寿命、母婴死亡率、到最近住宅设施的步行距离、住房供应等。保障指标包括：人身安全、粮食保障以及免受冲击和灾难的保障。赋权指标包括：自愿者协会的数量和团体参与的情况、选举中的投票权、青年参与社会</w:t>
      </w:r>
      <w:r>
        <w:rPr>
          <w:rFonts w:hint="eastAsia"/>
          <w:color w:val="000000"/>
        </w:rPr>
        <w:t>/</w:t>
      </w:r>
      <w:r>
        <w:rPr>
          <w:rFonts w:hint="eastAsia"/>
          <w:color w:val="000000"/>
        </w:rPr>
        <w:t>文化组织的比率、性别平等指标、赋予妇女权力的情况</w:t>
      </w:r>
      <w:r>
        <w:rPr>
          <w:rFonts w:ascii="SimHei" w:eastAsia="SimHei" w:hint="eastAsia"/>
          <w:color w:val="000000"/>
          <w:spacing w:val="0"/>
        </w:rPr>
        <w:t>——</w:t>
      </w:r>
      <w:r>
        <w:rPr>
          <w:rFonts w:hint="eastAsia"/>
          <w:color w:val="000000"/>
        </w:rPr>
        <w:t>通过关键机构中妇女代表的水平衡量</w:t>
      </w:r>
      <w:r>
        <w:rPr>
          <w:rStyle w:val="FootnoteReference"/>
          <w:bCs/>
          <w:color w:val="000000"/>
        </w:rPr>
        <w:footnoteReference w:id="156"/>
      </w:r>
      <w:r>
        <w:rPr>
          <w:rFonts w:hint="eastAsia"/>
          <w:color w:val="000000"/>
        </w:rPr>
        <w:t>（见《国家发展计划》的附件</w:t>
      </w:r>
      <w:r>
        <w:rPr>
          <w:color w:val="000000"/>
        </w:rPr>
        <w:t>2.1</w:t>
      </w:r>
      <w:r>
        <w:rPr>
          <w:rFonts w:hint="eastAsia"/>
          <w:color w:val="000000"/>
        </w:rPr>
        <w:t>）。</w:t>
      </w:r>
    </w:p>
    <w:p w:rsidR="00692915" w:rsidRDefault="00692915">
      <w:pPr>
        <w:tabs>
          <w:tab w:val="left" w:pos="1170"/>
        </w:tabs>
        <w:spacing w:after="240"/>
        <w:ind w:firstLineChars="0" w:firstLine="0"/>
        <w:rPr>
          <w:rFonts w:eastAsia="KaiTi_GB2312" w:hint="eastAsia"/>
          <w:color w:val="000000"/>
        </w:rPr>
      </w:pPr>
      <w:r>
        <w:rPr>
          <w:rFonts w:eastAsia="KaiTi_GB2312" w:hint="eastAsia"/>
          <w:color w:val="000000"/>
        </w:rPr>
        <w:t>《部门投资方案》与《年度行动计划》</w:t>
      </w:r>
    </w:p>
    <w:p w:rsidR="00692915" w:rsidRDefault="00692915" w:rsidP="009A1C1B">
      <w:pPr>
        <w:tabs>
          <w:tab w:val="left" w:pos="1170"/>
        </w:tabs>
        <w:ind w:firstLine="31680"/>
        <w:rPr>
          <w:rFonts w:hint="eastAsia"/>
          <w:bCs/>
          <w:color w:val="000000"/>
        </w:rPr>
      </w:pPr>
      <w:r>
        <w:rPr>
          <w:bCs/>
          <w:color w:val="000000"/>
        </w:rPr>
        <w:t>299.</w:t>
      </w:r>
      <w:r>
        <w:rPr>
          <w:bCs/>
          <w:color w:val="000000"/>
        </w:rPr>
        <w:tab/>
      </w:r>
      <w:r>
        <w:rPr>
          <w:rFonts w:hint="eastAsia"/>
          <w:bCs/>
          <w:color w:val="000000"/>
        </w:rPr>
        <w:t>值得注意的是，不能孤立地看待《国家发展计划》，该计划仍然需要修订和改进，需要与其补充文件一起纳入考虑</w:t>
      </w:r>
      <w:r>
        <w:rPr>
          <w:rFonts w:ascii="SimHei" w:eastAsia="SimHei" w:hint="eastAsia"/>
          <w:bCs/>
          <w:color w:val="000000"/>
          <w:spacing w:val="0"/>
        </w:rPr>
        <w:t>——</w:t>
      </w:r>
      <w:r>
        <w:rPr>
          <w:rFonts w:hint="eastAsia"/>
          <w:bCs/>
          <w:color w:val="000000"/>
        </w:rPr>
        <w:t>目前，补充文件包括《部门投资方案》和《年度行动计划》（</w:t>
      </w:r>
      <w:r>
        <w:rPr>
          <w:rFonts w:hint="eastAsia"/>
          <w:bCs/>
          <w:color w:val="000000"/>
        </w:rPr>
        <w:t>AAP</w:t>
      </w:r>
      <w:r>
        <w:rPr>
          <w:rFonts w:hint="eastAsia"/>
          <w:bCs/>
          <w:color w:val="000000"/>
        </w:rPr>
        <w:t>）。如果发现在细节或措施方面，《国家发展计划》不足以确保实现政府的人权承诺，那么在很多情况下，可以参照《部门投资方案》和《年度行动计划》，东帝汶政府每年都要对这些方案和计划进行审查。《部门投资方案》是关于实现《国家发展计划》各项目标和远景计划的中期战略，而《年度行动计划》则是实施《部门投资方案》的年度预算计划。《部门投资方案》按照每个部门为政府和捐赠方提供了一整套明确的优先事项和发展计划，这些事项和计划有助于千年发展目标的实现。为了更好地确定每个《部门投资方案》的优先事项，政府已成立了部门工作组，其中有三个来自以下部门的常任理事：促进平等事务总理顾问办公室、外交与合作部、财政与规划部。</w:t>
      </w:r>
    </w:p>
    <w:p w:rsidR="00692915" w:rsidRDefault="00692915" w:rsidP="009A1C1B">
      <w:pPr>
        <w:tabs>
          <w:tab w:val="left" w:pos="1170"/>
        </w:tabs>
        <w:ind w:firstLine="31680"/>
        <w:rPr>
          <w:rFonts w:hint="eastAsia"/>
          <w:bCs/>
          <w:color w:val="000000"/>
        </w:rPr>
      </w:pPr>
      <w:r>
        <w:rPr>
          <w:bCs/>
          <w:color w:val="000000"/>
        </w:rPr>
        <w:t>300.</w:t>
      </w:r>
      <w:r>
        <w:rPr>
          <w:rFonts w:hint="eastAsia"/>
          <w:bCs/>
          <w:color w:val="000000"/>
        </w:rPr>
        <w:t xml:space="preserve"> </w:t>
      </w:r>
      <w:r>
        <w:rPr>
          <w:rFonts w:hint="eastAsia"/>
          <w:bCs/>
          <w:color w:val="000000"/>
        </w:rPr>
        <w:t>在一整套的《部门投资方案》中，与权利有关的最显著特征之一就是采取了实际措施提高东帝汶的教育服务水平和健康水平。例如，具体规定包括：到</w:t>
      </w:r>
      <w:r>
        <w:rPr>
          <w:rFonts w:hint="eastAsia"/>
          <w:bCs/>
          <w:color w:val="000000"/>
        </w:rPr>
        <w:t>2015</w:t>
      </w:r>
      <w:r>
        <w:rPr>
          <w:rFonts w:hint="eastAsia"/>
          <w:bCs/>
          <w:color w:val="000000"/>
        </w:rPr>
        <w:t>年，将通过免费基础教育实现受教育权的目标；</w:t>
      </w:r>
      <w:r>
        <w:rPr>
          <w:rStyle w:val="FootnoteReference"/>
          <w:bCs/>
          <w:color w:val="000000"/>
        </w:rPr>
        <w:footnoteReference w:id="157"/>
      </w:r>
      <w:r>
        <w:rPr>
          <w:rFonts w:hint="eastAsia"/>
          <w:bCs/>
          <w:color w:val="000000"/>
        </w:rPr>
        <w:t>为了方便就学，将在每个村落建立一所小学；除其他方面以外，教育将以平等和受教育机会为原则，将尤其关注性别问题、农村和少数民族人群，以及社会的其他劣势部门，</w:t>
      </w:r>
      <w:r>
        <w:rPr>
          <w:rStyle w:val="FootnoteReference"/>
          <w:bCs/>
          <w:color w:val="000000"/>
        </w:rPr>
        <w:footnoteReference w:id="158"/>
      </w:r>
      <w:r>
        <w:rPr>
          <w:rFonts w:hint="eastAsia"/>
          <w:bCs/>
          <w:color w:val="000000"/>
        </w:rPr>
        <w:t>并将以权利为基础寻求发展</w:t>
      </w:r>
      <w:r>
        <w:rPr>
          <w:rFonts w:ascii="SimHei" w:eastAsia="SimHei" w:hint="eastAsia"/>
          <w:bCs/>
          <w:color w:val="000000"/>
          <w:spacing w:val="0"/>
        </w:rPr>
        <w:t>——</w:t>
      </w:r>
      <w:r>
        <w:rPr>
          <w:rFonts w:hint="eastAsia"/>
          <w:bCs/>
          <w:color w:val="000000"/>
        </w:rPr>
        <w:t>其重点关注是社会中最弱势的人群。</w:t>
      </w:r>
    </w:p>
    <w:p w:rsidR="00692915" w:rsidRDefault="00692915" w:rsidP="009A1C1B">
      <w:pPr>
        <w:tabs>
          <w:tab w:val="left" w:pos="1170"/>
        </w:tabs>
        <w:ind w:firstLine="31680"/>
        <w:rPr>
          <w:rFonts w:hint="eastAsia"/>
          <w:bCs/>
          <w:color w:val="000000"/>
        </w:rPr>
      </w:pPr>
      <w:r>
        <w:rPr>
          <w:bCs/>
          <w:color w:val="000000"/>
        </w:rPr>
        <w:t>301.</w:t>
      </w:r>
      <w:r>
        <w:rPr>
          <w:bCs/>
          <w:color w:val="000000"/>
        </w:rPr>
        <w:tab/>
      </w:r>
      <w:r>
        <w:rPr>
          <w:rFonts w:hint="eastAsia"/>
          <w:bCs/>
          <w:color w:val="000000"/>
        </w:rPr>
        <w:t>为尽可能实现最高的健康水平，目前正在提供免费医疗服务，并制定了一整套政策以改善母婴健康水平和提供低成本高效益的干预措施</w:t>
      </w:r>
      <w:r>
        <w:rPr>
          <w:rFonts w:ascii="SimHei" w:eastAsia="SimHei" w:hint="eastAsia"/>
          <w:bCs/>
          <w:color w:val="000000"/>
          <w:spacing w:val="0"/>
        </w:rPr>
        <w:t>——</w:t>
      </w:r>
      <w:r>
        <w:rPr>
          <w:rFonts w:hint="eastAsia"/>
          <w:bCs/>
          <w:color w:val="000000"/>
        </w:rPr>
        <w:t>这些措施旨在防止、控制或处理那些带来最严重疾病负担的问题。有关卫生保健的《部门投资方案》明确指出，单靠卫生部不能解决那些对健康状况有决定作用的问题，教育、收入、住房、食品、水与卫生等因素也至关重要，这说明，有必要采取能够明确反映普遍性原则的多部门方法。</w:t>
      </w:r>
    </w:p>
    <w:p w:rsidR="00692915" w:rsidRDefault="00692915" w:rsidP="009A1C1B">
      <w:pPr>
        <w:tabs>
          <w:tab w:val="left" w:pos="1170"/>
        </w:tabs>
        <w:ind w:firstLine="31680"/>
        <w:rPr>
          <w:rFonts w:hint="eastAsia"/>
          <w:bCs/>
          <w:color w:val="000000"/>
        </w:rPr>
      </w:pPr>
      <w:r>
        <w:rPr>
          <w:bCs/>
          <w:color w:val="000000"/>
        </w:rPr>
        <w:t>302.</w:t>
      </w:r>
      <w:r>
        <w:rPr>
          <w:bCs/>
          <w:color w:val="000000"/>
        </w:rPr>
        <w:tab/>
      </w:r>
      <w:r>
        <w:rPr>
          <w:rFonts w:hint="eastAsia"/>
          <w:bCs/>
          <w:color w:val="000000"/>
        </w:rPr>
        <w:t>一方面，法律框架和法治得到了适当的重视</w:t>
      </w:r>
      <w:r>
        <w:rPr>
          <w:rFonts w:ascii="SimHei" w:eastAsia="SimHei" w:hint="eastAsia"/>
          <w:bCs/>
          <w:color w:val="000000"/>
          <w:spacing w:val="0"/>
        </w:rPr>
        <w:t>——</w:t>
      </w:r>
      <w:r>
        <w:rPr>
          <w:rFonts w:hint="eastAsia"/>
          <w:bCs/>
          <w:color w:val="000000"/>
        </w:rPr>
        <w:t>这是司法部门发展的关键；另一方面，各种旨在提高司法部门服务、加强监督和问责机制的各种政策也反映了基于权利的思想。</w:t>
      </w:r>
    </w:p>
    <w:p w:rsidR="00692915" w:rsidRDefault="00692915" w:rsidP="009A1C1B">
      <w:pPr>
        <w:tabs>
          <w:tab w:val="left" w:pos="1170"/>
        </w:tabs>
        <w:ind w:firstLine="31680"/>
        <w:rPr>
          <w:rFonts w:hint="eastAsia"/>
          <w:bCs/>
          <w:color w:val="000000"/>
        </w:rPr>
      </w:pPr>
      <w:r>
        <w:rPr>
          <w:bCs/>
          <w:color w:val="000000"/>
        </w:rPr>
        <w:t>303.</w:t>
      </w:r>
      <w:r>
        <w:rPr>
          <w:bCs/>
          <w:color w:val="000000"/>
        </w:rPr>
        <w:tab/>
      </w:r>
      <w:r>
        <w:rPr>
          <w:rFonts w:hint="eastAsia"/>
          <w:bCs/>
          <w:color w:val="000000"/>
        </w:rPr>
        <w:t>政府正在做出巨大努力，以通过每个机构的《年度行动计划》，确定预算与《国家发展计划》之间的联系。在初期阶段，还有很多工作要做，以明确各项目的预算拨款和国家人权义务之间的关系。但是，与很多发展政策一样，预算拨款中基于权利的拨款金额也很可观。</w:t>
      </w:r>
    </w:p>
    <w:p w:rsidR="00692915" w:rsidRDefault="00692915" w:rsidP="009A1C1B">
      <w:pPr>
        <w:tabs>
          <w:tab w:val="left" w:pos="1170"/>
        </w:tabs>
        <w:ind w:firstLine="31680"/>
        <w:rPr>
          <w:rFonts w:hint="eastAsia"/>
          <w:bCs/>
          <w:color w:val="000000"/>
        </w:rPr>
      </w:pPr>
      <w:r>
        <w:rPr>
          <w:bCs/>
          <w:color w:val="000000"/>
        </w:rPr>
        <w:t>304.</w:t>
      </w:r>
      <w:r>
        <w:rPr>
          <w:bCs/>
          <w:color w:val="000000"/>
        </w:rPr>
        <w:tab/>
      </w:r>
      <w:r>
        <w:rPr>
          <w:rFonts w:hint="eastAsia"/>
          <w:bCs/>
          <w:color w:val="000000"/>
        </w:rPr>
        <w:t>例如，</w:t>
      </w:r>
      <w:r>
        <w:rPr>
          <w:bCs/>
          <w:color w:val="000000"/>
        </w:rPr>
        <w:t>2004/</w:t>
      </w:r>
      <w:r>
        <w:rPr>
          <w:rFonts w:hint="eastAsia"/>
          <w:bCs/>
          <w:color w:val="000000"/>
        </w:rPr>
        <w:t>20</w:t>
      </w:r>
      <w:r>
        <w:rPr>
          <w:bCs/>
          <w:color w:val="000000"/>
        </w:rPr>
        <w:t>05</w:t>
      </w:r>
      <w:r>
        <w:rPr>
          <w:rFonts w:hint="eastAsia"/>
          <w:bCs/>
          <w:color w:val="000000"/>
        </w:rPr>
        <w:t>财政年度，教育与卫生的拨款占国家一般预算的</w:t>
      </w:r>
      <w:r>
        <w:rPr>
          <w:bCs/>
          <w:color w:val="000000"/>
        </w:rPr>
        <w:t>36.4</w:t>
      </w:r>
      <w:r>
        <w:rPr>
          <w:rFonts w:hint="eastAsia"/>
          <w:bCs/>
          <w:color w:val="000000"/>
        </w:rPr>
        <w:t>%</w:t>
      </w:r>
      <w:r>
        <w:rPr>
          <w:rFonts w:hint="eastAsia"/>
          <w:bCs/>
          <w:color w:val="000000"/>
        </w:rPr>
        <w:t>。</w:t>
      </w:r>
      <w:r>
        <w:rPr>
          <w:bCs/>
          <w:color w:val="000000"/>
        </w:rPr>
        <w:t>2005/</w:t>
      </w:r>
      <w:r>
        <w:rPr>
          <w:rFonts w:hint="eastAsia"/>
          <w:bCs/>
          <w:color w:val="000000"/>
        </w:rPr>
        <w:t>20</w:t>
      </w:r>
      <w:r>
        <w:rPr>
          <w:bCs/>
          <w:color w:val="000000"/>
        </w:rPr>
        <w:t>06</w:t>
      </w:r>
      <w:r>
        <w:rPr>
          <w:rFonts w:hint="eastAsia"/>
          <w:bCs/>
          <w:color w:val="000000"/>
        </w:rPr>
        <w:t>财政年度，这一比率下降为</w:t>
      </w:r>
      <w:r>
        <w:rPr>
          <w:rFonts w:hint="eastAsia"/>
          <w:bCs/>
          <w:color w:val="000000"/>
        </w:rPr>
        <w:t>32%</w:t>
      </w:r>
      <w:r>
        <w:rPr>
          <w:rFonts w:hint="eastAsia"/>
          <w:bCs/>
          <w:color w:val="000000"/>
        </w:rPr>
        <w:t>，但仍然在国家总预算中占有相当高比率。初等教育拨款占教育预算的</w:t>
      </w:r>
      <w:r>
        <w:rPr>
          <w:rFonts w:hint="eastAsia"/>
          <w:bCs/>
          <w:color w:val="000000"/>
        </w:rPr>
        <w:t>45%</w:t>
      </w:r>
      <w:r>
        <w:rPr>
          <w:rFonts w:hint="eastAsia"/>
          <w:bCs/>
          <w:color w:val="000000"/>
        </w:rPr>
        <w:t>，除了其他方面以外，这主要是为了全面提高初等教育的质量。</w:t>
      </w:r>
    </w:p>
    <w:p w:rsidR="00692915" w:rsidRDefault="00692915" w:rsidP="009A1C1B">
      <w:pPr>
        <w:tabs>
          <w:tab w:val="left" w:pos="1170"/>
        </w:tabs>
        <w:ind w:firstLine="31680"/>
        <w:rPr>
          <w:rFonts w:hint="eastAsia"/>
          <w:bCs/>
          <w:color w:val="000000"/>
        </w:rPr>
      </w:pPr>
      <w:r>
        <w:rPr>
          <w:bCs/>
          <w:color w:val="000000"/>
        </w:rPr>
        <w:t>305.</w:t>
      </w:r>
      <w:r>
        <w:rPr>
          <w:bCs/>
          <w:color w:val="000000"/>
        </w:rPr>
        <w:tab/>
      </w:r>
      <w:r>
        <w:rPr>
          <w:rFonts w:hint="eastAsia"/>
          <w:bCs/>
          <w:color w:val="000000"/>
        </w:rPr>
        <w:t>按照卫生政策框架，各地区的基本医疗服务和预防性医疗服务一直是卫生支出的重点。在恢复基本的免疫基础设施方面，已经取得了进展</w:t>
      </w:r>
      <w:r>
        <w:rPr>
          <w:rFonts w:ascii="SimHei" w:eastAsia="SimHei" w:hint="eastAsia"/>
          <w:bCs/>
          <w:color w:val="000000"/>
          <w:spacing w:val="0"/>
        </w:rPr>
        <w:t>——</w:t>
      </w:r>
      <w:r>
        <w:rPr>
          <w:rFonts w:hint="eastAsia"/>
          <w:bCs/>
          <w:color w:val="000000"/>
        </w:rPr>
        <w:t>在东帝汶，白喉和百日咳疫苗免疫率达到了</w:t>
      </w:r>
      <w:r>
        <w:rPr>
          <w:rFonts w:hint="eastAsia"/>
          <w:bCs/>
          <w:color w:val="000000"/>
        </w:rPr>
        <w:t>73%</w:t>
      </w:r>
      <w:r>
        <w:rPr>
          <w:rFonts w:hint="eastAsia"/>
          <w:bCs/>
          <w:color w:val="000000"/>
        </w:rPr>
        <w:t>，破伤风为</w:t>
      </w:r>
      <w:r>
        <w:rPr>
          <w:rFonts w:hint="eastAsia"/>
          <w:bCs/>
          <w:color w:val="000000"/>
        </w:rPr>
        <w:t>72%</w:t>
      </w:r>
      <w:r>
        <w:rPr>
          <w:rFonts w:hint="eastAsia"/>
          <w:bCs/>
          <w:color w:val="000000"/>
        </w:rPr>
        <w:t>，麻疹为</w:t>
      </w:r>
      <w:r>
        <w:rPr>
          <w:rFonts w:hint="eastAsia"/>
          <w:bCs/>
          <w:color w:val="000000"/>
        </w:rPr>
        <w:t>70%</w:t>
      </w:r>
      <w:r>
        <w:rPr>
          <w:rFonts w:hint="eastAsia"/>
          <w:bCs/>
          <w:color w:val="000000"/>
        </w:rPr>
        <w:t>。为了提高粮食生产，提高农业和畜牧业的生产力，农业部还将其</w:t>
      </w:r>
      <w:r>
        <w:rPr>
          <w:bCs/>
          <w:color w:val="000000"/>
        </w:rPr>
        <w:t>2004/</w:t>
      </w:r>
      <w:r>
        <w:rPr>
          <w:rFonts w:hint="eastAsia"/>
          <w:bCs/>
          <w:color w:val="000000"/>
        </w:rPr>
        <w:t>20</w:t>
      </w:r>
      <w:r>
        <w:rPr>
          <w:bCs/>
          <w:color w:val="000000"/>
        </w:rPr>
        <w:t>05</w:t>
      </w:r>
      <w:r>
        <w:rPr>
          <w:rFonts w:hint="eastAsia"/>
          <w:bCs/>
          <w:color w:val="000000"/>
        </w:rPr>
        <w:t>年预算的近</w:t>
      </w:r>
      <w:r>
        <w:rPr>
          <w:rFonts w:hint="eastAsia"/>
          <w:bCs/>
          <w:color w:val="000000"/>
        </w:rPr>
        <w:t>65%</w:t>
      </w:r>
      <w:r>
        <w:rPr>
          <w:rFonts w:hint="eastAsia"/>
          <w:bCs/>
          <w:color w:val="000000"/>
        </w:rPr>
        <w:t>用于这方面的各种方案和活动，在国家加强粮食保障的总体措施中，提高农业和畜牧业生产力至关重要。</w:t>
      </w:r>
    </w:p>
    <w:p w:rsidR="00692915" w:rsidRDefault="00692915" w:rsidP="009A1C1B">
      <w:pPr>
        <w:tabs>
          <w:tab w:val="left" w:pos="1170"/>
        </w:tabs>
        <w:spacing w:after="240"/>
        <w:ind w:firstLine="31680"/>
        <w:rPr>
          <w:rFonts w:hint="eastAsia"/>
          <w:color w:val="000000"/>
        </w:rPr>
      </w:pPr>
      <w:r>
        <w:rPr>
          <w:color w:val="000000"/>
        </w:rPr>
        <w:t>306.</w:t>
      </w:r>
      <w:r>
        <w:rPr>
          <w:color w:val="000000"/>
        </w:rPr>
        <w:tab/>
      </w:r>
      <w:r>
        <w:rPr>
          <w:rFonts w:hint="eastAsia"/>
          <w:color w:val="000000"/>
        </w:rPr>
        <w:t>这些只是其中的一些例子。尽管如此，为了从权利角度进行预算分析，必须大力提高政府各直属部委现有方案与预算官员的专业能力。</w:t>
      </w:r>
    </w:p>
    <w:p w:rsidR="00692915" w:rsidRDefault="00692915">
      <w:pPr>
        <w:tabs>
          <w:tab w:val="left" w:pos="1170"/>
        </w:tabs>
        <w:spacing w:after="240"/>
        <w:ind w:firstLineChars="0" w:firstLine="0"/>
        <w:rPr>
          <w:rFonts w:hint="eastAsia"/>
          <w:color w:val="000000"/>
        </w:rPr>
      </w:pPr>
      <w:r>
        <w:rPr>
          <w:rFonts w:eastAsia="KaiTi_GB2312" w:hint="eastAsia"/>
          <w:bCs/>
          <w:color w:val="000000"/>
        </w:rPr>
        <w:t>侧重于权利发展的外援</w:t>
      </w:r>
    </w:p>
    <w:p w:rsidR="00692915" w:rsidRDefault="00692915" w:rsidP="009A1C1B">
      <w:pPr>
        <w:tabs>
          <w:tab w:val="left" w:pos="1170"/>
        </w:tabs>
        <w:ind w:firstLine="31680"/>
        <w:rPr>
          <w:rFonts w:hint="eastAsia"/>
          <w:bCs/>
          <w:color w:val="000000"/>
        </w:rPr>
      </w:pPr>
      <w:r>
        <w:rPr>
          <w:bCs/>
          <w:color w:val="000000"/>
        </w:rPr>
        <w:t>307.</w:t>
      </w:r>
      <w:r>
        <w:rPr>
          <w:bCs/>
          <w:color w:val="000000"/>
        </w:rPr>
        <w:tab/>
      </w:r>
      <w:r>
        <w:rPr>
          <w:rFonts w:hint="eastAsia"/>
          <w:bCs/>
          <w:color w:val="000000"/>
        </w:rPr>
        <w:t>捐赠方援助为东帝汶实现人权承诺提供了支持，但在目前，政府还无法对这种支持的力度做出全面评估。但可以说，到目前为止，外援（官方发展援助）已经从权利角度为教育、卫生和农业领域提供了大力支持，另外，还为政策培训提供了强有力支持。</w:t>
      </w:r>
    </w:p>
    <w:p w:rsidR="00692915" w:rsidRDefault="00692915" w:rsidP="009A1C1B">
      <w:pPr>
        <w:tabs>
          <w:tab w:val="left" w:pos="1170"/>
        </w:tabs>
        <w:ind w:firstLine="31680"/>
        <w:rPr>
          <w:rFonts w:hint="eastAsia"/>
          <w:bCs/>
          <w:color w:val="000000"/>
        </w:rPr>
      </w:pPr>
      <w:r>
        <w:rPr>
          <w:bCs/>
          <w:color w:val="000000"/>
        </w:rPr>
        <w:t>308.</w:t>
      </w:r>
      <w:r>
        <w:rPr>
          <w:bCs/>
          <w:color w:val="000000"/>
        </w:rPr>
        <w:tab/>
      </w:r>
      <w:r>
        <w:rPr>
          <w:rFonts w:hint="eastAsia"/>
          <w:bCs/>
          <w:color w:val="000000"/>
        </w:rPr>
        <w:t xml:space="preserve"> </w:t>
      </w:r>
      <w:r>
        <w:rPr>
          <w:rFonts w:hint="eastAsia"/>
          <w:bCs/>
          <w:color w:val="000000"/>
        </w:rPr>
        <w:t>政府坚决认为，官方发展援助应着重考虑政府的远景计划、目标、指导原则、政策，以及《国家发展计划》和《部门投资方案》为各部门所确定的优先事项，并协助确定和制定未来方案和援助项目。</w:t>
      </w:r>
      <w:r>
        <w:rPr>
          <w:rStyle w:val="FootnoteReference"/>
          <w:bCs/>
          <w:color w:val="000000"/>
        </w:rPr>
        <w:footnoteReference w:id="159"/>
      </w:r>
    </w:p>
    <w:p w:rsidR="00692915" w:rsidRDefault="00692915" w:rsidP="009A1C1B">
      <w:pPr>
        <w:tabs>
          <w:tab w:val="left" w:pos="1170"/>
        </w:tabs>
        <w:spacing w:after="240"/>
        <w:ind w:firstLine="31680"/>
        <w:rPr>
          <w:rFonts w:hint="eastAsia"/>
          <w:color w:val="000000"/>
        </w:rPr>
      </w:pPr>
      <w:r>
        <w:rPr>
          <w:color w:val="000000"/>
        </w:rPr>
        <w:t>309.</w:t>
      </w:r>
      <w:r>
        <w:rPr>
          <w:color w:val="000000"/>
        </w:rPr>
        <w:tab/>
      </w:r>
      <w:r>
        <w:rPr>
          <w:rFonts w:hint="eastAsia"/>
          <w:color w:val="000000"/>
        </w:rPr>
        <w:t>从总体上来说，各种形式的官方发展援助为</w:t>
      </w:r>
      <w:r>
        <w:rPr>
          <w:rFonts w:hint="eastAsia"/>
          <w:color w:val="000000"/>
        </w:rPr>
        <w:t>1999</w:t>
      </w:r>
      <w:r>
        <w:rPr>
          <w:rFonts w:hint="eastAsia"/>
          <w:color w:val="000000"/>
        </w:rPr>
        <w:t>年以来的公共支出提供了大部分资金，其中必然包括很多基于权利的举措。这一趋势已开始下降，并将在计划的最后两到三年内继续下降。希望捐赠方继续提供支持，最好提供发展技术援助方面的支持。根据目前的预计，发展和技术援助将稳步下降，人均水平将从头几年的</w:t>
      </w:r>
      <w:r>
        <w:rPr>
          <w:rFonts w:hint="eastAsia"/>
          <w:color w:val="000000"/>
        </w:rPr>
        <w:t>236</w:t>
      </w:r>
      <w:r>
        <w:rPr>
          <w:rFonts w:hint="eastAsia"/>
          <w:color w:val="000000"/>
        </w:rPr>
        <w:t>美元下降到</w:t>
      </w:r>
      <w:r>
        <w:rPr>
          <w:rFonts w:hint="eastAsia"/>
          <w:color w:val="000000"/>
        </w:rPr>
        <w:t>100</w:t>
      </w:r>
      <w:r>
        <w:rPr>
          <w:rFonts w:hint="eastAsia"/>
          <w:color w:val="000000"/>
        </w:rPr>
        <w:t>美元左右。</w:t>
      </w:r>
      <w:bookmarkStart w:id="62" w:name="_Toc150514961"/>
      <w:bookmarkStart w:id="63" w:name="_Toc150684864"/>
    </w:p>
    <w:p w:rsidR="00692915" w:rsidRDefault="00692915">
      <w:pPr>
        <w:tabs>
          <w:tab w:val="left" w:pos="1170"/>
        </w:tabs>
        <w:spacing w:after="240"/>
        <w:ind w:firstLineChars="0" w:firstLine="0"/>
        <w:rPr>
          <w:rFonts w:hint="eastAsia"/>
          <w:color w:val="000000"/>
        </w:rPr>
      </w:pPr>
      <w:r>
        <w:rPr>
          <w:color w:val="000000"/>
        </w:rPr>
        <w:t xml:space="preserve">9.  </w:t>
      </w:r>
      <w:bookmarkEnd w:id="62"/>
      <w:bookmarkEnd w:id="63"/>
      <w:r>
        <w:rPr>
          <w:rFonts w:hint="eastAsia"/>
          <w:color w:val="000000"/>
          <w:u w:val="single"/>
        </w:rPr>
        <w:t>社会性别平等主流化</w:t>
      </w:r>
      <w:bookmarkStart w:id="64" w:name="_Toc150514962"/>
      <w:bookmarkStart w:id="65" w:name="_Toc150684865"/>
    </w:p>
    <w:p w:rsidR="00692915" w:rsidRDefault="00692915">
      <w:pPr>
        <w:tabs>
          <w:tab w:val="left" w:pos="1170"/>
        </w:tabs>
        <w:spacing w:after="240"/>
        <w:ind w:firstLineChars="0" w:firstLine="0"/>
        <w:rPr>
          <w:rFonts w:hint="eastAsia"/>
          <w:b/>
          <w:bCs/>
          <w:color w:val="000000"/>
        </w:rPr>
      </w:pPr>
      <w:r>
        <w:rPr>
          <w:rFonts w:eastAsia="KaiTi_GB2312" w:hint="eastAsia"/>
          <w:bCs/>
          <w:color w:val="000000"/>
        </w:rPr>
        <w:t>背景</w:t>
      </w:r>
      <w:r>
        <w:rPr>
          <w:rStyle w:val="FootnoteReference"/>
          <w:color w:val="000000"/>
          <w:szCs w:val="24"/>
        </w:rPr>
        <w:footnoteReference w:id="160"/>
      </w:r>
      <w:bookmarkEnd w:id="64"/>
      <w:bookmarkEnd w:id="65"/>
    </w:p>
    <w:p w:rsidR="00692915" w:rsidRDefault="00692915" w:rsidP="009A1C1B">
      <w:pPr>
        <w:tabs>
          <w:tab w:val="left" w:pos="1170"/>
        </w:tabs>
        <w:ind w:firstLine="31680"/>
        <w:rPr>
          <w:rFonts w:hint="eastAsia"/>
          <w:bCs/>
          <w:color w:val="000000"/>
        </w:rPr>
      </w:pPr>
      <w:r>
        <w:rPr>
          <w:bCs/>
          <w:color w:val="000000"/>
        </w:rPr>
        <w:t>310.</w:t>
      </w:r>
      <w:r>
        <w:rPr>
          <w:bCs/>
          <w:color w:val="000000"/>
        </w:rPr>
        <w:tab/>
      </w:r>
      <w:r>
        <w:rPr>
          <w:rFonts w:hint="eastAsia"/>
          <w:bCs/>
          <w:color w:val="000000"/>
        </w:rPr>
        <w:t>根据</w:t>
      </w:r>
      <w:r>
        <w:rPr>
          <w:rFonts w:hint="eastAsia"/>
          <w:bCs/>
          <w:color w:val="000000"/>
        </w:rPr>
        <w:t>2004</w:t>
      </w:r>
      <w:r>
        <w:rPr>
          <w:rFonts w:hint="eastAsia"/>
          <w:bCs/>
          <w:color w:val="000000"/>
        </w:rPr>
        <w:t>年人口普查的临时结果，截止</w:t>
      </w:r>
      <w:r>
        <w:rPr>
          <w:rFonts w:hint="eastAsia"/>
          <w:bCs/>
          <w:color w:val="000000"/>
        </w:rPr>
        <w:t>2004</w:t>
      </w:r>
      <w:r>
        <w:rPr>
          <w:rFonts w:hint="eastAsia"/>
          <w:bCs/>
          <w:color w:val="000000"/>
        </w:rPr>
        <w:t>年</w:t>
      </w:r>
      <w:r>
        <w:rPr>
          <w:rFonts w:hint="eastAsia"/>
          <w:bCs/>
          <w:color w:val="000000"/>
        </w:rPr>
        <w:t>7</w:t>
      </w:r>
      <w:r>
        <w:rPr>
          <w:rFonts w:hint="eastAsia"/>
          <w:bCs/>
          <w:color w:val="000000"/>
        </w:rPr>
        <w:t>月东帝汶女性人数为</w:t>
      </w:r>
      <w:r>
        <w:rPr>
          <w:bCs/>
          <w:color w:val="000000"/>
        </w:rPr>
        <w:t> 4</w:t>
      </w:r>
      <w:r>
        <w:rPr>
          <w:bCs/>
          <w:color w:val="000000"/>
          <w:spacing w:val="8"/>
        </w:rPr>
        <w:t>50</w:t>
      </w:r>
      <w:r>
        <w:rPr>
          <w:rFonts w:hint="eastAsia"/>
          <w:bCs/>
          <w:color w:val="000000"/>
          <w:spacing w:val="8"/>
        </w:rPr>
        <w:t xml:space="preserve"> </w:t>
      </w:r>
      <w:r>
        <w:rPr>
          <w:bCs/>
          <w:color w:val="000000"/>
          <w:spacing w:val="8"/>
        </w:rPr>
        <w:t>000</w:t>
      </w:r>
      <w:r>
        <w:rPr>
          <w:rFonts w:hint="eastAsia"/>
          <w:bCs/>
          <w:color w:val="000000"/>
        </w:rPr>
        <w:t>人略多一点，大约相当于人口的一半。</w:t>
      </w:r>
      <w:r>
        <w:rPr>
          <w:rFonts w:hint="eastAsia"/>
          <w:bCs/>
          <w:color w:val="000000"/>
        </w:rPr>
        <w:t>18</w:t>
      </w:r>
      <w:r>
        <w:rPr>
          <w:rFonts w:hint="eastAsia"/>
          <w:bCs/>
          <w:color w:val="000000"/>
        </w:rPr>
        <w:t>岁以下女孩很可能在</w:t>
      </w:r>
      <w:r>
        <w:rPr>
          <w:bCs/>
          <w:color w:val="000000"/>
        </w:rPr>
        <w:t>225</w:t>
      </w:r>
      <w:r>
        <w:rPr>
          <w:rFonts w:hint="eastAsia"/>
          <w:bCs/>
          <w:color w:val="000000"/>
        </w:rPr>
        <w:t xml:space="preserve"> </w:t>
      </w:r>
      <w:r>
        <w:rPr>
          <w:bCs/>
          <w:color w:val="000000"/>
        </w:rPr>
        <w:t>000</w:t>
      </w:r>
      <w:r>
        <w:rPr>
          <w:rFonts w:hint="eastAsia"/>
          <w:bCs/>
          <w:color w:val="000000"/>
        </w:rPr>
        <w:t>人左右，或约占女性人口的一半。截止</w:t>
      </w:r>
      <w:r>
        <w:rPr>
          <w:rFonts w:hint="eastAsia"/>
          <w:bCs/>
          <w:color w:val="000000"/>
        </w:rPr>
        <w:t>2004</w:t>
      </w:r>
      <w:r>
        <w:rPr>
          <w:rFonts w:hint="eastAsia"/>
          <w:bCs/>
          <w:color w:val="000000"/>
        </w:rPr>
        <w:t>年</w:t>
      </w:r>
      <w:r>
        <w:rPr>
          <w:rFonts w:hint="eastAsia"/>
          <w:bCs/>
          <w:color w:val="000000"/>
        </w:rPr>
        <w:t>7</w:t>
      </w:r>
      <w:r>
        <w:rPr>
          <w:rFonts w:hint="eastAsia"/>
          <w:bCs/>
          <w:color w:val="000000"/>
        </w:rPr>
        <w:t>月，妇女劳动力大约为</w:t>
      </w:r>
      <w:r>
        <w:rPr>
          <w:bCs/>
          <w:color w:val="000000"/>
        </w:rPr>
        <w:t>120</w:t>
      </w:r>
      <w:r>
        <w:rPr>
          <w:rFonts w:hint="eastAsia"/>
          <w:bCs/>
          <w:color w:val="000000"/>
        </w:rPr>
        <w:t xml:space="preserve"> </w:t>
      </w:r>
      <w:r>
        <w:rPr>
          <w:bCs/>
          <w:color w:val="000000"/>
        </w:rPr>
        <w:t>000</w:t>
      </w:r>
      <w:r>
        <w:rPr>
          <w:rFonts w:hint="eastAsia"/>
          <w:bCs/>
          <w:color w:val="000000"/>
        </w:rPr>
        <w:t>人，约占总数的</w:t>
      </w:r>
      <w:r>
        <w:rPr>
          <w:rFonts w:hint="eastAsia"/>
          <w:bCs/>
          <w:color w:val="000000"/>
        </w:rPr>
        <w:t>41%</w:t>
      </w:r>
      <w:r>
        <w:rPr>
          <w:rFonts w:hint="eastAsia"/>
          <w:bCs/>
          <w:color w:val="000000"/>
        </w:rPr>
        <w:t>。其中有将近三分之二的妇女来自农业部门，主要是生产力非常低的生计农业。非农业部门的劳动力人数为</w:t>
      </w:r>
      <w:r>
        <w:rPr>
          <w:bCs/>
          <w:color w:val="000000"/>
        </w:rPr>
        <w:t>100</w:t>
      </w:r>
      <w:r>
        <w:rPr>
          <w:rFonts w:hint="eastAsia"/>
          <w:bCs/>
          <w:color w:val="000000"/>
        </w:rPr>
        <w:t xml:space="preserve"> </w:t>
      </w:r>
      <w:r>
        <w:rPr>
          <w:bCs/>
          <w:color w:val="000000"/>
        </w:rPr>
        <w:t>000</w:t>
      </w:r>
      <w:r>
        <w:rPr>
          <w:rFonts w:hint="eastAsia"/>
          <w:bCs/>
          <w:color w:val="000000"/>
        </w:rPr>
        <w:t>人多一点，其中妇女约占</w:t>
      </w:r>
      <w:r>
        <w:rPr>
          <w:rFonts w:hint="eastAsia"/>
          <w:bCs/>
          <w:color w:val="000000"/>
        </w:rPr>
        <w:t>45%</w:t>
      </w:r>
      <w:r>
        <w:rPr>
          <w:rFonts w:hint="eastAsia"/>
          <w:bCs/>
          <w:color w:val="000000"/>
        </w:rPr>
        <w:t>。</w:t>
      </w:r>
    </w:p>
    <w:p w:rsidR="00692915" w:rsidRDefault="00692915" w:rsidP="009A1C1B">
      <w:pPr>
        <w:tabs>
          <w:tab w:val="left" w:pos="1170"/>
        </w:tabs>
        <w:ind w:firstLine="31680"/>
        <w:rPr>
          <w:rFonts w:hint="eastAsia"/>
          <w:bCs/>
          <w:color w:val="000000"/>
        </w:rPr>
      </w:pPr>
      <w:r>
        <w:rPr>
          <w:bCs/>
          <w:color w:val="000000"/>
        </w:rPr>
        <w:t>311.</w:t>
      </w:r>
      <w:r>
        <w:rPr>
          <w:bCs/>
          <w:color w:val="000000"/>
        </w:rPr>
        <w:tab/>
      </w:r>
      <w:r>
        <w:rPr>
          <w:rFonts w:hint="eastAsia"/>
          <w:bCs/>
          <w:color w:val="000000"/>
        </w:rPr>
        <w:t>为使妇女全面参与国家建设进程，她们应能全面获取所有社会服务，如卫生和教育。根据《国家发展计划》中的数据，在</w:t>
      </w:r>
      <w:r>
        <w:rPr>
          <w:rFonts w:hint="eastAsia"/>
          <w:bCs/>
          <w:color w:val="000000"/>
        </w:rPr>
        <w:t>15-60</w:t>
      </w:r>
      <w:r>
        <w:rPr>
          <w:rFonts w:hint="eastAsia"/>
          <w:bCs/>
          <w:color w:val="000000"/>
        </w:rPr>
        <w:t>岁之间的妇女中，文盲人数占其中的三分之二，已经入学但很少上课的学生占入学人数的</w:t>
      </w:r>
      <w:r>
        <w:rPr>
          <w:rFonts w:hint="eastAsia"/>
          <w:bCs/>
          <w:color w:val="000000"/>
        </w:rPr>
        <w:t>20%</w:t>
      </w:r>
      <w:r>
        <w:rPr>
          <w:rFonts w:hint="eastAsia"/>
          <w:bCs/>
          <w:color w:val="000000"/>
        </w:rPr>
        <w:t>。尽管没有这方面的数据，但是观察证据显示，提前辍学的大多数为女孩，主要是为了帮忙做些农活和家务。</w:t>
      </w:r>
    </w:p>
    <w:p w:rsidR="00692915" w:rsidRDefault="00692915" w:rsidP="009A1C1B">
      <w:pPr>
        <w:tabs>
          <w:tab w:val="left" w:pos="1170"/>
        </w:tabs>
        <w:spacing w:after="240"/>
        <w:ind w:firstLine="31680"/>
        <w:rPr>
          <w:rFonts w:hint="eastAsia"/>
          <w:bCs/>
          <w:color w:val="000000"/>
        </w:rPr>
      </w:pPr>
      <w:r>
        <w:rPr>
          <w:bCs/>
          <w:color w:val="000000"/>
        </w:rPr>
        <w:t>312.</w:t>
      </w:r>
      <w:r>
        <w:rPr>
          <w:bCs/>
          <w:color w:val="000000"/>
        </w:rPr>
        <w:tab/>
      </w:r>
      <w:r>
        <w:rPr>
          <w:rFonts w:hint="eastAsia"/>
          <w:bCs/>
          <w:color w:val="000000"/>
        </w:rPr>
        <w:t>相对于男性而言，女性获得的粮食要少一些，在</w:t>
      </w:r>
      <w:r>
        <w:rPr>
          <w:rFonts w:hint="eastAsia"/>
          <w:bCs/>
          <w:color w:val="000000"/>
        </w:rPr>
        <w:t>15-49</w:t>
      </w:r>
      <w:r>
        <w:rPr>
          <w:rFonts w:hint="eastAsia"/>
          <w:bCs/>
          <w:color w:val="000000"/>
        </w:rPr>
        <w:t>岁的妇女中，有三分之一的妇女营养不良和患有</w:t>
      </w:r>
      <w:r>
        <w:rPr>
          <w:rFonts w:hint="eastAsia"/>
          <w:color w:val="000000"/>
        </w:rPr>
        <w:t>慢性肠道疾病。</w:t>
      </w:r>
      <w:r>
        <w:rPr>
          <w:rStyle w:val="FootnoteReference"/>
          <w:bCs/>
          <w:color w:val="000000"/>
        </w:rPr>
        <w:footnoteReference w:id="161"/>
      </w:r>
      <w:r>
        <w:rPr>
          <w:rFonts w:hint="eastAsia"/>
          <w:color w:val="000000"/>
        </w:rPr>
        <w:t>妇女的健康也较差，获取医疗服务的机会有限。妇女健康与生育之间密切相关。根据</w:t>
      </w:r>
      <w:r>
        <w:rPr>
          <w:rFonts w:hint="eastAsia"/>
          <w:color w:val="000000"/>
        </w:rPr>
        <w:t>2004</w:t>
      </w:r>
      <w:r>
        <w:rPr>
          <w:rFonts w:hint="eastAsia"/>
          <w:color w:val="000000"/>
        </w:rPr>
        <w:t>年的人口普查，东帝汶的生育率为每个妇女</w:t>
      </w:r>
      <w:r>
        <w:rPr>
          <w:rFonts w:hint="eastAsia"/>
          <w:color w:val="000000"/>
        </w:rPr>
        <w:t>7.0</w:t>
      </w:r>
      <w:r>
        <w:rPr>
          <w:rFonts w:hint="eastAsia"/>
          <w:color w:val="000000"/>
        </w:rPr>
        <w:t>个孩子，是全球生育率最高的国家之一，远远高于东南亚的其他国家。这说明妇女没有意识到其所享有的生育权，而且没有机会获取计划生育服务及相关信息。产前及产后护理设施很少，缺乏有技术的接生员。因此，孕产妇的死亡率很高</w:t>
      </w:r>
      <w:r>
        <w:rPr>
          <w:rFonts w:ascii="SimHei" w:eastAsia="SimHei" w:hint="eastAsia"/>
          <w:color w:val="000000"/>
          <w:spacing w:val="0"/>
        </w:rPr>
        <w:t>——</w:t>
      </w:r>
      <w:r>
        <w:rPr>
          <w:rFonts w:hint="eastAsia"/>
          <w:color w:val="000000"/>
        </w:rPr>
        <w:t>根据卫生部的统计，每</w:t>
      </w:r>
      <w:r>
        <w:rPr>
          <w:bCs/>
          <w:color w:val="000000"/>
        </w:rPr>
        <w:t>10</w:t>
      </w:r>
      <w:r>
        <w:rPr>
          <w:rFonts w:hint="eastAsia"/>
          <w:bCs/>
          <w:color w:val="000000"/>
        </w:rPr>
        <w:t xml:space="preserve"> </w:t>
      </w:r>
      <w:r>
        <w:rPr>
          <w:bCs/>
          <w:color w:val="000000"/>
        </w:rPr>
        <w:t>000</w:t>
      </w:r>
      <w:r>
        <w:rPr>
          <w:rFonts w:hint="eastAsia"/>
          <w:bCs/>
          <w:color w:val="000000"/>
        </w:rPr>
        <w:t>名活产婴儿的孕产妇死亡人数为</w:t>
      </w:r>
      <w:r>
        <w:rPr>
          <w:rFonts w:hint="eastAsia"/>
          <w:bCs/>
          <w:color w:val="000000"/>
        </w:rPr>
        <w:t>800</w:t>
      </w:r>
      <w:r>
        <w:rPr>
          <w:rFonts w:hint="eastAsia"/>
          <w:bCs/>
          <w:color w:val="000000"/>
        </w:rPr>
        <w:t>名。</w:t>
      </w:r>
    </w:p>
    <w:p w:rsidR="00692915" w:rsidRDefault="00692915">
      <w:pPr>
        <w:tabs>
          <w:tab w:val="left" w:pos="1170"/>
        </w:tabs>
        <w:spacing w:after="240"/>
        <w:ind w:firstLineChars="0" w:firstLine="0"/>
        <w:rPr>
          <w:rFonts w:hint="eastAsia"/>
          <w:bCs/>
          <w:color w:val="000000"/>
        </w:rPr>
      </w:pPr>
      <w:r>
        <w:rPr>
          <w:rFonts w:eastAsia="KaiTi_GB2312" w:hint="eastAsia"/>
          <w:bCs/>
          <w:color w:val="000000"/>
        </w:rPr>
        <w:t>将性别平等观念纳入政府所有部门工作的主流</w:t>
      </w:r>
    </w:p>
    <w:p w:rsidR="00692915" w:rsidRDefault="00692915" w:rsidP="009A1C1B">
      <w:pPr>
        <w:tabs>
          <w:tab w:val="left" w:pos="1170"/>
        </w:tabs>
        <w:ind w:firstLine="31680"/>
        <w:rPr>
          <w:rFonts w:hint="eastAsia"/>
          <w:bCs/>
          <w:color w:val="000000"/>
        </w:rPr>
      </w:pPr>
      <w:r>
        <w:rPr>
          <w:bCs/>
          <w:color w:val="000000"/>
        </w:rPr>
        <w:t>313.</w:t>
      </w:r>
      <w:r>
        <w:rPr>
          <w:bCs/>
          <w:color w:val="000000"/>
        </w:rPr>
        <w:tab/>
      </w:r>
      <w:r>
        <w:rPr>
          <w:rFonts w:hint="eastAsia"/>
          <w:bCs/>
          <w:color w:val="000000"/>
        </w:rPr>
        <w:t>目前，</w:t>
      </w:r>
      <w:r>
        <w:rPr>
          <w:rFonts w:hint="eastAsia"/>
          <w:bCs/>
          <w:color w:val="000000"/>
          <w:lang w:val="en-AU"/>
        </w:rPr>
        <w:t>部长理事会尚未批准任何国家性别平等主流化政策。在撰写本报告时，也没有关于特定部门的性别政策。但尽管如此，政府已在《国家发展计划》中采用了一项性别平等主流化“政策”，该“政策”将性别平等主流化作为减贫的一项关键战略，以此来促进性别平等。性别平等贯穿于整个《国家发展计划》，但在三个关键领域尤其突出：提高妇女的经济权利、教育和卫生。《国家发展计划》为这三个领域确定了相应的战略、方案以及用以衡量性别平等的绩效指标。</w:t>
      </w:r>
    </w:p>
    <w:p w:rsidR="00692915" w:rsidRDefault="00692915" w:rsidP="009A1C1B">
      <w:pPr>
        <w:tabs>
          <w:tab w:val="left" w:pos="1170"/>
        </w:tabs>
        <w:spacing w:after="240"/>
        <w:ind w:firstLine="31680"/>
        <w:rPr>
          <w:rFonts w:hint="eastAsia"/>
          <w:color w:val="000000"/>
        </w:rPr>
      </w:pPr>
      <w:r>
        <w:rPr>
          <w:color w:val="000000"/>
        </w:rPr>
        <w:t>314.</w:t>
      </w:r>
      <w:r>
        <w:rPr>
          <w:color w:val="000000"/>
        </w:rPr>
        <w:tab/>
      </w:r>
      <w:r>
        <w:rPr>
          <w:rFonts w:hint="eastAsia"/>
          <w:color w:val="000000"/>
        </w:rPr>
        <w:t>2003</w:t>
      </w:r>
      <w:r>
        <w:rPr>
          <w:rFonts w:hint="eastAsia"/>
          <w:color w:val="000000"/>
        </w:rPr>
        <w:t>年，</w:t>
      </w:r>
      <w:r>
        <w:rPr>
          <w:color w:val="000000"/>
        </w:rPr>
        <w:t>促进平等事务总理顾问办公室</w:t>
      </w:r>
      <w:r>
        <w:rPr>
          <w:rFonts w:hint="eastAsia"/>
          <w:color w:val="000000"/>
        </w:rPr>
        <w:t>负责制定了一套性别平等主流化指导方针，在其四个关键方案中，有一项方案专门用以促进中央政府内部的协调与合作，以确保将性别平等主流化观念纳入所有的决策、规划和实施过程。另外，还特别要求加强各部委进行性别分析以及制定个别计划和政策的能力，不应由一个部门（例如：</w:t>
      </w:r>
      <w:r>
        <w:rPr>
          <w:color w:val="000000"/>
        </w:rPr>
        <w:t>促进平等事务总理顾问办公室</w:t>
      </w:r>
      <w:r>
        <w:rPr>
          <w:rFonts w:hint="eastAsia"/>
          <w:color w:val="000000"/>
        </w:rPr>
        <w:t>）来负责性别平等主流化的问题。这些指导方针强调，减贫计划是当务之急，在农业、贸易、教育和卫生的关键领域中，性别平等主流化是进行</w:t>
      </w:r>
      <w:r>
        <w:rPr>
          <w:rFonts w:hint="eastAsia"/>
          <w:bCs/>
          <w:color w:val="000000"/>
        </w:rPr>
        <w:t>有效</w:t>
      </w:r>
      <w:r>
        <w:rPr>
          <w:rFonts w:hint="eastAsia"/>
          <w:color w:val="000000"/>
        </w:rPr>
        <w:t>规划的核心。</w:t>
      </w:r>
      <w:r>
        <w:rPr>
          <w:rStyle w:val="FootnoteReference"/>
          <w:bCs/>
          <w:color w:val="000000"/>
        </w:rPr>
        <w:footnoteReference w:id="162"/>
      </w:r>
    </w:p>
    <w:p w:rsidR="00692915" w:rsidRDefault="00692915">
      <w:pPr>
        <w:tabs>
          <w:tab w:val="left" w:pos="1170"/>
        </w:tabs>
        <w:spacing w:after="240"/>
        <w:ind w:firstLineChars="0" w:firstLine="0"/>
        <w:rPr>
          <w:rFonts w:eastAsia="KaiTi_GB2312" w:hint="eastAsia"/>
          <w:bCs/>
          <w:color w:val="000000"/>
        </w:rPr>
      </w:pPr>
      <w:r>
        <w:rPr>
          <w:rFonts w:eastAsia="KaiTi_GB2312" w:hint="eastAsia"/>
          <w:bCs/>
          <w:color w:val="000000"/>
        </w:rPr>
        <w:t>战略</w:t>
      </w:r>
    </w:p>
    <w:p w:rsidR="00692915" w:rsidRDefault="00692915" w:rsidP="009A1C1B">
      <w:pPr>
        <w:tabs>
          <w:tab w:val="left" w:pos="1170"/>
        </w:tabs>
        <w:ind w:firstLine="31680"/>
        <w:rPr>
          <w:rFonts w:hint="eastAsia"/>
          <w:bCs/>
          <w:color w:val="000000"/>
        </w:rPr>
      </w:pPr>
      <w:r>
        <w:rPr>
          <w:bCs/>
          <w:color w:val="000000"/>
        </w:rPr>
        <w:t>315.</w:t>
      </w:r>
      <w:r>
        <w:rPr>
          <w:bCs/>
          <w:color w:val="000000"/>
        </w:rPr>
        <w:tab/>
      </w:r>
      <w:r>
        <w:rPr>
          <w:bCs/>
          <w:color w:val="000000"/>
        </w:rPr>
        <w:t>促进平等事务总理顾问办公室</w:t>
      </w:r>
      <w:r>
        <w:rPr>
          <w:rFonts w:hint="eastAsia"/>
          <w:bCs/>
          <w:color w:val="000000"/>
        </w:rPr>
        <w:t>的性别平等主流化战略主要关注不同政府部门的能力建设，以便将性别平等观点纳入各项方案和政策中。为此，需要：</w:t>
      </w:r>
    </w:p>
    <w:p w:rsidR="00692915" w:rsidRDefault="00692915" w:rsidP="009A1C1B">
      <w:pPr>
        <w:numPr>
          <w:ilvl w:val="0"/>
          <w:numId w:val="15"/>
        </w:numPr>
        <w:tabs>
          <w:tab w:val="clear" w:pos="1080"/>
          <w:tab w:val="left" w:pos="1690"/>
        </w:tabs>
        <w:ind w:leftChars="450" w:left="31680" w:hangingChars="200" w:firstLine="31680"/>
        <w:rPr>
          <w:bCs/>
          <w:color w:val="000000"/>
        </w:rPr>
      </w:pPr>
      <w:r>
        <w:rPr>
          <w:rFonts w:hint="eastAsia"/>
          <w:bCs/>
          <w:color w:val="000000"/>
        </w:rPr>
        <w:t>在不同部委指派性别事务联络员，并将联络员纳入部际工作组；</w:t>
      </w:r>
    </w:p>
    <w:p w:rsidR="00692915" w:rsidRDefault="00692915" w:rsidP="009A1C1B">
      <w:pPr>
        <w:numPr>
          <w:ilvl w:val="0"/>
          <w:numId w:val="15"/>
        </w:numPr>
        <w:tabs>
          <w:tab w:val="clear" w:pos="1080"/>
          <w:tab w:val="left" w:pos="1690"/>
        </w:tabs>
        <w:ind w:leftChars="450" w:left="31680" w:hangingChars="200" w:firstLine="31680"/>
        <w:rPr>
          <w:bCs/>
          <w:color w:val="000000"/>
        </w:rPr>
      </w:pPr>
      <w:r>
        <w:rPr>
          <w:rFonts w:hint="eastAsia"/>
          <w:bCs/>
          <w:color w:val="000000"/>
        </w:rPr>
        <w:t>为性别事务联络员、各部委和其他政府部门的关键人员提供培训；</w:t>
      </w:r>
    </w:p>
    <w:p w:rsidR="00692915" w:rsidRDefault="00692915" w:rsidP="009A1C1B">
      <w:pPr>
        <w:numPr>
          <w:ilvl w:val="0"/>
          <w:numId w:val="15"/>
        </w:numPr>
        <w:tabs>
          <w:tab w:val="clear" w:pos="1080"/>
          <w:tab w:val="left" w:pos="1690"/>
        </w:tabs>
        <w:ind w:leftChars="450" w:left="31680" w:hangingChars="200" w:firstLine="31680"/>
        <w:rPr>
          <w:bCs/>
          <w:color w:val="000000"/>
        </w:rPr>
      </w:pPr>
      <w:r>
        <w:rPr>
          <w:rFonts w:hint="eastAsia"/>
          <w:bCs/>
          <w:color w:val="000000"/>
        </w:rPr>
        <w:t>建立相应的机制，进一步加强重要政府部门在性别平等主流化方面的关键作用，以便这些部门能够作为支持性机构从性别角度对立法进行分析、编制性别统计数据、监督和评估政府规划工作。另外，这些部门还可以作为国家培训师的支持组织；</w:t>
      </w:r>
    </w:p>
    <w:p w:rsidR="00692915" w:rsidRDefault="00692915" w:rsidP="009A1C1B">
      <w:pPr>
        <w:numPr>
          <w:ilvl w:val="0"/>
          <w:numId w:val="15"/>
        </w:numPr>
        <w:tabs>
          <w:tab w:val="clear" w:pos="1080"/>
          <w:tab w:val="left" w:pos="1690"/>
        </w:tabs>
        <w:spacing w:after="240"/>
        <w:ind w:leftChars="450" w:left="31680" w:hangingChars="200" w:firstLine="31680"/>
        <w:rPr>
          <w:bCs/>
          <w:color w:val="000000"/>
        </w:rPr>
      </w:pPr>
      <w:r>
        <w:rPr>
          <w:rFonts w:hint="eastAsia"/>
          <w:bCs/>
          <w:color w:val="000000"/>
        </w:rPr>
        <w:t>协调不同政府部门的工作，以确保所采取的策略与国家性别政策保持一致，并与政府正式批准的国际文件（如：</w:t>
      </w:r>
      <w:r>
        <w:rPr>
          <w:bCs/>
          <w:color w:val="000000"/>
        </w:rPr>
        <w:t>《消除对妇女一切形式歧视公约》</w:t>
      </w:r>
      <w:r>
        <w:rPr>
          <w:rFonts w:hint="eastAsia"/>
          <w:bCs/>
          <w:color w:val="000000"/>
        </w:rPr>
        <w:t>）保持一致。</w:t>
      </w:r>
    </w:p>
    <w:p w:rsidR="00692915" w:rsidRDefault="00692915" w:rsidP="009A1C1B">
      <w:pPr>
        <w:tabs>
          <w:tab w:val="left" w:pos="1170"/>
        </w:tabs>
        <w:ind w:firstLine="31680"/>
        <w:rPr>
          <w:rFonts w:hint="eastAsia"/>
          <w:bCs/>
          <w:color w:val="000000"/>
        </w:rPr>
      </w:pPr>
      <w:r>
        <w:rPr>
          <w:bCs/>
          <w:color w:val="000000"/>
        </w:rPr>
        <w:t>316.</w:t>
      </w:r>
      <w:r>
        <w:rPr>
          <w:bCs/>
          <w:color w:val="000000"/>
        </w:rPr>
        <w:tab/>
      </w:r>
      <w:r>
        <w:rPr>
          <w:rFonts w:hint="eastAsia"/>
          <w:bCs/>
          <w:color w:val="000000"/>
        </w:rPr>
        <w:t>为实施上述战略，</w:t>
      </w:r>
      <w:r>
        <w:rPr>
          <w:bCs/>
          <w:color w:val="000000"/>
        </w:rPr>
        <w:t>促进平等事务总理顾问办公室</w:t>
      </w:r>
      <w:r>
        <w:rPr>
          <w:rFonts w:hint="eastAsia"/>
          <w:bCs/>
          <w:color w:val="000000"/>
        </w:rPr>
        <w:t>在</w:t>
      </w:r>
      <w:r>
        <w:rPr>
          <w:rFonts w:hint="eastAsia"/>
          <w:bCs/>
          <w:color w:val="000000"/>
        </w:rPr>
        <w:t>2003-2005</w:t>
      </w:r>
      <w:r>
        <w:rPr>
          <w:rFonts w:hint="eastAsia"/>
          <w:bCs/>
          <w:color w:val="000000"/>
        </w:rPr>
        <w:t>年期间举办了相关的研讨会，为所有部委和部门进行了全国培训和地方培训（地方培训力度较全国培训弱一些），培训内容涉及性别与平等观念，主要针对各部委或机构中那些负责制定方案和计划的人员。</w:t>
      </w:r>
    </w:p>
    <w:p w:rsidR="00692915" w:rsidRDefault="00692915" w:rsidP="009A1C1B">
      <w:pPr>
        <w:tabs>
          <w:tab w:val="left" w:pos="1170"/>
        </w:tabs>
        <w:ind w:firstLine="31680"/>
        <w:rPr>
          <w:rFonts w:hint="eastAsia"/>
          <w:bCs/>
          <w:color w:val="000000"/>
        </w:rPr>
      </w:pPr>
      <w:r>
        <w:rPr>
          <w:bCs/>
          <w:color w:val="000000"/>
        </w:rPr>
        <w:t>317.</w:t>
      </w:r>
      <w:r>
        <w:rPr>
          <w:bCs/>
          <w:color w:val="000000"/>
        </w:rPr>
        <w:tab/>
      </w:r>
      <w:r>
        <w:rPr>
          <w:rFonts w:hint="eastAsia"/>
          <w:bCs/>
          <w:color w:val="000000"/>
        </w:rPr>
        <w:t>该办公室还设立了一个由性别事务协调员组成的部际工作组，并在</w:t>
      </w:r>
      <w:r>
        <w:rPr>
          <w:bCs/>
          <w:color w:val="000000"/>
        </w:rPr>
        <w:t>妇发基金</w:t>
      </w:r>
      <w:r>
        <w:rPr>
          <w:rFonts w:hint="eastAsia"/>
          <w:bCs/>
          <w:color w:val="000000"/>
        </w:rPr>
        <w:t>支持下，于</w:t>
      </w:r>
      <w:r>
        <w:rPr>
          <w:rFonts w:hint="eastAsia"/>
          <w:bCs/>
          <w:color w:val="000000"/>
        </w:rPr>
        <w:t>2004</w:t>
      </w:r>
      <w:r>
        <w:rPr>
          <w:rFonts w:hint="eastAsia"/>
          <w:bCs/>
          <w:color w:val="000000"/>
        </w:rPr>
        <w:t>年</w:t>
      </w:r>
      <w:r>
        <w:rPr>
          <w:rFonts w:hint="eastAsia"/>
          <w:bCs/>
          <w:color w:val="000000"/>
        </w:rPr>
        <w:t>6</w:t>
      </w:r>
      <w:r>
        <w:rPr>
          <w:rFonts w:hint="eastAsia"/>
          <w:bCs/>
          <w:color w:val="000000"/>
        </w:rPr>
        <w:t>月举办了一次为期</w:t>
      </w:r>
      <w:r>
        <w:rPr>
          <w:rFonts w:hint="eastAsia"/>
          <w:bCs/>
          <w:color w:val="000000"/>
        </w:rPr>
        <w:t>5</w:t>
      </w:r>
      <w:r>
        <w:rPr>
          <w:rFonts w:hint="eastAsia"/>
          <w:bCs/>
          <w:color w:val="000000"/>
        </w:rPr>
        <w:t>天的研讨会，对《部门投资方案》“权利、平等和正义”中的性别问题进行了分析。通过这次研讨会，</w:t>
      </w:r>
      <w:r>
        <w:rPr>
          <w:bCs/>
          <w:color w:val="000000"/>
        </w:rPr>
        <w:t>促进平等事务总理顾问办公室</w:t>
      </w:r>
      <w:r>
        <w:rPr>
          <w:rFonts w:hint="eastAsia"/>
          <w:bCs/>
          <w:color w:val="000000"/>
        </w:rPr>
        <w:t>发现了一些可能会妨碍性别平等主流化有效性的差距，并向政府提出了行动建议，这些建议已被纳入最近修订的上述《部门投资方案》（</w:t>
      </w:r>
      <w:r>
        <w:rPr>
          <w:rFonts w:hint="eastAsia"/>
          <w:bCs/>
          <w:color w:val="000000"/>
        </w:rPr>
        <w:t>2005</w:t>
      </w:r>
      <w:r>
        <w:rPr>
          <w:rFonts w:hint="eastAsia"/>
          <w:bCs/>
          <w:color w:val="000000"/>
        </w:rPr>
        <w:t>年），以及世界银行负责协调的《过渡期支助方案三》和《联合支助方案一》。本节的稍后部分将对这些建议进行概述。</w:t>
      </w:r>
    </w:p>
    <w:p w:rsidR="00692915" w:rsidRDefault="00692915" w:rsidP="009A1C1B">
      <w:pPr>
        <w:tabs>
          <w:tab w:val="left" w:pos="1170"/>
        </w:tabs>
        <w:ind w:firstLine="31680"/>
        <w:rPr>
          <w:rFonts w:hint="eastAsia"/>
          <w:bCs/>
          <w:color w:val="000000"/>
        </w:rPr>
      </w:pPr>
      <w:r>
        <w:rPr>
          <w:bCs/>
          <w:color w:val="000000"/>
        </w:rPr>
        <w:t>318.</w:t>
      </w:r>
      <w:r>
        <w:rPr>
          <w:bCs/>
          <w:color w:val="000000"/>
        </w:rPr>
        <w:tab/>
      </w:r>
      <w:r>
        <w:rPr>
          <w:bCs/>
          <w:color w:val="000000"/>
        </w:rPr>
        <w:t>促进平等事务总理顾问办公室</w:t>
      </w:r>
      <w:r>
        <w:rPr>
          <w:rFonts w:hint="eastAsia"/>
          <w:bCs/>
          <w:color w:val="000000"/>
        </w:rPr>
        <w:t>还设立了一个培训支持小组，小组成员已参加了过去两年中的数次培训，如今能够从事性别平等观念方面的培训工作，包括性别意识、性别分析、具有性别敏感意识的政府和民间社会规划工作等。至于是否有能力独立运用这类培训中所学的知识，到目前为止，还没有就此进行正式评估。</w:t>
      </w:r>
    </w:p>
    <w:p w:rsidR="00692915" w:rsidRDefault="00692915" w:rsidP="009A1C1B">
      <w:pPr>
        <w:tabs>
          <w:tab w:val="left" w:pos="1170"/>
        </w:tabs>
        <w:ind w:firstLine="31680"/>
        <w:rPr>
          <w:rFonts w:hint="eastAsia"/>
          <w:bCs/>
          <w:color w:val="000000"/>
        </w:rPr>
      </w:pPr>
      <w:r>
        <w:rPr>
          <w:bCs/>
          <w:color w:val="000000"/>
        </w:rPr>
        <w:t>319.</w:t>
      </w:r>
      <w:r>
        <w:rPr>
          <w:bCs/>
          <w:color w:val="000000"/>
        </w:rPr>
        <w:tab/>
      </w:r>
      <w:r>
        <w:rPr>
          <w:rFonts w:hint="eastAsia"/>
          <w:bCs/>
          <w:color w:val="000000"/>
        </w:rPr>
        <w:t>劳动和社会安置部已任命了一名常任的性别事务联络员，并制定了一项《劳动和社会安置部行动计划》，以解决其在人员配置和人力资源管理方面的性别不均等问题。指定性别事务联络员充分说明该部加强了其在促进性别平等事务方面的领导作用。农林渔业部也正在设立一个性别事务股，最近已指定了一名专职的性别事务联络员。</w:t>
      </w:r>
    </w:p>
    <w:p w:rsidR="00692915" w:rsidRDefault="00692915" w:rsidP="009A1C1B">
      <w:pPr>
        <w:tabs>
          <w:tab w:val="left" w:pos="1170"/>
        </w:tabs>
        <w:ind w:firstLine="31680"/>
        <w:rPr>
          <w:rFonts w:hint="eastAsia"/>
          <w:bCs/>
          <w:color w:val="000000"/>
        </w:rPr>
      </w:pPr>
      <w:r>
        <w:rPr>
          <w:bCs/>
          <w:color w:val="000000"/>
        </w:rPr>
        <w:t>320.</w:t>
      </w:r>
      <w:r>
        <w:rPr>
          <w:bCs/>
          <w:color w:val="000000"/>
        </w:rPr>
        <w:tab/>
      </w:r>
      <w:r>
        <w:rPr>
          <w:rFonts w:hint="eastAsia"/>
          <w:bCs/>
          <w:color w:val="000000"/>
        </w:rPr>
        <w:t>在撰写本报告之时，</w:t>
      </w:r>
      <w:r>
        <w:rPr>
          <w:bCs/>
          <w:color w:val="000000"/>
        </w:rPr>
        <w:t>促进平等事务总理顾问办公室</w:t>
      </w:r>
      <w:r>
        <w:rPr>
          <w:rFonts w:hint="eastAsia"/>
          <w:bCs/>
          <w:color w:val="000000"/>
        </w:rPr>
        <w:t>正在为两个部（教育部和卫生部）招聘性别事务顾问。性别事务顾问将从性别角度对这些部门进行评估，另外，还负责建立一个更有力的性别事务联络员系统，为这些部门制定具体的性别政策。</w:t>
      </w:r>
    </w:p>
    <w:p w:rsidR="00692915" w:rsidRDefault="00692915" w:rsidP="009A1C1B">
      <w:pPr>
        <w:tabs>
          <w:tab w:val="left" w:pos="1170"/>
        </w:tabs>
        <w:ind w:firstLine="31680"/>
        <w:rPr>
          <w:rFonts w:hint="eastAsia"/>
          <w:bCs/>
          <w:color w:val="000000"/>
        </w:rPr>
      </w:pPr>
      <w:r>
        <w:rPr>
          <w:bCs/>
          <w:color w:val="000000"/>
        </w:rPr>
        <w:t>321.</w:t>
      </w:r>
      <w:r>
        <w:rPr>
          <w:bCs/>
          <w:color w:val="000000"/>
        </w:rPr>
        <w:tab/>
      </w:r>
      <w:r>
        <w:rPr>
          <w:rFonts w:hint="eastAsia"/>
          <w:bCs/>
          <w:color w:val="000000"/>
        </w:rPr>
        <w:t>在为</w:t>
      </w:r>
      <w:r>
        <w:rPr>
          <w:bCs/>
          <w:color w:val="000000"/>
        </w:rPr>
        <w:t>东帝汶国家警察</w:t>
      </w:r>
      <w:r>
        <w:rPr>
          <w:rFonts w:hint="eastAsia"/>
          <w:bCs/>
          <w:color w:val="000000"/>
        </w:rPr>
        <w:t>制定一项社会性别平等主流化战略的讨论过程中，</w:t>
      </w:r>
      <w:r>
        <w:rPr>
          <w:bCs/>
          <w:color w:val="000000"/>
        </w:rPr>
        <w:t>促进平等事务总理顾问办公室</w:t>
      </w:r>
      <w:r>
        <w:rPr>
          <w:rFonts w:hint="eastAsia"/>
          <w:bCs/>
          <w:color w:val="000000"/>
        </w:rPr>
        <w:t>提供了建议。该战略旨在解决</w:t>
      </w:r>
      <w:r>
        <w:rPr>
          <w:bCs/>
          <w:color w:val="000000"/>
        </w:rPr>
        <w:t>东帝汶国家警察</w:t>
      </w:r>
      <w:r>
        <w:rPr>
          <w:rFonts w:hint="eastAsia"/>
          <w:bCs/>
          <w:color w:val="000000"/>
        </w:rPr>
        <w:t>内部的性别不均等问题，并将性别观念纳入某些关键方案之中，例如：对妇女事务和社区事务决策的政策敏感度。</w:t>
      </w:r>
    </w:p>
    <w:p w:rsidR="00692915" w:rsidRDefault="00692915" w:rsidP="009A1C1B">
      <w:pPr>
        <w:tabs>
          <w:tab w:val="left" w:pos="1170"/>
        </w:tabs>
        <w:spacing w:after="240"/>
        <w:ind w:firstLine="31680"/>
        <w:rPr>
          <w:rFonts w:hint="eastAsia"/>
          <w:color w:val="000000"/>
        </w:rPr>
      </w:pPr>
      <w:r>
        <w:rPr>
          <w:color w:val="000000"/>
        </w:rPr>
        <w:t>322.</w:t>
      </w:r>
      <w:r>
        <w:rPr>
          <w:color w:val="000000"/>
        </w:rPr>
        <w:tab/>
      </w:r>
      <w:r>
        <w:rPr>
          <w:rFonts w:hint="eastAsia"/>
          <w:color w:val="000000"/>
        </w:rPr>
        <w:t>在进行了提高意识的第一阶段活动后，</w:t>
      </w:r>
      <w:r>
        <w:rPr>
          <w:color w:val="000000"/>
        </w:rPr>
        <w:t>促进平等事务总理顾问</w:t>
      </w:r>
      <w:r>
        <w:rPr>
          <w:rFonts w:hint="eastAsia"/>
          <w:color w:val="000000"/>
        </w:rPr>
        <w:t>办公室对不同政府部门的促进机制予以更密切的关注，以帮助政府处理性别平等主流化问题，并为有效推动性别平等主流化创造某些基本的先决条件。为此，该办公室与国家外部援助规划和协调管理局（</w:t>
      </w:r>
      <w:r>
        <w:rPr>
          <w:color w:val="000000"/>
        </w:rPr>
        <w:t>NDPEAC</w:t>
      </w:r>
      <w:r>
        <w:rPr>
          <w:rFonts w:hint="eastAsia"/>
          <w:color w:val="000000"/>
        </w:rPr>
        <w:t>）之间建立了更紧密的关系。该管理局的规划人员负责监督《年度行动计划》（在以前的《年度行动计划》中，没有旨在促进性别平等的具体政策）以及政府部门内部其他计划（例如：《部门投资方案》）的制订，规划人员在这方面的能力正在逐渐提高。为了协调国家外部援助规划和协调管理局的工作，</w:t>
      </w:r>
      <w:r>
        <w:rPr>
          <w:color w:val="000000"/>
        </w:rPr>
        <w:t>促进平等事务总理顾问办公室</w:t>
      </w:r>
      <w:r>
        <w:rPr>
          <w:rFonts w:hint="eastAsia"/>
          <w:color w:val="000000"/>
        </w:rPr>
        <w:t>还为重点部门编制了“性别问题清单”，以此为这些部门的性别平等主流化指导方针提供补充。目前，这些文件正在为各部委的计划部门采纳，并在共同参与的过程中得到发展和验证。另外，正在将这些文件翻译为德顿语。</w:t>
      </w:r>
    </w:p>
    <w:p w:rsidR="00692915" w:rsidRDefault="00692915">
      <w:pPr>
        <w:tabs>
          <w:tab w:val="left" w:pos="1170"/>
        </w:tabs>
        <w:spacing w:after="240"/>
        <w:ind w:firstLineChars="0" w:firstLine="0"/>
        <w:rPr>
          <w:rFonts w:hint="eastAsia"/>
          <w:bCs/>
          <w:color w:val="000000"/>
        </w:rPr>
      </w:pPr>
      <w:r>
        <w:rPr>
          <w:rFonts w:eastAsia="KaiTi_GB2312" w:hint="eastAsia"/>
          <w:color w:val="000000"/>
        </w:rPr>
        <w:t>将社会性别观点纳入预算编制</w:t>
      </w:r>
    </w:p>
    <w:p w:rsidR="00692915" w:rsidRDefault="00692915" w:rsidP="009A1C1B">
      <w:pPr>
        <w:tabs>
          <w:tab w:val="left" w:pos="1170"/>
        </w:tabs>
        <w:ind w:firstLine="31680"/>
        <w:rPr>
          <w:rFonts w:hint="eastAsia"/>
          <w:bCs/>
          <w:color w:val="000000"/>
        </w:rPr>
      </w:pPr>
      <w:r>
        <w:rPr>
          <w:bCs/>
          <w:color w:val="000000"/>
        </w:rPr>
        <w:t>323.</w:t>
      </w:r>
      <w:r>
        <w:rPr>
          <w:bCs/>
          <w:color w:val="000000"/>
        </w:rPr>
        <w:tab/>
      </w:r>
      <w:r>
        <w:rPr>
          <w:rFonts w:hint="eastAsia"/>
          <w:bCs/>
          <w:color w:val="000000"/>
        </w:rPr>
        <w:t>为了更好地从性别角度对预算和政策进行分析，并将性别平等观点纳入政策的制定过程中，在</w:t>
      </w:r>
      <w:r>
        <w:rPr>
          <w:bCs/>
          <w:color w:val="000000"/>
        </w:rPr>
        <w:t>2003/</w:t>
      </w:r>
      <w:r>
        <w:rPr>
          <w:rFonts w:hint="eastAsia"/>
          <w:bCs/>
          <w:color w:val="000000"/>
        </w:rPr>
        <w:t>20</w:t>
      </w:r>
      <w:r>
        <w:rPr>
          <w:bCs/>
          <w:color w:val="000000"/>
        </w:rPr>
        <w:t>04</w:t>
      </w:r>
      <w:r>
        <w:rPr>
          <w:rFonts w:hint="eastAsia"/>
          <w:bCs/>
          <w:color w:val="000000"/>
        </w:rPr>
        <w:t>年期间，</w:t>
      </w:r>
      <w:r>
        <w:rPr>
          <w:bCs/>
          <w:color w:val="000000"/>
        </w:rPr>
        <w:t>促进平等事务总理顾问办公室</w:t>
      </w:r>
      <w:r>
        <w:rPr>
          <w:rFonts w:hint="eastAsia"/>
          <w:bCs/>
          <w:color w:val="000000"/>
        </w:rPr>
        <w:t>与培训支持小组、性别事务联络员以及财政与规划部的高级职员一起召开了几次培训会议。到目前为止，推行性别平等主流化观念的大多数资源都由捐助组织提供。为了在这方面获取充足的资源（顾问、时间和资助），还迫切需要捐助组织进一步提供支持。</w:t>
      </w:r>
    </w:p>
    <w:p w:rsidR="00692915" w:rsidRDefault="00692915" w:rsidP="009A1C1B">
      <w:pPr>
        <w:tabs>
          <w:tab w:val="left" w:pos="1170"/>
        </w:tabs>
        <w:ind w:firstLine="31680"/>
        <w:rPr>
          <w:rFonts w:hint="eastAsia"/>
          <w:bCs/>
          <w:color w:val="000000"/>
        </w:rPr>
      </w:pPr>
      <w:r>
        <w:rPr>
          <w:bCs/>
          <w:color w:val="000000"/>
        </w:rPr>
        <w:t>324.</w:t>
      </w:r>
      <w:r>
        <w:rPr>
          <w:bCs/>
          <w:color w:val="000000"/>
        </w:rPr>
        <w:tab/>
      </w:r>
      <w:r>
        <w:rPr>
          <w:rFonts w:hint="eastAsia"/>
          <w:bCs/>
          <w:color w:val="000000"/>
        </w:rPr>
        <w:t>为确保实施《国家发展计划》中的各项原则，履行政府在有关条约中的义务，尤其是与</w:t>
      </w:r>
      <w:r>
        <w:rPr>
          <w:bCs/>
          <w:color w:val="000000"/>
        </w:rPr>
        <w:t>《消除对妇女一切形式歧视公约》</w:t>
      </w:r>
      <w:r>
        <w:rPr>
          <w:rFonts w:hint="eastAsia"/>
          <w:bCs/>
          <w:color w:val="000000"/>
        </w:rPr>
        <w:t>有关的各项义务，</w:t>
      </w:r>
      <w:r>
        <w:rPr>
          <w:rStyle w:val="FootnoteReference"/>
          <w:bCs/>
          <w:color w:val="000000"/>
        </w:rPr>
        <w:footnoteReference w:id="163"/>
      </w:r>
      <w:r>
        <w:rPr>
          <w:rFonts w:hint="eastAsia"/>
          <w:bCs/>
          <w:color w:val="000000"/>
        </w:rPr>
        <w:t>政府认为非常有必要在所有部门中推行性别平等主流化的观念。因此，除了组织职员培训和在性别平等主流化方面做出相应的计划外，</w:t>
      </w:r>
      <w:r>
        <w:rPr>
          <w:bCs/>
          <w:color w:val="000000"/>
        </w:rPr>
        <w:t>促进平等事务总理顾问办公室</w:t>
      </w:r>
      <w:r>
        <w:rPr>
          <w:rFonts w:hint="eastAsia"/>
          <w:bCs/>
          <w:color w:val="000000"/>
        </w:rPr>
        <w:t>还提议通过预算再分配方式，提供适当的人力和财力资源，为各项计划和具体文件的实施和调整提供支持。</w:t>
      </w:r>
      <w:r>
        <w:rPr>
          <w:bCs/>
          <w:color w:val="000000"/>
        </w:rPr>
        <w:t>促进平等事务总理顾问办公室</w:t>
      </w:r>
      <w:r>
        <w:rPr>
          <w:rFonts w:hint="eastAsia"/>
          <w:bCs/>
          <w:color w:val="000000"/>
        </w:rPr>
        <w:t>已经做出提议，要求每个部门留出</w:t>
      </w:r>
      <w:r>
        <w:rPr>
          <w:rFonts w:hint="eastAsia"/>
          <w:bCs/>
          <w:color w:val="000000"/>
        </w:rPr>
        <w:t>5%</w:t>
      </w:r>
      <w:r>
        <w:rPr>
          <w:rFonts w:hint="eastAsia"/>
          <w:bCs/>
          <w:color w:val="000000"/>
        </w:rPr>
        <w:t>左右的预算，以便为各部门纳入性别平等观念的工作提供技术支持，确保其实施能力，并用于部门的监督和评估。事实上，根据国家外部援助规划和协调管理局的预计，</w:t>
      </w:r>
      <w:r>
        <w:rPr>
          <w:bCs/>
          <w:color w:val="000000"/>
        </w:rPr>
        <w:t>2006/</w:t>
      </w:r>
      <w:r>
        <w:rPr>
          <w:rFonts w:hint="eastAsia"/>
          <w:bCs/>
          <w:color w:val="000000"/>
        </w:rPr>
        <w:t>20</w:t>
      </w:r>
      <w:r>
        <w:rPr>
          <w:bCs/>
          <w:color w:val="000000"/>
        </w:rPr>
        <w:t>07</w:t>
      </w:r>
      <w:r>
        <w:rPr>
          <w:rFonts w:hint="eastAsia"/>
          <w:bCs/>
          <w:color w:val="000000"/>
        </w:rPr>
        <w:t>财政年度的《年度行动计划》将会在其方案中纳入更明确的性别观点，包括增加这方面的资金。</w:t>
      </w:r>
    </w:p>
    <w:p w:rsidR="00692915" w:rsidRDefault="00692915" w:rsidP="009A1C1B">
      <w:pPr>
        <w:tabs>
          <w:tab w:val="left" w:pos="1170"/>
        </w:tabs>
        <w:spacing w:after="240"/>
        <w:ind w:firstLine="31680"/>
        <w:rPr>
          <w:rFonts w:hint="eastAsia"/>
          <w:color w:val="000000"/>
        </w:rPr>
      </w:pPr>
      <w:r>
        <w:rPr>
          <w:color w:val="000000"/>
        </w:rPr>
        <w:t>325.</w:t>
      </w:r>
      <w:r>
        <w:rPr>
          <w:color w:val="000000"/>
        </w:rPr>
        <w:tab/>
      </w:r>
      <w:r>
        <w:rPr>
          <w:rFonts w:hint="eastAsia"/>
          <w:color w:val="000000"/>
        </w:rPr>
        <w:t>在撰写本报告之时，</w:t>
      </w:r>
      <w:r>
        <w:rPr>
          <w:color w:val="000000"/>
        </w:rPr>
        <w:t>妇发基金</w:t>
      </w:r>
      <w:r>
        <w:rPr>
          <w:rFonts w:hint="eastAsia"/>
          <w:color w:val="000000"/>
        </w:rPr>
        <w:t>正在制订一项具有性别敏感意识的预算编制战略，该战略将在</w:t>
      </w:r>
      <w:r>
        <w:rPr>
          <w:color w:val="000000"/>
        </w:rPr>
        <w:t>促进平等事务总理顾问办公室</w:t>
      </w:r>
      <w:r>
        <w:rPr>
          <w:rFonts w:hint="eastAsia"/>
          <w:color w:val="000000"/>
        </w:rPr>
        <w:t>和</w:t>
      </w:r>
      <w:r>
        <w:rPr>
          <w:color w:val="000000"/>
        </w:rPr>
        <w:t>国家外部援助规划和协调管理局</w:t>
      </w:r>
      <w:r>
        <w:rPr>
          <w:rFonts w:hint="eastAsia"/>
          <w:color w:val="000000"/>
        </w:rPr>
        <w:t>的合作下实施，并以公共财政管理和性别平等主流化领域为重点，加强这些领域中关键工作人员的能力。从部门的角度来说，该项目将重点关注卫生部和农业部这两个重要的直属部委，以进一步为《部门投资方案》纳入性别观念提供支持，此外，在国家预算分析和政策实施方面，该项目将借鉴学术界的经验。根据预计，除了有助于</w:t>
      </w:r>
      <w:r>
        <w:rPr>
          <w:color w:val="000000"/>
        </w:rPr>
        <w:t>促进平等事务总理顾问办公室</w:t>
      </w:r>
      <w:r>
        <w:rPr>
          <w:rFonts w:hint="eastAsia"/>
          <w:color w:val="000000"/>
        </w:rPr>
        <w:t>对性别平等主流化进展进行监测外，妇女非政府组织也可以利用这方面的经验来加强其支持力度。另外，该项目应该为各直属部委提供一个独立可靠的比较基础，以便这些部委进行自身的评估。</w:t>
      </w:r>
    </w:p>
    <w:p w:rsidR="00692915" w:rsidRDefault="00692915">
      <w:pPr>
        <w:tabs>
          <w:tab w:val="left" w:pos="1170"/>
        </w:tabs>
        <w:spacing w:after="240"/>
        <w:ind w:firstLineChars="0" w:firstLine="0"/>
        <w:rPr>
          <w:rFonts w:hint="eastAsia"/>
          <w:bCs/>
          <w:color w:val="000000"/>
        </w:rPr>
      </w:pPr>
      <w:r>
        <w:rPr>
          <w:rFonts w:eastAsia="KaiTi_GB2312" w:hint="eastAsia"/>
          <w:color w:val="000000"/>
        </w:rPr>
        <w:t>从性别角度对立法进行分析</w:t>
      </w:r>
    </w:p>
    <w:p w:rsidR="00692915" w:rsidRDefault="00692915" w:rsidP="009A1C1B">
      <w:pPr>
        <w:tabs>
          <w:tab w:val="left" w:pos="1170"/>
        </w:tabs>
        <w:spacing w:after="240"/>
        <w:ind w:firstLine="31680"/>
        <w:rPr>
          <w:rFonts w:hint="eastAsia"/>
          <w:color w:val="000000"/>
        </w:rPr>
      </w:pPr>
      <w:r>
        <w:rPr>
          <w:color w:val="000000"/>
        </w:rPr>
        <w:t>326.</w:t>
      </w:r>
      <w:r>
        <w:rPr>
          <w:color w:val="000000"/>
        </w:rPr>
        <w:tab/>
      </w:r>
      <w:r>
        <w:rPr>
          <w:rFonts w:hint="eastAsia"/>
          <w:color w:val="000000"/>
        </w:rPr>
        <w:t>针对国家立法所规定的妇女权利，</w:t>
      </w:r>
      <w:r>
        <w:rPr>
          <w:color w:val="000000"/>
        </w:rPr>
        <w:t>促进平等事务总理顾问办公室</w:t>
      </w:r>
      <w:r>
        <w:rPr>
          <w:rFonts w:hint="eastAsia"/>
          <w:color w:val="000000"/>
        </w:rPr>
        <w:t>与司法部、</w:t>
      </w:r>
      <w:r>
        <w:rPr>
          <w:color w:val="000000"/>
        </w:rPr>
        <w:t>联合国东帝汶办事处</w:t>
      </w:r>
      <w:r>
        <w:rPr>
          <w:rFonts w:hint="eastAsia"/>
          <w:color w:val="000000"/>
        </w:rPr>
        <w:t>人权股一起出版了一份刊物，以提高政府和民间社会对法律上保障的妇女权力的意识。如前所述，为了从性别角度对具体政策和立法草案进行分析，已经与司法部一道进行了相关讨论。</w:t>
      </w:r>
    </w:p>
    <w:p w:rsidR="00692915" w:rsidRDefault="00692915">
      <w:pPr>
        <w:tabs>
          <w:tab w:val="left" w:pos="1170"/>
        </w:tabs>
        <w:spacing w:after="240"/>
        <w:ind w:firstLineChars="0" w:firstLine="0"/>
        <w:rPr>
          <w:rFonts w:eastAsia="KaiTi_GB2312" w:hint="eastAsia"/>
          <w:color w:val="000000"/>
        </w:rPr>
      </w:pPr>
      <w:r>
        <w:rPr>
          <w:rFonts w:eastAsia="KaiTi_GB2312" w:hint="eastAsia"/>
          <w:color w:val="000000"/>
        </w:rPr>
        <w:t>按性别分类的数据</w:t>
      </w:r>
    </w:p>
    <w:p w:rsidR="00692915" w:rsidRDefault="00692915" w:rsidP="009A1C1B">
      <w:pPr>
        <w:tabs>
          <w:tab w:val="left" w:pos="1170"/>
        </w:tabs>
        <w:ind w:firstLine="31680"/>
        <w:rPr>
          <w:rFonts w:hint="eastAsia"/>
          <w:bCs/>
          <w:color w:val="000000"/>
        </w:rPr>
      </w:pPr>
      <w:r>
        <w:rPr>
          <w:bCs/>
          <w:color w:val="000000"/>
        </w:rPr>
        <w:t>327.</w:t>
      </w:r>
      <w:r>
        <w:rPr>
          <w:bCs/>
          <w:color w:val="000000"/>
        </w:rPr>
        <w:tab/>
      </w:r>
      <w:r>
        <w:rPr>
          <w:rFonts w:hint="eastAsia"/>
          <w:bCs/>
          <w:color w:val="000000"/>
        </w:rPr>
        <w:t>2001</w:t>
      </w:r>
      <w:r>
        <w:rPr>
          <w:rFonts w:hint="eastAsia"/>
          <w:bCs/>
          <w:color w:val="000000"/>
        </w:rPr>
        <w:t>年的首次乡调查、生活标准衡量调查、</w:t>
      </w:r>
      <w:r>
        <w:rPr>
          <w:rFonts w:hint="eastAsia"/>
          <w:bCs/>
          <w:color w:val="000000"/>
        </w:rPr>
        <w:t>2002</w:t>
      </w:r>
      <w:r>
        <w:rPr>
          <w:rFonts w:hint="eastAsia"/>
          <w:bCs/>
          <w:color w:val="000000"/>
        </w:rPr>
        <w:t>年的住户调查、</w:t>
      </w:r>
      <w:r>
        <w:rPr>
          <w:rFonts w:hint="eastAsia"/>
          <w:bCs/>
          <w:color w:val="000000"/>
        </w:rPr>
        <w:t>2002</w:t>
      </w:r>
      <w:r>
        <w:rPr>
          <w:rFonts w:hint="eastAsia"/>
          <w:bCs/>
          <w:color w:val="000000"/>
        </w:rPr>
        <w:t>年的多指标类集调查、</w:t>
      </w:r>
      <w:r>
        <w:rPr>
          <w:rFonts w:hint="eastAsia"/>
          <w:bCs/>
          <w:color w:val="000000"/>
        </w:rPr>
        <w:t>2003</w:t>
      </w:r>
      <w:r>
        <w:rPr>
          <w:rFonts w:hint="eastAsia"/>
          <w:bCs/>
          <w:color w:val="000000"/>
        </w:rPr>
        <w:t>年的人口与健康调查以及</w:t>
      </w:r>
      <w:r>
        <w:rPr>
          <w:rFonts w:hint="eastAsia"/>
          <w:bCs/>
          <w:color w:val="000000"/>
        </w:rPr>
        <w:t>2004</w:t>
      </w:r>
      <w:r>
        <w:rPr>
          <w:rFonts w:hint="eastAsia"/>
          <w:bCs/>
          <w:color w:val="000000"/>
        </w:rPr>
        <w:t>年的首次人口普查提供了广泛系列的成果指标，所有重要变量都按性别进行了分类。但是，由于性别问题一直不是相关国际机构的优先事项，所以没有将性别观点纳入收集数据的过程中。这样，尽管按照性别对数据进行了分类，但是一般都不具有性别敏感意识。</w:t>
      </w:r>
    </w:p>
    <w:p w:rsidR="00692915" w:rsidRDefault="00692915" w:rsidP="009A1C1B">
      <w:pPr>
        <w:tabs>
          <w:tab w:val="left" w:pos="1170"/>
        </w:tabs>
        <w:ind w:firstLine="31680"/>
        <w:rPr>
          <w:rFonts w:hint="eastAsia"/>
          <w:bCs/>
          <w:color w:val="000000"/>
        </w:rPr>
      </w:pPr>
      <w:r>
        <w:rPr>
          <w:bCs/>
          <w:color w:val="000000"/>
        </w:rPr>
        <w:t>328.</w:t>
      </w:r>
      <w:r>
        <w:rPr>
          <w:bCs/>
          <w:color w:val="000000"/>
        </w:rPr>
        <w:tab/>
      </w:r>
      <w:r>
        <w:rPr>
          <w:rFonts w:hint="eastAsia"/>
          <w:bCs/>
          <w:color w:val="000000"/>
        </w:rPr>
        <w:t>在按照性别分类的数据中，行政数据系统存在着很大差距。在收集、整理、定期更新数据以及定期按性别分类方面，缺乏系统性。在大多数情况下，可以获取本报告所需的数据，但是通常需要做出特殊努力才能获得按性别分类的数据。在很多情况下，需要对原始数据记录进行专门整理后，才能获得有关女性和男性的基本数据。</w:t>
      </w:r>
    </w:p>
    <w:p w:rsidR="00692915" w:rsidRDefault="00692915" w:rsidP="009A1C1B">
      <w:pPr>
        <w:tabs>
          <w:tab w:val="left" w:pos="1170"/>
        </w:tabs>
        <w:ind w:firstLine="31680"/>
        <w:rPr>
          <w:rFonts w:hint="eastAsia"/>
          <w:bCs/>
          <w:color w:val="000000"/>
        </w:rPr>
      </w:pPr>
      <w:r>
        <w:rPr>
          <w:bCs/>
          <w:color w:val="000000"/>
        </w:rPr>
        <w:t>329.</w:t>
      </w:r>
      <w:r>
        <w:rPr>
          <w:bCs/>
          <w:color w:val="000000"/>
        </w:rPr>
        <w:tab/>
      </w:r>
      <w:r>
        <w:rPr>
          <w:rFonts w:hint="eastAsia"/>
          <w:bCs/>
          <w:color w:val="000000"/>
        </w:rPr>
        <w:t>有些做法可能会对女性带来不平等的后果，但在这方面，缺乏按性别分类的数据，这是一个特别值得关注的问题。一般来说，在任命、晋升和培训方面，大多数政府机构都缺乏相应的人力资源数据。即使有了相关的数据，这些数据也通常没有按照性别进行分类。文职及公共就业服务处（</w:t>
      </w:r>
      <w:r>
        <w:rPr>
          <w:bCs/>
          <w:color w:val="000000"/>
        </w:rPr>
        <w:t>CISPE</w:t>
      </w:r>
      <w:r>
        <w:rPr>
          <w:rFonts w:hint="eastAsia"/>
          <w:bCs/>
          <w:color w:val="000000"/>
        </w:rPr>
        <w:t>）要求各政府机构提供的某些常规表格也没有按性别进行分类。在卫生系统内，有关某些关键做法的数据也很少按照性别进行分类：这些数据依然按照疾病（而非病人的年龄、性别等）、医院床位（而非住院者的年龄、性别等）进行分类。因此，无法对可能存在的重要歧视问题进行分析。</w:t>
      </w:r>
    </w:p>
    <w:p w:rsidR="00692915" w:rsidRDefault="00692915" w:rsidP="009A1C1B">
      <w:pPr>
        <w:tabs>
          <w:tab w:val="left" w:pos="1170"/>
        </w:tabs>
        <w:ind w:firstLine="31680"/>
        <w:rPr>
          <w:rFonts w:hint="eastAsia"/>
          <w:bCs/>
          <w:color w:val="000000"/>
        </w:rPr>
      </w:pPr>
      <w:r>
        <w:rPr>
          <w:bCs/>
          <w:color w:val="000000"/>
        </w:rPr>
        <w:t>330.</w:t>
      </w:r>
      <w:r>
        <w:rPr>
          <w:bCs/>
          <w:color w:val="000000"/>
        </w:rPr>
        <w:tab/>
      </w:r>
      <w:r>
        <w:rPr>
          <w:rFonts w:hint="eastAsia"/>
          <w:bCs/>
          <w:color w:val="000000"/>
        </w:rPr>
        <w:t>由于国际咨询机构及其他机构做出了特别努力，因此有关重要性别问题（尤其是妇女受暴力问题）的程序性指标一般有比较充裕的数据。目前，正在与</w:t>
      </w:r>
      <w:r>
        <w:rPr>
          <w:bCs/>
          <w:color w:val="000000"/>
        </w:rPr>
        <w:t>东帝汶国家警察</w:t>
      </w:r>
      <w:r>
        <w:rPr>
          <w:rFonts w:hint="eastAsia"/>
          <w:bCs/>
          <w:color w:val="000000"/>
        </w:rPr>
        <w:t>一起实施一个项目，以便将这些数据以及刑事司法系统中所有按性别分类的常规数据纳入国家的犯罪数据库。</w:t>
      </w:r>
    </w:p>
    <w:p w:rsidR="00692915" w:rsidRDefault="00692915" w:rsidP="009A1C1B">
      <w:pPr>
        <w:tabs>
          <w:tab w:val="left" w:pos="1170"/>
        </w:tabs>
        <w:ind w:firstLine="31680"/>
        <w:rPr>
          <w:rFonts w:hint="eastAsia"/>
          <w:bCs/>
          <w:color w:val="000000"/>
        </w:rPr>
      </w:pPr>
      <w:r>
        <w:rPr>
          <w:bCs/>
          <w:color w:val="000000"/>
        </w:rPr>
        <w:t>331.</w:t>
      </w:r>
      <w:r>
        <w:rPr>
          <w:rFonts w:hint="eastAsia"/>
          <w:bCs/>
          <w:color w:val="000000"/>
        </w:rPr>
        <w:tab/>
      </w:r>
      <w:r>
        <w:rPr>
          <w:rFonts w:hint="eastAsia"/>
          <w:bCs/>
          <w:color w:val="000000"/>
        </w:rPr>
        <w:t>在几个部门（包括：教育、司法和卫生部门）的决策中，充分利用了按性别分类的数据。但是，这主要得益于国际机构在制定政策过程中所发挥的作用，数据主要来自调查。还需要建立相应的国家系统，以便对行政系统的数据进行处理，并据此对政策及项目实施进行定期监测。有必要在这类系统中纳入按性别分类的数据以及具有性别敏感意识的数据，但是人们，尤其是国家工作人员还缺乏这方面的意识。</w:t>
      </w:r>
    </w:p>
    <w:p w:rsidR="00692915" w:rsidRDefault="00692915" w:rsidP="009A1C1B">
      <w:pPr>
        <w:tabs>
          <w:tab w:val="left" w:pos="1170"/>
        </w:tabs>
        <w:spacing w:after="240"/>
        <w:ind w:firstLine="31680"/>
        <w:rPr>
          <w:rFonts w:hint="eastAsia"/>
          <w:color w:val="000000"/>
        </w:rPr>
      </w:pPr>
      <w:r>
        <w:rPr>
          <w:color w:val="000000"/>
        </w:rPr>
        <w:t>332.</w:t>
      </w:r>
      <w:r>
        <w:rPr>
          <w:color w:val="000000"/>
        </w:rPr>
        <w:tab/>
      </w:r>
      <w:r>
        <w:rPr>
          <w:rFonts w:hint="eastAsia"/>
          <w:color w:val="000000"/>
        </w:rPr>
        <w:t>在撰写本报告之时，</w:t>
      </w:r>
      <w:r>
        <w:rPr>
          <w:color w:val="000000"/>
        </w:rPr>
        <w:t>促进平等事务总理顾问办公室</w:t>
      </w:r>
      <w:r>
        <w:rPr>
          <w:rFonts w:hint="eastAsia"/>
          <w:color w:val="000000"/>
        </w:rPr>
        <w:t>正在与国家统计管理局一起对人口普查数据进行性别分析，并从性别角度对现有政府数据库进行评估。为了开展该活动，有必要按性别对数据进行分类，因此需要对这类数据的用户及编制人员进行培训，以便收集这方面的数据并使所收集的数据符合用户需求，这将有助于将性别观念纳入政策与方案周期，并制定出具有性别敏感意识的方案与政策。</w:t>
      </w:r>
    </w:p>
    <w:p w:rsidR="00692915" w:rsidRDefault="00692915">
      <w:pPr>
        <w:tabs>
          <w:tab w:val="left" w:pos="1170"/>
        </w:tabs>
        <w:spacing w:after="240"/>
        <w:ind w:firstLineChars="0" w:firstLine="0"/>
        <w:rPr>
          <w:rFonts w:eastAsia="KaiTi_GB2312" w:hint="eastAsia"/>
          <w:color w:val="000000"/>
        </w:rPr>
      </w:pPr>
      <w:r>
        <w:rPr>
          <w:rFonts w:eastAsia="KaiTi_GB2312" w:hint="eastAsia"/>
          <w:color w:val="000000"/>
        </w:rPr>
        <w:t>男性在促进性别平等方面的作用</w:t>
      </w:r>
    </w:p>
    <w:p w:rsidR="00692915" w:rsidRDefault="00692915" w:rsidP="009A1C1B">
      <w:pPr>
        <w:tabs>
          <w:tab w:val="left" w:pos="1170"/>
        </w:tabs>
        <w:ind w:firstLine="31680"/>
        <w:rPr>
          <w:rFonts w:hint="eastAsia"/>
          <w:bCs/>
          <w:color w:val="000000"/>
        </w:rPr>
      </w:pPr>
      <w:r>
        <w:rPr>
          <w:bCs/>
          <w:color w:val="000000"/>
        </w:rPr>
        <w:t>333.</w:t>
      </w:r>
      <w:r>
        <w:rPr>
          <w:bCs/>
          <w:color w:val="000000"/>
        </w:rPr>
        <w:tab/>
      </w:r>
      <w:r>
        <w:rPr>
          <w:rFonts w:hint="eastAsia"/>
          <w:bCs/>
          <w:color w:val="000000"/>
        </w:rPr>
        <w:t>在有关性别问题的所有研讨会中，</w:t>
      </w:r>
      <w:r>
        <w:rPr>
          <w:bCs/>
          <w:color w:val="000000"/>
        </w:rPr>
        <w:t>促进平等事务总理顾问办公室</w:t>
      </w:r>
      <w:r>
        <w:rPr>
          <w:rFonts w:hint="eastAsia"/>
          <w:bCs/>
          <w:color w:val="000000"/>
        </w:rPr>
        <w:t>一直强调：促进平等不只是女性的事情，“性别”一词包括男性和女性。因此，有关性别意识和性别平等主流化的所有研讨会既针对男性也针对女性，当然这些项目的大多数受益人都为女性。</w:t>
      </w:r>
      <w:r>
        <w:rPr>
          <w:rFonts w:hint="eastAsia"/>
          <w:bCs/>
          <w:color w:val="000000"/>
        </w:rPr>
        <w:t>2005</w:t>
      </w:r>
      <w:r>
        <w:rPr>
          <w:rFonts w:hint="eastAsia"/>
          <w:bCs/>
          <w:color w:val="000000"/>
        </w:rPr>
        <w:t>年，共有</w:t>
      </w:r>
      <w:r>
        <w:rPr>
          <w:rFonts w:hint="eastAsia"/>
          <w:bCs/>
          <w:color w:val="000000"/>
        </w:rPr>
        <w:t>70</w:t>
      </w:r>
      <w:r>
        <w:rPr>
          <w:rFonts w:hint="eastAsia"/>
          <w:bCs/>
          <w:color w:val="000000"/>
        </w:rPr>
        <w:t>名工作人员（</w:t>
      </w:r>
      <w:r>
        <w:rPr>
          <w:rFonts w:hint="eastAsia"/>
          <w:bCs/>
          <w:color w:val="000000"/>
        </w:rPr>
        <w:t>26</w:t>
      </w:r>
      <w:r>
        <w:rPr>
          <w:rFonts w:hint="eastAsia"/>
          <w:bCs/>
          <w:color w:val="000000"/>
        </w:rPr>
        <w:t>名女性和</w:t>
      </w:r>
      <w:r>
        <w:rPr>
          <w:rFonts w:hint="eastAsia"/>
          <w:bCs/>
          <w:color w:val="000000"/>
        </w:rPr>
        <w:t>44</w:t>
      </w:r>
      <w:r>
        <w:rPr>
          <w:rFonts w:hint="eastAsia"/>
          <w:bCs/>
          <w:color w:val="000000"/>
        </w:rPr>
        <w:t>名男性）接受了性别意识方面的培训，这些人员来自财政与规划部、</w:t>
      </w:r>
      <w:r>
        <w:rPr>
          <w:bCs/>
          <w:color w:val="000000"/>
        </w:rPr>
        <w:t>促进平等事务总理顾问办公室</w:t>
      </w:r>
      <w:r>
        <w:rPr>
          <w:rFonts w:hint="eastAsia"/>
          <w:bCs/>
          <w:color w:val="000000"/>
        </w:rPr>
        <w:t>、部际性别联络点和直属部委的规划人员。</w:t>
      </w:r>
      <w:r>
        <w:rPr>
          <w:rFonts w:hint="eastAsia"/>
          <w:bCs/>
          <w:color w:val="000000"/>
        </w:rPr>
        <w:t>17</w:t>
      </w:r>
      <w:r>
        <w:rPr>
          <w:rFonts w:hint="eastAsia"/>
          <w:bCs/>
          <w:color w:val="000000"/>
        </w:rPr>
        <w:t>名工作人员（</w:t>
      </w:r>
      <w:r>
        <w:rPr>
          <w:rFonts w:hint="eastAsia"/>
          <w:bCs/>
          <w:color w:val="000000"/>
        </w:rPr>
        <w:t>9</w:t>
      </w:r>
      <w:r>
        <w:rPr>
          <w:rFonts w:hint="eastAsia"/>
          <w:bCs/>
          <w:color w:val="000000"/>
        </w:rPr>
        <w:t>名女性和</w:t>
      </w:r>
      <w:r>
        <w:rPr>
          <w:rFonts w:hint="eastAsia"/>
          <w:bCs/>
          <w:color w:val="000000"/>
        </w:rPr>
        <w:t>8</w:t>
      </w:r>
      <w:r>
        <w:rPr>
          <w:rFonts w:hint="eastAsia"/>
          <w:bCs/>
          <w:color w:val="000000"/>
        </w:rPr>
        <w:t>名男性）的专业知识得到了加强，在使用性别平等主流化工具方面的信心得到了某种程度的提高，在具有性别敏感意识的政策、规划和监测方面具备了相应的宣传能力，这些人员来自</w:t>
      </w:r>
      <w:r>
        <w:rPr>
          <w:bCs/>
          <w:color w:val="000000"/>
        </w:rPr>
        <w:t>国家外部援助规划和协调管理局</w:t>
      </w:r>
      <w:r>
        <w:rPr>
          <w:rFonts w:hint="eastAsia"/>
          <w:bCs/>
          <w:color w:val="000000"/>
        </w:rPr>
        <w:t>，或属于主要政府机构的规划主管。</w:t>
      </w:r>
    </w:p>
    <w:p w:rsidR="00692915" w:rsidRDefault="00692915" w:rsidP="009A1C1B">
      <w:pPr>
        <w:tabs>
          <w:tab w:val="left" w:pos="1170"/>
        </w:tabs>
        <w:ind w:firstLine="31680"/>
        <w:rPr>
          <w:rFonts w:hint="eastAsia"/>
          <w:bCs/>
          <w:color w:val="000000"/>
        </w:rPr>
      </w:pPr>
      <w:r>
        <w:rPr>
          <w:bCs/>
          <w:color w:val="000000"/>
        </w:rPr>
        <w:t>334.</w:t>
      </w:r>
      <w:r>
        <w:rPr>
          <w:bCs/>
          <w:color w:val="000000"/>
        </w:rPr>
        <w:tab/>
      </w:r>
      <w:r>
        <w:rPr>
          <w:rFonts w:hint="eastAsia"/>
          <w:bCs/>
          <w:color w:val="000000"/>
        </w:rPr>
        <w:t>在有关性别意识的方案中，</w:t>
      </w:r>
      <w:r>
        <w:rPr>
          <w:bCs/>
          <w:color w:val="000000"/>
        </w:rPr>
        <w:t>促进平等事务总理顾问办公室</w:t>
      </w:r>
      <w:r>
        <w:rPr>
          <w:rFonts w:hint="eastAsia"/>
          <w:bCs/>
          <w:color w:val="000000"/>
        </w:rPr>
        <w:t>努力将男孩和女孩作为目标。例如，在前述名为“探索知识”的中学生电视知识竞赛中，男生和女生都参加了，由该办公室组织的教育研讨会中，两性都从中受益了。性别平等对于发展具有重要意义，为了提高男性对这一问题的意识并进行相关教育，</w:t>
      </w:r>
      <w:r>
        <w:rPr>
          <w:bCs/>
          <w:color w:val="000000"/>
        </w:rPr>
        <w:t>促进平等事务总理顾问</w:t>
      </w:r>
      <w:r>
        <w:rPr>
          <w:rFonts w:hint="eastAsia"/>
          <w:bCs/>
          <w:color w:val="000000"/>
        </w:rPr>
        <w:t>办公室在这方面做出了特别努力。</w:t>
      </w:r>
    </w:p>
    <w:p w:rsidR="00692915" w:rsidRDefault="00692915" w:rsidP="009A1C1B">
      <w:pPr>
        <w:tabs>
          <w:tab w:val="left" w:pos="1170"/>
        </w:tabs>
        <w:spacing w:after="240"/>
        <w:ind w:firstLine="31680"/>
        <w:rPr>
          <w:rFonts w:hint="eastAsia"/>
          <w:color w:val="000000"/>
        </w:rPr>
      </w:pPr>
      <w:r>
        <w:rPr>
          <w:color w:val="000000"/>
        </w:rPr>
        <w:t>335.</w:t>
      </w:r>
      <w:r>
        <w:rPr>
          <w:color w:val="000000"/>
        </w:rPr>
        <w:tab/>
      </w:r>
      <w:r>
        <w:rPr>
          <w:rFonts w:hint="eastAsia"/>
          <w:color w:val="000000"/>
        </w:rPr>
        <w:t>东帝汶有着浓厚的父权制文化，在这种文化中，一般认为男性的权利多于女性。为此，</w:t>
      </w:r>
      <w:r>
        <w:rPr>
          <w:color w:val="000000"/>
        </w:rPr>
        <w:t>促进平等事务总理顾问办公室</w:t>
      </w:r>
      <w:r>
        <w:rPr>
          <w:rFonts w:hint="eastAsia"/>
          <w:color w:val="000000"/>
        </w:rPr>
        <w:t>在其所有培训中，首先鼓励男性敞开心扉，提高他们对性别、性别平等和妇女社会角色的意识。正确理解性别概念是开诚布公的关键，也是人们愿意做出努力消除东帝汶性别歧视的关键。在过去的很多培训中，一个难题就是男性往往在讨论中占主导地位，而妇女，尤其是基层妇女不能充分发表其意见。尽管如此，</w:t>
      </w:r>
      <w:r>
        <w:rPr>
          <w:color w:val="000000"/>
        </w:rPr>
        <w:t>促进平等事务总理顾问办公室</w:t>
      </w:r>
      <w:r>
        <w:rPr>
          <w:rFonts w:hint="eastAsia"/>
          <w:color w:val="000000"/>
        </w:rPr>
        <w:t>仍然认为男性对于提高性别意识有着重要作用，为此，该办公室与一些组织（如：男性反暴力协会）进行了密切合作</w:t>
      </w:r>
      <w:r>
        <w:rPr>
          <w:rFonts w:ascii="SimHei" w:eastAsia="SimHei" w:hint="eastAsia"/>
          <w:color w:val="000000"/>
          <w:spacing w:val="0"/>
        </w:rPr>
        <w:t>——</w:t>
      </w:r>
      <w:r>
        <w:rPr>
          <w:rFonts w:hint="eastAsia"/>
          <w:color w:val="000000"/>
        </w:rPr>
        <w:t>男性反暴力组织成立于</w:t>
      </w:r>
      <w:r>
        <w:rPr>
          <w:rFonts w:hint="eastAsia"/>
          <w:color w:val="000000"/>
        </w:rPr>
        <w:t>2002</w:t>
      </w:r>
      <w:r>
        <w:rPr>
          <w:rFonts w:hint="eastAsia"/>
          <w:color w:val="000000"/>
        </w:rPr>
        <w:t>年，为消除基于性别的暴力，该组织做出了不懈的努力并开展了相关的促进活动，其宗旨是提高男性对性别问题的意识。有关</w:t>
      </w:r>
      <w:r>
        <w:rPr>
          <w:color w:val="000000"/>
        </w:rPr>
        <w:t>《消除对妇女一切形式歧视公约》</w:t>
      </w:r>
      <w:r>
        <w:rPr>
          <w:rFonts w:hint="eastAsia"/>
          <w:color w:val="000000"/>
        </w:rPr>
        <w:t>的专门文件将详细讨论男性反暴力协会在性别暴力问题方面所开展的工作。</w:t>
      </w:r>
    </w:p>
    <w:p w:rsidR="00692915" w:rsidRDefault="00692915">
      <w:pPr>
        <w:tabs>
          <w:tab w:val="left" w:pos="1170"/>
        </w:tabs>
        <w:spacing w:after="240"/>
        <w:ind w:firstLineChars="0" w:firstLine="0"/>
        <w:rPr>
          <w:rFonts w:hint="eastAsia"/>
          <w:bCs/>
          <w:color w:val="000000"/>
        </w:rPr>
      </w:pPr>
      <w:r>
        <w:rPr>
          <w:rFonts w:eastAsia="KaiTi_GB2312" w:hint="eastAsia"/>
          <w:color w:val="000000"/>
        </w:rPr>
        <w:t>在性别平等主流化方面面临的困难</w:t>
      </w:r>
    </w:p>
    <w:p w:rsidR="00692915" w:rsidRDefault="00692915" w:rsidP="009A1C1B">
      <w:pPr>
        <w:tabs>
          <w:tab w:val="left" w:pos="1170"/>
        </w:tabs>
        <w:ind w:firstLine="31680"/>
        <w:rPr>
          <w:rFonts w:hint="eastAsia"/>
          <w:bCs/>
          <w:color w:val="000000"/>
        </w:rPr>
      </w:pPr>
      <w:r>
        <w:rPr>
          <w:bCs/>
          <w:color w:val="000000"/>
        </w:rPr>
        <w:t>336.</w:t>
      </w:r>
      <w:r>
        <w:rPr>
          <w:bCs/>
          <w:color w:val="000000"/>
        </w:rPr>
        <w:tab/>
      </w:r>
      <w:r>
        <w:rPr>
          <w:rFonts w:hint="eastAsia"/>
          <w:bCs/>
          <w:color w:val="000000"/>
        </w:rPr>
        <w:t>尽管到目前为止已经取得了明显成就，但在性别平等主流化方面仍然面临着挑战，这些挑战对所取得的成果产生了很大影响。</w:t>
      </w:r>
    </w:p>
    <w:p w:rsidR="00692915" w:rsidRDefault="00692915" w:rsidP="009A1C1B">
      <w:pPr>
        <w:tabs>
          <w:tab w:val="left" w:pos="1170"/>
        </w:tabs>
        <w:ind w:firstLine="31680"/>
        <w:rPr>
          <w:rFonts w:hint="eastAsia"/>
          <w:color w:val="000000"/>
        </w:rPr>
      </w:pPr>
      <w:r>
        <w:rPr>
          <w:bCs/>
          <w:color w:val="000000"/>
        </w:rPr>
        <w:t>337.</w:t>
      </w:r>
      <w:r>
        <w:rPr>
          <w:rFonts w:hint="eastAsia"/>
          <w:bCs/>
          <w:color w:val="000000"/>
        </w:rPr>
        <w:t xml:space="preserve"> </w:t>
      </w:r>
      <w:r>
        <w:rPr>
          <w:rFonts w:hint="eastAsia"/>
          <w:color w:val="000000"/>
        </w:rPr>
        <w:t>其中一项挑战就是：人们往往认为性别平等主流化属于“附加”战略，对于已经忙碌不堪的政府工作人员来说，它是一种额外“负担”。目前没有相应的激励机制来鼓励个人和机构实现性别平等主流化的目标。此外，尽管在政治上有着促进平等的强烈意愿，但是在文化上却缺乏这方面的敏感意识，在某些地方，人们甚至不愿意承认妇女受歧视的问题。即使人们认识到有必要将性别意识纳入各项方案和政策，但也通常认为这只是</w:t>
      </w:r>
      <w:r>
        <w:rPr>
          <w:bCs/>
          <w:color w:val="000000"/>
        </w:rPr>
        <w:t>促进平等事务总理顾问办公室</w:t>
      </w:r>
      <w:r>
        <w:rPr>
          <w:rFonts w:hint="eastAsia"/>
          <w:bCs/>
          <w:color w:val="000000"/>
        </w:rPr>
        <w:t>的责任，因此，该办公室的责任非常繁重，往往不能致力于政策的制定和监测工作，而成了为性别平等主流化机构提供专业支持和有效实施其性别方案和政策的唯一政府机构。</w:t>
      </w:r>
    </w:p>
    <w:p w:rsidR="00692915" w:rsidRDefault="00692915" w:rsidP="009A1C1B">
      <w:pPr>
        <w:tabs>
          <w:tab w:val="left" w:pos="1170"/>
        </w:tabs>
        <w:spacing w:after="240"/>
        <w:ind w:firstLine="31680"/>
        <w:rPr>
          <w:rFonts w:hint="eastAsia"/>
          <w:color w:val="000000"/>
        </w:rPr>
      </w:pPr>
      <w:r>
        <w:rPr>
          <w:color w:val="000000"/>
        </w:rPr>
        <w:t>338.</w:t>
      </w:r>
      <w:r>
        <w:rPr>
          <w:color w:val="000000"/>
        </w:rPr>
        <w:tab/>
      </w:r>
      <w:r>
        <w:rPr>
          <w:rFonts w:hint="eastAsia"/>
          <w:color w:val="000000"/>
        </w:rPr>
        <w:t>另一项挑战就是缺乏将性别平等主流化意识纳入方案与政策周期的专业能力。各政府部门对此感受颇深，其中包括</w:t>
      </w:r>
      <w:r>
        <w:rPr>
          <w:color w:val="000000"/>
        </w:rPr>
        <w:t>促进平等事务总理顾问办公室</w:t>
      </w:r>
      <w:r>
        <w:rPr>
          <w:rFonts w:hint="eastAsia"/>
          <w:color w:val="000000"/>
        </w:rPr>
        <w:t>，在该办公室中，能够从事该项工作的人员寥寥无几。性别联络员通常为低级工作人员，往往不是按照其在性别平等主流化方面的能力任命的。例如，在将性别观念纳入《部门投资方案》的过程中，可用的时间非常短，而且相关人员还缺乏性别分析方面的专业能力，这妨碍了工作的进行。结果，与其说这是一次性别分析工作，还不如说是对参与人员的一次培训。由于这些因素的缘故，再加上预算方面的限制，以及技术援助人员聘用和事后规划之间的时间缺乏适当衔接，所以实施全面的性别平等主流化议程非常困难。</w:t>
      </w:r>
      <w:bookmarkStart w:id="66" w:name="_Toc150514969"/>
      <w:bookmarkStart w:id="67" w:name="_Toc150684872"/>
    </w:p>
    <w:p w:rsidR="00692915" w:rsidRDefault="00692915">
      <w:pPr>
        <w:tabs>
          <w:tab w:val="left" w:pos="1170"/>
        </w:tabs>
        <w:spacing w:after="240"/>
        <w:ind w:firstLineChars="0" w:firstLine="0"/>
        <w:rPr>
          <w:rFonts w:hint="eastAsia"/>
          <w:color w:val="000000"/>
        </w:rPr>
      </w:pPr>
      <w:r>
        <w:rPr>
          <w:rFonts w:eastAsia="KaiTi_GB2312"/>
          <w:bCs/>
          <w:color w:val="000000"/>
        </w:rPr>
        <w:t>促进平等事务总理顾问办公室</w:t>
      </w:r>
      <w:bookmarkEnd w:id="66"/>
      <w:bookmarkEnd w:id="67"/>
      <w:r>
        <w:rPr>
          <w:rFonts w:eastAsia="KaiTi_GB2312" w:hint="eastAsia"/>
          <w:bCs/>
          <w:color w:val="000000"/>
        </w:rPr>
        <w:t>的建议及其首要优先事项</w:t>
      </w:r>
    </w:p>
    <w:p w:rsidR="00692915" w:rsidRDefault="00692915" w:rsidP="009A1C1B">
      <w:pPr>
        <w:tabs>
          <w:tab w:val="left" w:pos="1170"/>
        </w:tabs>
        <w:ind w:firstLine="31680"/>
        <w:rPr>
          <w:rFonts w:hint="eastAsia"/>
          <w:color w:val="000000"/>
        </w:rPr>
      </w:pPr>
      <w:r>
        <w:rPr>
          <w:color w:val="000000"/>
        </w:rPr>
        <w:t>339.</w:t>
      </w:r>
      <w:r>
        <w:rPr>
          <w:color w:val="000000"/>
        </w:rPr>
        <w:tab/>
      </w:r>
      <w:r>
        <w:rPr>
          <w:rFonts w:hint="eastAsia"/>
          <w:color w:val="000000"/>
        </w:rPr>
        <w:t>为成功有效地实现性别平等主流化目标，除了民间社会、非政府组织、学术界和其他社区组织的大力支持和促进外，还需要有强有力的领导班子和各级的承诺。</w:t>
      </w:r>
    </w:p>
    <w:p w:rsidR="00692915" w:rsidRDefault="00692915" w:rsidP="009A1C1B">
      <w:pPr>
        <w:tabs>
          <w:tab w:val="left" w:pos="1170"/>
        </w:tabs>
        <w:ind w:firstLine="31680"/>
        <w:rPr>
          <w:rFonts w:hint="eastAsia"/>
          <w:color w:val="000000"/>
        </w:rPr>
      </w:pPr>
      <w:r>
        <w:rPr>
          <w:color w:val="000000"/>
        </w:rPr>
        <w:t>340.</w:t>
      </w:r>
      <w:r>
        <w:rPr>
          <w:color w:val="000000"/>
        </w:rPr>
        <w:tab/>
      </w:r>
      <w:r>
        <w:rPr>
          <w:color w:val="000000"/>
        </w:rPr>
        <w:t>促进平等事务总理顾问办公室</w:t>
      </w:r>
      <w:r>
        <w:rPr>
          <w:rFonts w:hint="eastAsia"/>
          <w:color w:val="000000"/>
        </w:rPr>
        <w:t>特别向内阁提出建议，希望部长理事会制定并通过一项国家性别平等主流化政策，以便将性别平等主流化明确作为所有部门的责任和义务。按照目前的情况，将性别问题作为《国家发展计划》的重点还不足以确保各部门在此方面做出承诺。</w:t>
      </w:r>
    </w:p>
    <w:p w:rsidR="00692915" w:rsidRDefault="00692915" w:rsidP="009A1C1B">
      <w:pPr>
        <w:tabs>
          <w:tab w:val="left" w:pos="1170"/>
        </w:tabs>
        <w:ind w:firstLine="31680"/>
        <w:rPr>
          <w:rFonts w:hint="eastAsia"/>
          <w:color w:val="000000"/>
        </w:rPr>
      </w:pPr>
      <w:r>
        <w:rPr>
          <w:color w:val="000000"/>
        </w:rPr>
        <w:t>341.</w:t>
      </w:r>
      <w:r>
        <w:rPr>
          <w:color w:val="000000"/>
        </w:rPr>
        <w:tab/>
      </w:r>
      <w:r>
        <w:rPr>
          <w:rFonts w:hint="eastAsia"/>
          <w:color w:val="000000"/>
        </w:rPr>
        <w:t>在可预见的将来，</w:t>
      </w:r>
      <w:r>
        <w:rPr>
          <w:color w:val="000000"/>
        </w:rPr>
        <w:t>促进平等事务总理顾问办公室</w:t>
      </w:r>
      <w:r>
        <w:rPr>
          <w:rFonts w:hint="eastAsia"/>
          <w:color w:val="000000"/>
        </w:rPr>
        <w:t>将继续与</w:t>
      </w:r>
      <w:r>
        <w:rPr>
          <w:color w:val="000000"/>
        </w:rPr>
        <w:t>国家外部援助规划和协调管理局</w:t>
      </w:r>
      <w:r>
        <w:rPr>
          <w:rFonts w:hint="eastAsia"/>
          <w:color w:val="000000"/>
        </w:rPr>
        <w:t>密切合作，以保持、贯彻和监督优先事项和已经启动的工作。这包括，除了定期组织性别平等主流化方面的协调会议外，还在各直属部委和各级部门中，进一步引入和消化“性别平等主流化指南”和“性别问题清单”的内容。将设立工作队和</w:t>
      </w:r>
      <w:r>
        <w:rPr>
          <w:rFonts w:hint="eastAsia"/>
          <w:color w:val="000000"/>
        </w:rPr>
        <w:t>/</w:t>
      </w:r>
      <w:r>
        <w:rPr>
          <w:rFonts w:hint="eastAsia"/>
          <w:color w:val="000000"/>
        </w:rPr>
        <w:t>或工作组，以讨论将性别平等观念纳入最佳方案和政策做法的意义和建议。这些工作组将由所有利益攸关方参与，包括民间社会的成员。</w:t>
      </w:r>
    </w:p>
    <w:p w:rsidR="00692915" w:rsidRDefault="00692915" w:rsidP="009A1C1B">
      <w:pPr>
        <w:tabs>
          <w:tab w:val="left" w:pos="1170"/>
        </w:tabs>
        <w:ind w:firstLine="31680"/>
        <w:rPr>
          <w:rFonts w:hint="eastAsia"/>
          <w:color w:val="000000"/>
        </w:rPr>
      </w:pPr>
      <w:r>
        <w:rPr>
          <w:color w:val="000000"/>
        </w:rPr>
        <w:t>342.</w:t>
      </w:r>
      <w:r>
        <w:rPr>
          <w:color w:val="000000"/>
        </w:rPr>
        <w:tab/>
      </w:r>
      <w:r>
        <w:rPr>
          <w:rFonts w:hint="eastAsia"/>
          <w:color w:val="000000"/>
        </w:rPr>
        <w:t>有关性别影响的评估将确定各项政策和方案对女性和男性的影响。为了促进这一进程，应为所有方案编制对性别问题有敏感意识的可行性指标，这些指标应能反映《千年发展目标》、</w:t>
      </w:r>
      <w:r>
        <w:rPr>
          <w:color w:val="000000"/>
        </w:rPr>
        <w:t>《消除对妇女一切形式歧视公约》</w:t>
      </w:r>
      <w:r>
        <w:rPr>
          <w:rFonts w:hint="eastAsia"/>
          <w:color w:val="000000"/>
        </w:rPr>
        <w:t>和《北京行动纲要》的各项原则。</w:t>
      </w:r>
    </w:p>
    <w:p w:rsidR="00692915" w:rsidRDefault="00692915" w:rsidP="009A1C1B">
      <w:pPr>
        <w:tabs>
          <w:tab w:val="left" w:pos="1170"/>
        </w:tabs>
        <w:ind w:firstLine="31680"/>
        <w:rPr>
          <w:rFonts w:hint="eastAsia"/>
          <w:color w:val="000000"/>
        </w:rPr>
      </w:pPr>
      <w:r>
        <w:rPr>
          <w:color w:val="000000"/>
        </w:rPr>
        <w:t>343.</w:t>
      </w:r>
      <w:r>
        <w:rPr>
          <w:color w:val="000000"/>
        </w:rPr>
        <w:tab/>
      </w:r>
      <w:r>
        <w:rPr>
          <w:color w:val="000000"/>
        </w:rPr>
        <w:t>促进平等事务总理顾问办公室</w:t>
      </w:r>
      <w:r>
        <w:rPr>
          <w:rFonts w:hint="eastAsia"/>
          <w:color w:val="000000"/>
        </w:rPr>
        <w:t>将鼓励所有部门和部委为各方案和政策收集按性别分类的数据，并对该方案的影响进行评估。应该对收集的数据进行调整以便对性别问题有敏感意识，所有部门建立的数据库都应包括按性别分类的数据。这些数据应具有系统性，并能方便人们使用。未来的所有研究都应载有性别层面的内容。</w:t>
      </w:r>
    </w:p>
    <w:p w:rsidR="00692915" w:rsidRDefault="00692915" w:rsidP="009A1C1B">
      <w:pPr>
        <w:tabs>
          <w:tab w:val="left" w:pos="1170"/>
        </w:tabs>
        <w:spacing w:after="240"/>
        <w:ind w:firstLine="31680"/>
        <w:rPr>
          <w:rFonts w:hint="eastAsia"/>
          <w:color w:val="000000"/>
        </w:rPr>
      </w:pPr>
      <w:r>
        <w:rPr>
          <w:color w:val="000000"/>
        </w:rPr>
        <w:t>344.</w:t>
      </w:r>
      <w:r>
        <w:rPr>
          <w:color w:val="000000"/>
        </w:rPr>
        <w:tab/>
      </w:r>
      <w:r>
        <w:rPr>
          <w:rFonts w:hint="eastAsia"/>
          <w:color w:val="000000"/>
        </w:rPr>
        <w:t>由于所有部门都需要将性别平等观念纳入其各项方案和政策中，所以</w:t>
      </w:r>
      <w:r>
        <w:rPr>
          <w:color w:val="000000"/>
        </w:rPr>
        <w:t>促进平等事务总理顾问办公室</w:t>
      </w:r>
      <w:r>
        <w:rPr>
          <w:rFonts w:hint="eastAsia"/>
          <w:color w:val="000000"/>
        </w:rPr>
        <w:t>认为，参与计划与决策过程的所有工作人员都应熟悉性别概念以及将性别观念纳入政策周期的方法，这一点非常关键。为此，将需要为相关人员提供进一步的培训，培训内容涉及：基本性别概念、对性别问题有敏感意识的决策、性别影响评估，其中包括指标的界定和数据的收集。另外，还应与学术机构一起提供一项有关“性别与发展”的培训课程，培训对象为</w:t>
      </w:r>
      <w:r>
        <w:rPr>
          <w:color w:val="000000"/>
        </w:rPr>
        <w:t>促进平等事务总理顾问办公室</w:t>
      </w:r>
      <w:r>
        <w:rPr>
          <w:rFonts w:hint="eastAsia"/>
          <w:color w:val="000000"/>
        </w:rPr>
        <w:t>的工作人员以及性别事务联络员，目的是要提高这些人员在该领域的知识水平。</w:t>
      </w:r>
    </w:p>
    <w:p w:rsidR="00692915" w:rsidRDefault="00692915">
      <w:pPr>
        <w:pStyle w:val="Heading2"/>
        <w:tabs>
          <w:tab w:val="left" w:pos="520"/>
        </w:tabs>
        <w:spacing w:after="320"/>
        <w:rPr>
          <w:rFonts w:hint="eastAsia"/>
          <w:color w:val="000000"/>
          <w:sz w:val="24"/>
        </w:rPr>
      </w:pPr>
      <w:bookmarkStart w:id="68" w:name="_Toc150514970"/>
      <w:bookmarkStart w:id="69" w:name="_Toc150684873"/>
      <w:r>
        <w:rPr>
          <w:color w:val="000000"/>
          <w:sz w:val="24"/>
        </w:rPr>
        <w:t>D.</w:t>
      </w:r>
      <w:r>
        <w:rPr>
          <w:color w:val="000000"/>
          <w:sz w:val="24"/>
        </w:rPr>
        <w:tab/>
      </w:r>
      <w:bookmarkEnd w:id="68"/>
      <w:bookmarkEnd w:id="69"/>
      <w:r>
        <w:rPr>
          <w:rFonts w:hint="eastAsia"/>
          <w:color w:val="000000"/>
          <w:sz w:val="24"/>
          <w:u w:val="single"/>
        </w:rPr>
        <w:t>报告程序在促进国家一级人权方面的作用</w:t>
      </w:r>
    </w:p>
    <w:p w:rsidR="00692915" w:rsidRDefault="00692915" w:rsidP="009A1C1B">
      <w:pPr>
        <w:tabs>
          <w:tab w:val="left" w:pos="1170"/>
        </w:tabs>
        <w:ind w:firstLine="31680"/>
        <w:rPr>
          <w:rFonts w:hint="eastAsia"/>
          <w:color w:val="000000"/>
        </w:rPr>
      </w:pPr>
      <w:r>
        <w:rPr>
          <w:color w:val="000000"/>
        </w:rPr>
        <w:t>345.</w:t>
      </w:r>
      <w:r>
        <w:rPr>
          <w:color w:val="000000"/>
        </w:rPr>
        <w:tab/>
      </w:r>
      <w:r>
        <w:rPr>
          <w:rFonts w:hint="eastAsia"/>
          <w:color w:val="000000"/>
        </w:rPr>
        <w:t>东帝汶政府于</w:t>
      </w:r>
      <w:r>
        <w:rPr>
          <w:color w:val="000000"/>
        </w:rPr>
        <w:t>2003/</w:t>
      </w:r>
      <w:r>
        <w:rPr>
          <w:rFonts w:hint="eastAsia"/>
          <w:color w:val="000000"/>
        </w:rPr>
        <w:t>20</w:t>
      </w:r>
      <w:r>
        <w:rPr>
          <w:color w:val="000000"/>
        </w:rPr>
        <w:t>04</w:t>
      </w:r>
      <w:r>
        <w:rPr>
          <w:rFonts w:hint="eastAsia"/>
          <w:color w:val="000000"/>
        </w:rPr>
        <w:t>年正式批准了各项核心人权条约，因此对于其在维护权利和自由方面做出的承诺，有义务就实施进展提出报告。为了符合这方面的报告要求，东帝汶已经就其所要面临的问题与</w:t>
      </w:r>
      <w:r>
        <w:rPr>
          <w:color w:val="000000"/>
        </w:rPr>
        <w:t>人权事务高级专员办事处</w:t>
      </w:r>
      <w:r>
        <w:rPr>
          <w:rFonts w:hint="eastAsia"/>
          <w:color w:val="000000"/>
        </w:rPr>
        <w:t>一起进行了讨论，并在讨论之后决定按照“提交报告的协调准则”（以下简称“准则”）</w:t>
      </w:r>
      <w:r>
        <w:rPr>
          <w:rStyle w:val="FootnoteReference"/>
          <w:color w:val="000000"/>
        </w:rPr>
        <w:footnoteReference w:id="164"/>
      </w:r>
      <w:r>
        <w:rPr>
          <w:rFonts w:hint="eastAsia"/>
          <w:color w:val="000000"/>
        </w:rPr>
        <w:t>试行一项新的报告制度</w:t>
      </w:r>
      <w:r>
        <w:rPr>
          <w:rFonts w:ascii="SimHei" w:eastAsia="SimHei" w:hint="eastAsia"/>
          <w:color w:val="000000"/>
          <w:spacing w:val="0"/>
        </w:rPr>
        <w:t>——</w:t>
      </w:r>
      <w:r>
        <w:rPr>
          <w:rFonts w:hint="eastAsia"/>
          <w:color w:val="000000"/>
        </w:rPr>
        <w:t>该准则由</w:t>
      </w:r>
      <w:r>
        <w:rPr>
          <w:color w:val="000000"/>
        </w:rPr>
        <w:t>人权事务高级专员办事处</w:t>
      </w:r>
      <w:r>
        <w:rPr>
          <w:rFonts w:hint="eastAsia"/>
          <w:color w:val="000000"/>
        </w:rPr>
        <w:t>编制，并于</w:t>
      </w:r>
      <w:r>
        <w:rPr>
          <w:rFonts w:hint="eastAsia"/>
          <w:color w:val="000000"/>
        </w:rPr>
        <w:t>2004</w:t>
      </w:r>
      <w:r>
        <w:rPr>
          <w:rFonts w:hint="eastAsia"/>
          <w:color w:val="000000"/>
        </w:rPr>
        <w:t>年</w:t>
      </w:r>
      <w:r>
        <w:rPr>
          <w:rFonts w:hint="eastAsia"/>
          <w:color w:val="000000"/>
        </w:rPr>
        <w:t>6</w:t>
      </w:r>
      <w:r>
        <w:rPr>
          <w:rFonts w:hint="eastAsia"/>
          <w:color w:val="000000"/>
        </w:rPr>
        <w:t>月在人权条约机构主持人第十六次会议上通过。这些准则旨在避免重复和零散的问题，协调各条约和条约机构系统之间的关系，以此简化报告程序。</w:t>
      </w:r>
    </w:p>
    <w:p w:rsidR="00692915" w:rsidRDefault="00692915" w:rsidP="009A1C1B">
      <w:pPr>
        <w:tabs>
          <w:tab w:val="left" w:pos="1170"/>
        </w:tabs>
        <w:ind w:firstLine="31680"/>
        <w:rPr>
          <w:rFonts w:hint="eastAsia"/>
          <w:color w:val="000000"/>
        </w:rPr>
      </w:pPr>
      <w:r>
        <w:rPr>
          <w:color w:val="000000"/>
        </w:rPr>
        <w:t>346.</w:t>
      </w:r>
      <w:r>
        <w:rPr>
          <w:color w:val="000000"/>
        </w:rPr>
        <w:tab/>
      </w:r>
      <w:r>
        <w:rPr>
          <w:rFonts w:hint="eastAsia"/>
          <w:color w:val="000000"/>
        </w:rPr>
        <w:t>2004</w:t>
      </w:r>
      <w:r>
        <w:rPr>
          <w:rFonts w:hint="eastAsia"/>
          <w:color w:val="000000"/>
        </w:rPr>
        <w:t>年，外交部提出了一项灵活的总计划，该计划共分五个阶段，旨在履行政府在人权条约方面的报告义务。这六个阶段为：</w:t>
      </w:r>
    </w:p>
    <w:p w:rsidR="00692915" w:rsidRDefault="00692915" w:rsidP="009A1C1B">
      <w:pPr>
        <w:numPr>
          <w:ilvl w:val="0"/>
          <w:numId w:val="15"/>
        </w:numPr>
        <w:tabs>
          <w:tab w:val="clear" w:pos="1080"/>
          <w:tab w:val="left" w:pos="1690"/>
        </w:tabs>
        <w:ind w:leftChars="450" w:left="31680" w:hangingChars="200" w:firstLine="31680"/>
        <w:rPr>
          <w:bCs/>
          <w:color w:val="000000"/>
        </w:rPr>
      </w:pPr>
      <w:r>
        <w:rPr>
          <w:rFonts w:hint="eastAsia"/>
          <w:color w:val="000000"/>
        </w:rPr>
        <w:t>第一阶段：初步规划；</w:t>
      </w:r>
    </w:p>
    <w:p w:rsidR="00692915" w:rsidRDefault="00692915" w:rsidP="009A1C1B">
      <w:pPr>
        <w:numPr>
          <w:ilvl w:val="0"/>
          <w:numId w:val="15"/>
        </w:numPr>
        <w:tabs>
          <w:tab w:val="clear" w:pos="1080"/>
          <w:tab w:val="left" w:pos="1690"/>
        </w:tabs>
        <w:ind w:leftChars="450" w:left="31680" w:hangingChars="200" w:firstLine="31680"/>
        <w:rPr>
          <w:bCs/>
          <w:color w:val="000000"/>
        </w:rPr>
      </w:pPr>
      <w:r>
        <w:rPr>
          <w:rFonts w:hint="eastAsia"/>
          <w:color w:val="000000"/>
        </w:rPr>
        <w:t>第二阶段：条约与报告程序的正式推出及社会化宣传；</w:t>
      </w:r>
    </w:p>
    <w:p w:rsidR="00692915" w:rsidRDefault="00692915" w:rsidP="009A1C1B">
      <w:pPr>
        <w:numPr>
          <w:ilvl w:val="0"/>
          <w:numId w:val="15"/>
        </w:numPr>
        <w:tabs>
          <w:tab w:val="clear" w:pos="1080"/>
          <w:tab w:val="left" w:pos="1690"/>
        </w:tabs>
        <w:ind w:leftChars="450" w:left="31680" w:hangingChars="200" w:firstLine="31680"/>
        <w:rPr>
          <w:bCs/>
          <w:color w:val="000000"/>
        </w:rPr>
      </w:pPr>
      <w:r>
        <w:rPr>
          <w:rFonts w:hint="eastAsia"/>
          <w:color w:val="000000"/>
        </w:rPr>
        <w:t>第三阶段：在全国和社会各界进行咨询，为条约报告收集数据；</w:t>
      </w:r>
    </w:p>
    <w:p w:rsidR="00692915" w:rsidRDefault="00692915" w:rsidP="009A1C1B">
      <w:pPr>
        <w:numPr>
          <w:ilvl w:val="0"/>
          <w:numId w:val="15"/>
        </w:numPr>
        <w:tabs>
          <w:tab w:val="clear" w:pos="1080"/>
          <w:tab w:val="left" w:pos="1690"/>
        </w:tabs>
        <w:ind w:leftChars="450" w:left="31680" w:hangingChars="200" w:firstLine="31680"/>
        <w:rPr>
          <w:bCs/>
          <w:color w:val="000000"/>
        </w:rPr>
      </w:pPr>
      <w:r>
        <w:rPr>
          <w:rFonts w:hint="eastAsia"/>
          <w:color w:val="000000"/>
        </w:rPr>
        <w:t>第四阶段：</w:t>
      </w:r>
      <w:r>
        <w:rPr>
          <w:color w:val="000000"/>
        </w:rPr>
        <w:tab/>
      </w:r>
      <w:r>
        <w:rPr>
          <w:rFonts w:hint="eastAsia"/>
          <w:color w:val="000000"/>
        </w:rPr>
        <w:t>就报告草案进行各部之间的磋商；</w:t>
      </w:r>
    </w:p>
    <w:p w:rsidR="00692915" w:rsidRDefault="00692915" w:rsidP="009A1C1B">
      <w:pPr>
        <w:numPr>
          <w:ilvl w:val="0"/>
          <w:numId w:val="15"/>
        </w:numPr>
        <w:tabs>
          <w:tab w:val="clear" w:pos="1080"/>
          <w:tab w:val="left" w:pos="1690"/>
        </w:tabs>
        <w:ind w:leftChars="450" w:left="31680" w:hangingChars="200" w:firstLine="31680"/>
        <w:rPr>
          <w:bCs/>
          <w:color w:val="000000"/>
        </w:rPr>
      </w:pPr>
      <w:r>
        <w:rPr>
          <w:rFonts w:hint="eastAsia"/>
          <w:color w:val="000000"/>
        </w:rPr>
        <w:t>第五阶段：最终编辑和审查，向秘书长和各人权委员会提交报告；</w:t>
      </w:r>
    </w:p>
    <w:p w:rsidR="00692915" w:rsidRDefault="00692915" w:rsidP="009A1C1B">
      <w:pPr>
        <w:numPr>
          <w:ilvl w:val="0"/>
          <w:numId w:val="15"/>
        </w:numPr>
        <w:tabs>
          <w:tab w:val="clear" w:pos="1080"/>
          <w:tab w:val="left" w:pos="1690"/>
        </w:tabs>
        <w:spacing w:after="240"/>
        <w:ind w:leftChars="450" w:left="31680" w:hangingChars="200" w:firstLine="31680"/>
        <w:rPr>
          <w:bCs/>
          <w:color w:val="000000"/>
        </w:rPr>
      </w:pPr>
      <w:r>
        <w:rPr>
          <w:rFonts w:hint="eastAsia"/>
          <w:color w:val="000000"/>
        </w:rPr>
        <w:t>第六阶段：在基层</w:t>
      </w:r>
      <w:r>
        <w:rPr>
          <w:rFonts w:hint="eastAsia"/>
          <w:color w:val="000000"/>
        </w:rPr>
        <w:t>/</w:t>
      </w:r>
      <w:r>
        <w:rPr>
          <w:rFonts w:hint="eastAsia"/>
          <w:color w:val="000000"/>
        </w:rPr>
        <w:t>社区一级对报告进行社会化宣传。</w:t>
      </w:r>
    </w:p>
    <w:p w:rsidR="00692915" w:rsidRDefault="00692915" w:rsidP="009A1C1B">
      <w:pPr>
        <w:tabs>
          <w:tab w:val="left" w:pos="1170"/>
        </w:tabs>
        <w:ind w:firstLine="31680"/>
        <w:rPr>
          <w:rFonts w:hint="eastAsia"/>
          <w:color w:val="000000"/>
        </w:rPr>
      </w:pPr>
      <w:r>
        <w:rPr>
          <w:color w:val="000000"/>
        </w:rPr>
        <w:t>347.</w:t>
      </w:r>
      <w:r>
        <w:rPr>
          <w:color w:val="000000"/>
        </w:rPr>
        <w:tab/>
      </w:r>
      <w:r>
        <w:rPr>
          <w:rFonts w:hint="eastAsia"/>
          <w:color w:val="000000"/>
        </w:rPr>
        <w:t>在将条约报告提交给各自的人权委员会后，将进一步针对列出的问题采取措施，最后将针对各人权委员会提出的建议采取相应措施。在编制报告的过程中，总理指派了人权和性别事务联络员协助外交部和</w:t>
      </w:r>
      <w:r>
        <w:rPr>
          <w:color w:val="000000"/>
        </w:rPr>
        <w:t>促进平等事务总理顾问办公室</w:t>
      </w:r>
      <w:r>
        <w:rPr>
          <w:rFonts w:hint="eastAsia"/>
          <w:color w:val="000000"/>
        </w:rPr>
        <w:t>编制政府的条约报告，这些人员积极参与了数据的收集工作。但是需要在未来对这些联络员进行培训，为他们提供相应的支持，以便他们能够更有效地履行报告义务，同时提高他们将各项权利有效纳入各部委的能力。</w:t>
      </w:r>
    </w:p>
    <w:p w:rsidR="00692915" w:rsidRDefault="00692915" w:rsidP="009A1C1B">
      <w:pPr>
        <w:tabs>
          <w:tab w:val="left" w:pos="1170"/>
        </w:tabs>
        <w:ind w:firstLine="31680"/>
        <w:rPr>
          <w:rFonts w:hint="eastAsia"/>
          <w:color w:val="000000"/>
        </w:rPr>
      </w:pPr>
      <w:r>
        <w:rPr>
          <w:color w:val="000000"/>
        </w:rPr>
        <w:t>348.</w:t>
      </w:r>
      <w:r>
        <w:rPr>
          <w:color w:val="000000"/>
        </w:rPr>
        <w:tab/>
      </w:r>
      <w:r>
        <w:rPr>
          <w:rFonts w:hint="eastAsia"/>
          <w:color w:val="000000"/>
        </w:rPr>
        <w:t>为了对数据进行整理和编制所需的报告，</w:t>
      </w:r>
      <w:r>
        <w:rPr>
          <w:rFonts w:hint="eastAsia"/>
          <w:color w:val="000000"/>
        </w:rPr>
        <w:t>2004</w:t>
      </w:r>
      <w:r>
        <w:rPr>
          <w:rFonts w:hint="eastAsia"/>
          <w:color w:val="000000"/>
        </w:rPr>
        <w:t>年</w:t>
      </w:r>
      <w:r>
        <w:rPr>
          <w:rFonts w:hint="eastAsia"/>
          <w:color w:val="000000"/>
        </w:rPr>
        <w:t>12</w:t>
      </w:r>
      <w:r>
        <w:rPr>
          <w:rFonts w:hint="eastAsia"/>
          <w:color w:val="000000"/>
        </w:rPr>
        <w:t>月至</w:t>
      </w:r>
      <w:r>
        <w:rPr>
          <w:rFonts w:hint="eastAsia"/>
          <w:color w:val="000000"/>
        </w:rPr>
        <w:t>2005</w:t>
      </w:r>
      <w:r>
        <w:rPr>
          <w:rFonts w:hint="eastAsia"/>
          <w:color w:val="000000"/>
        </w:rPr>
        <w:t>年</w:t>
      </w:r>
      <w:r>
        <w:rPr>
          <w:rFonts w:hint="eastAsia"/>
          <w:color w:val="000000"/>
        </w:rPr>
        <w:t>7</w:t>
      </w:r>
      <w:r>
        <w:rPr>
          <w:rFonts w:hint="eastAsia"/>
          <w:color w:val="000000"/>
        </w:rPr>
        <w:t>月期间，进行了报告程序的社会化宣传和咨询活动，具体内容如下：</w:t>
      </w:r>
    </w:p>
    <w:p w:rsidR="00692915" w:rsidRDefault="00692915" w:rsidP="009A1C1B">
      <w:pPr>
        <w:numPr>
          <w:ilvl w:val="0"/>
          <w:numId w:val="15"/>
        </w:numPr>
        <w:tabs>
          <w:tab w:val="clear" w:pos="1080"/>
          <w:tab w:val="left" w:pos="1690"/>
        </w:tabs>
        <w:ind w:leftChars="450" w:left="31680" w:hangingChars="200" w:firstLine="31680"/>
        <w:rPr>
          <w:bCs/>
          <w:color w:val="000000"/>
        </w:rPr>
      </w:pPr>
      <w:r>
        <w:rPr>
          <w:rFonts w:hint="eastAsia"/>
          <w:color w:val="000000"/>
        </w:rPr>
        <w:t>首先，在</w:t>
      </w:r>
      <w:r>
        <w:rPr>
          <w:rFonts w:hint="eastAsia"/>
          <w:color w:val="000000"/>
        </w:rPr>
        <w:t>13</w:t>
      </w:r>
      <w:r>
        <w:rPr>
          <w:rFonts w:hint="eastAsia"/>
          <w:color w:val="000000"/>
        </w:rPr>
        <w:t>个地区召开了介绍会议，以便让与会者了解政府的报告义务，鼓励各地区参与该活动，尤其是鼓励各地区提供相关信息，并在事后对政府报告草案提出评论意见；</w:t>
      </w:r>
    </w:p>
    <w:p w:rsidR="00692915" w:rsidRDefault="00692915" w:rsidP="009A1C1B">
      <w:pPr>
        <w:numPr>
          <w:ilvl w:val="0"/>
          <w:numId w:val="15"/>
        </w:numPr>
        <w:tabs>
          <w:tab w:val="clear" w:pos="1080"/>
          <w:tab w:val="left" w:pos="1690"/>
        </w:tabs>
        <w:spacing w:after="240"/>
        <w:ind w:leftChars="450" w:left="31680" w:hangingChars="200" w:firstLine="31680"/>
        <w:rPr>
          <w:bCs/>
          <w:color w:val="000000"/>
        </w:rPr>
      </w:pPr>
      <w:r>
        <w:rPr>
          <w:rFonts w:hint="eastAsia"/>
          <w:color w:val="000000"/>
        </w:rPr>
        <w:t>其次，组织了一系列的地区研讨会</w:t>
      </w:r>
      <w:r>
        <w:rPr>
          <w:rFonts w:hint="eastAsia"/>
          <w:color w:val="000000"/>
        </w:rPr>
        <w:t>/</w:t>
      </w:r>
      <w:r>
        <w:rPr>
          <w:rFonts w:hint="eastAsia"/>
          <w:color w:val="000000"/>
        </w:rPr>
        <w:t>专题小组讨论，参加人员包括地方政府代表和非政府组织的人员，但后者的参与人员有限，因此参与程度要低一些。这些研讨会和讨论会旨在收集相关信息，以编制《共同核心文件》（</w:t>
      </w:r>
      <w:r>
        <w:rPr>
          <w:color w:val="000000"/>
        </w:rPr>
        <w:t>CCD</w:t>
      </w:r>
      <w:r>
        <w:rPr>
          <w:rFonts w:hint="eastAsia"/>
          <w:color w:val="000000"/>
        </w:rPr>
        <w:t>）和条约方面的专门文件。</w:t>
      </w:r>
    </w:p>
    <w:p w:rsidR="00692915" w:rsidRDefault="00692915" w:rsidP="009A1C1B">
      <w:pPr>
        <w:tabs>
          <w:tab w:val="left" w:pos="1170"/>
        </w:tabs>
        <w:ind w:firstLine="31680"/>
        <w:rPr>
          <w:rFonts w:hint="eastAsia"/>
          <w:color w:val="000000"/>
        </w:rPr>
      </w:pPr>
      <w:r>
        <w:rPr>
          <w:color w:val="000000"/>
        </w:rPr>
        <w:t>349.</w:t>
      </w:r>
      <w:r>
        <w:rPr>
          <w:color w:val="000000"/>
        </w:rPr>
        <w:tab/>
      </w:r>
      <w:r>
        <w:rPr>
          <w:rFonts w:hint="eastAsia"/>
          <w:color w:val="000000"/>
        </w:rPr>
        <w:t>地区专题小组的每次访问专门为一个文件收集数据。如：各专题小组首先为《共同核心文件》收集数据，之后召开会议收集</w:t>
      </w:r>
      <w:r>
        <w:rPr>
          <w:color w:val="000000"/>
        </w:rPr>
        <w:t>《儿童权利公约》</w:t>
      </w:r>
      <w:r>
        <w:rPr>
          <w:rFonts w:hint="eastAsia"/>
          <w:color w:val="000000"/>
        </w:rPr>
        <w:t>方面的信息，然后为</w:t>
      </w:r>
      <w:r>
        <w:rPr>
          <w:color w:val="000000"/>
        </w:rPr>
        <w:t>《消除对妇女一切形式歧视公约》</w:t>
      </w:r>
      <w:r>
        <w:rPr>
          <w:rFonts w:hint="eastAsia"/>
          <w:color w:val="000000"/>
        </w:rPr>
        <w:t>的专门文件收集相关信息。每一种情况下，都要召开五次地区会议。在每次会议中，妇女、民间社会和弱势群体代表的参与情况都不同。在某些情况下，民间社会参与程度较高，而在有些情况下，参与程度则较低。地区访问是按照后勤能力而不是政府正式认可的行政分区来确定的。欧库西飞地的地理位置很孤立，因此很少对该地区进行访问。</w:t>
      </w:r>
    </w:p>
    <w:p w:rsidR="00692915" w:rsidRDefault="00692915" w:rsidP="009A1C1B">
      <w:pPr>
        <w:tabs>
          <w:tab w:val="left" w:pos="1170"/>
        </w:tabs>
        <w:ind w:firstLine="31680"/>
        <w:rPr>
          <w:rFonts w:hint="eastAsia"/>
          <w:color w:val="000000"/>
        </w:rPr>
      </w:pPr>
      <w:r>
        <w:rPr>
          <w:color w:val="000000"/>
        </w:rPr>
        <w:t>350.</w:t>
      </w:r>
      <w:r>
        <w:rPr>
          <w:color w:val="000000"/>
        </w:rPr>
        <w:tab/>
      </w:r>
      <w:r>
        <w:rPr>
          <w:rFonts w:hint="eastAsia"/>
          <w:color w:val="000000"/>
        </w:rPr>
        <w:t>东帝汶政府认识到，民间社会参与人权报告过程很重要，这有助于调和各方对政府在实施人权义务过程中取得的进展的看法。政府一直认为，在报告过程中应尽可能与民间社会合作，在准备报告或非正规报告（跟踪报告）的过程中，应坚持民间社会独立自主的原则和价值观。</w:t>
      </w:r>
    </w:p>
    <w:p w:rsidR="00692915" w:rsidRDefault="00692915" w:rsidP="009A1C1B">
      <w:pPr>
        <w:tabs>
          <w:tab w:val="left" w:pos="1170"/>
        </w:tabs>
        <w:ind w:firstLine="31680"/>
        <w:rPr>
          <w:rFonts w:hint="eastAsia"/>
          <w:color w:val="000000"/>
        </w:rPr>
      </w:pPr>
      <w:r>
        <w:rPr>
          <w:color w:val="000000"/>
        </w:rPr>
        <w:t>351.</w:t>
      </w:r>
      <w:r>
        <w:rPr>
          <w:color w:val="000000"/>
        </w:rPr>
        <w:tab/>
      </w:r>
      <w:r>
        <w:rPr>
          <w:rFonts w:hint="eastAsia"/>
          <w:color w:val="000000"/>
        </w:rPr>
        <w:t>为促进民间社会参与报告过程，条约报告小组采取了很多措施，包括经常邀请民间社会参加国家和地区研讨会，为报告草案提供信息等。政府还鼓励联合国和其他机构支持民间组织制定各种旨在参与报告过程的战略。由于采取了这些措施，民间社会提供了大量信息，并在某种程度上为报告草案提出了一些评论意见。</w:t>
      </w:r>
    </w:p>
    <w:p w:rsidR="00692915" w:rsidRDefault="00692915" w:rsidP="009A1C1B">
      <w:pPr>
        <w:tabs>
          <w:tab w:val="left" w:pos="1170"/>
        </w:tabs>
        <w:ind w:firstLine="31680"/>
        <w:rPr>
          <w:rFonts w:hint="eastAsia"/>
          <w:color w:val="000000"/>
        </w:rPr>
      </w:pPr>
      <w:r>
        <w:rPr>
          <w:color w:val="000000"/>
        </w:rPr>
        <w:t>352.</w:t>
      </w:r>
      <w:r>
        <w:rPr>
          <w:color w:val="000000"/>
        </w:rPr>
        <w:tab/>
      </w:r>
      <w:r>
        <w:rPr>
          <w:rFonts w:hint="eastAsia"/>
          <w:color w:val="000000"/>
        </w:rPr>
        <w:t>另外，对于弱势人群，包括儿童、妇女、残疾人和移民也予以了高度重视，这些人群的人权更容易受到侵犯。在有些情况下</w:t>
      </w:r>
      <w:r>
        <w:rPr>
          <w:rFonts w:ascii="SimHei" w:eastAsia="SimHei" w:hint="eastAsia"/>
          <w:color w:val="000000"/>
          <w:spacing w:val="0"/>
        </w:rPr>
        <w:t>——</w:t>
      </w:r>
      <w:r>
        <w:rPr>
          <w:rFonts w:hint="eastAsia"/>
          <w:color w:val="000000"/>
        </w:rPr>
        <w:t>例如：在有关</w:t>
      </w:r>
      <w:r>
        <w:rPr>
          <w:color w:val="000000"/>
        </w:rPr>
        <w:t>《儿童权利公约》</w:t>
      </w:r>
      <w:r>
        <w:rPr>
          <w:rFonts w:hint="eastAsia"/>
          <w:color w:val="000000"/>
        </w:rPr>
        <w:t>和</w:t>
      </w:r>
      <w:r>
        <w:rPr>
          <w:color w:val="000000"/>
        </w:rPr>
        <w:t>《消除对妇女一切形式歧视公约》</w:t>
      </w:r>
      <w:r>
        <w:rPr>
          <w:rFonts w:hint="eastAsia"/>
          <w:color w:val="000000"/>
        </w:rPr>
        <w:t>的方案中，鼓励儿童和妇女参与的专门举措很成功，这些人群提供了非常宝贵的意见。在另一些情况下，由于各地区缺乏鼓励群体参与的专门举措，所有群体中的弱势人群，包括妇女、儿童、残疾人和老人未能达到这一特定弱势人群的理想参与水平。</w:t>
      </w:r>
    </w:p>
    <w:p w:rsidR="00692915" w:rsidRDefault="00692915" w:rsidP="009A1C1B">
      <w:pPr>
        <w:tabs>
          <w:tab w:val="left" w:pos="1170"/>
        </w:tabs>
        <w:spacing w:after="240"/>
        <w:ind w:firstLine="31680"/>
        <w:rPr>
          <w:rFonts w:hint="eastAsia"/>
          <w:color w:val="000000"/>
        </w:rPr>
      </w:pPr>
      <w:r>
        <w:rPr>
          <w:color w:val="000000"/>
        </w:rPr>
        <w:t>353.</w:t>
      </w:r>
      <w:r>
        <w:rPr>
          <w:color w:val="000000"/>
        </w:rPr>
        <w:tab/>
      </w:r>
      <w:r>
        <w:rPr>
          <w:rFonts w:hint="eastAsia"/>
          <w:color w:val="000000"/>
        </w:rPr>
        <w:t>显然，准则所提出的综合条约报告制度旨在避免报告的重复和零散问题。根据该准则，可以对权利进行更全面的综合分析，这种优势是显而易见的，但是东帝汶是一个资源有限的新兴独立国家，而准则所提出的条约报告程序却属于资源密集性的项目，东帝汶的经验显示，准则还需要从概念方面做出更大改进。这说明有必要继续采取措施，以确保报告方法能够满足其目标需求，为促进这一举措的实施，还需要</w:t>
      </w:r>
      <w:r>
        <w:rPr>
          <w:color w:val="000000"/>
        </w:rPr>
        <w:t>人权事务高级专员办事处</w:t>
      </w:r>
      <w:r>
        <w:rPr>
          <w:rFonts w:hint="eastAsia"/>
          <w:color w:val="000000"/>
        </w:rPr>
        <w:t>和国际社会提供充分的支持。</w:t>
      </w:r>
    </w:p>
    <w:p w:rsidR="00692915" w:rsidRDefault="00692915">
      <w:pPr>
        <w:pStyle w:val="Heading2"/>
        <w:tabs>
          <w:tab w:val="left" w:pos="520"/>
        </w:tabs>
        <w:rPr>
          <w:rFonts w:hint="eastAsia"/>
          <w:color w:val="000000"/>
          <w:sz w:val="24"/>
        </w:rPr>
      </w:pPr>
      <w:bookmarkStart w:id="70" w:name="_Toc150514971"/>
      <w:bookmarkStart w:id="71" w:name="_Toc150684874"/>
      <w:r>
        <w:rPr>
          <w:color w:val="000000"/>
          <w:sz w:val="24"/>
        </w:rPr>
        <w:t>E.</w:t>
      </w:r>
      <w:r>
        <w:rPr>
          <w:color w:val="000000"/>
          <w:sz w:val="24"/>
        </w:rPr>
        <w:tab/>
      </w:r>
      <w:bookmarkEnd w:id="70"/>
      <w:bookmarkEnd w:id="71"/>
      <w:r>
        <w:rPr>
          <w:rFonts w:hint="eastAsia"/>
          <w:color w:val="000000"/>
          <w:sz w:val="24"/>
          <w:u w:val="single"/>
        </w:rPr>
        <w:t>《国家人权行动计划》和其他相关的人权信息</w:t>
      </w:r>
    </w:p>
    <w:p w:rsidR="00692915" w:rsidRDefault="00692915" w:rsidP="009A1C1B">
      <w:pPr>
        <w:tabs>
          <w:tab w:val="left" w:pos="1170"/>
        </w:tabs>
        <w:ind w:firstLine="31680"/>
        <w:rPr>
          <w:rFonts w:hint="eastAsia"/>
          <w:color w:val="000000"/>
        </w:rPr>
      </w:pPr>
      <w:r>
        <w:rPr>
          <w:color w:val="000000"/>
        </w:rPr>
        <w:t>354.</w:t>
      </w:r>
      <w:r>
        <w:rPr>
          <w:color w:val="000000"/>
        </w:rPr>
        <w:tab/>
      </w:r>
      <w:r>
        <w:rPr>
          <w:rFonts w:hint="eastAsia"/>
          <w:color w:val="000000"/>
        </w:rPr>
        <w:t>为促进和进一步细化《国家人权行动计划》，总理成立了国家人权行动计划工作组，并指派其人权顾问负责工作组的领导工作。为制定行动计划，人权顾问办公室于</w:t>
      </w:r>
      <w:r>
        <w:rPr>
          <w:rFonts w:hint="eastAsia"/>
          <w:color w:val="000000"/>
        </w:rPr>
        <w:t>2003</w:t>
      </w:r>
      <w:r>
        <w:rPr>
          <w:rFonts w:hint="eastAsia"/>
          <w:color w:val="000000"/>
        </w:rPr>
        <w:t>年</w:t>
      </w:r>
      <w:r>
        <w:rPr>
          <w:rFonts w:hint="eastAsia"/>
          <w:color w:val="000000"/>
        </w:rPr>
        <w:t>12</w:t>
      </w:r>
      <w:r>
        <w:rPr>
          <w:rFonts w:hint="eastAsia"/>
          <w:color w:val="000000"/>
        </w:rPr>
        <w:t>月</w:t>
      </w:r>
      <w:r>
        <w:rPr>
          <w:rFonts w:hint="eastAsia"/>
          <w:color w:val="000000"/>
        </w:rPr>
        <w:t>11</w:t>
      </w:r>
      <w:r>
        <w:rPr>
          <w:rFonts w:hint="eastAsia"/>
          <w:color w:val="000000"/>
        </w:rPr>
        <w:t>日至</w:t>
      </w:r>
      <w:r>
        <w:rPr>
          <w:rFonts w:hint="eastAsia"/>
          <w:color w:val="000000"/>
        </w:rPr>
        <w:t>12</w:t>
      </w:r>
      <w:r>
        <w:rPr>
          <w:rFonts w:hint="eastAsia"/>
          <w:color w:val="000000"/>
        </w:rPr>
        <w:t>日组织了一次国际咨询研讨会，以便为工作组、民间社会和政府提供相关信息，并据此确定将需要什么措施来细化该计划。该研讨会最重要的一项建议就是所有部委、国家和各地区秘书处都应任命一名人权事务联络官员（</w:t>
      </w:r>
      <w:r>
        <w:rPr>
          <w:color w:val="000000"/>
        </w:rPr>
        <w:t>HRFPO</w:t>
      </w:r>
      <w:r>
        <w:rPr>
          <w:rFonts w:hint="eastAsia"/>
          <w:color w:val="000000"/>
        </w:rPr>
        <w:t>）。</w:t>
      </w:r>
      <w:r>
        <w:rPr>
          <w:rStyle w:val="FootnoteReference"/>
          <w:color w:val="000000"/>
        </w:rPr>
        <w:footnoteReference w:id="165"/>
      </w:r>
    </w:p>
    <w:p w:rsidR="00692915" w:rsidRDefault="00692915" w:rsidP="009A1C1B">
      <w:pPr>
        <w:tabs>
          <w:tab w:val="left" w:pos="1170"/>
        </w:tabs>
        <w:ind w:firstLine="31680"/>
        <w:rPr>
          <w:rFonts w:hint="eastAsia"/>
          <w:color w:val="000000"/>
        </w:rPr>
      </w:pPr>
      <w:r>
        <w:rPr>
          <w:color w:val="000000"/>
        </w:rPr>
        <w:t>355.</w:t>
      </w:r>
      <w:r>
        <w:rPr>
          <w:rFonts w:hint="eastAsia"/>
          <w:color w:val="000000"/>
        </w:rPr>
        <w:t xml:space="preserve"> </w:t>
      </w:r>
      <w:r>
        <w:rPr>
          <w:rFonts w:hint="eastAsia"/>
          <w:color w:val="000000"/>
        </w:rPr>
        <w:tab/>
        <w:t>2004</w:t>
      </w:r>
      <w:r>
        <w:rPr>
          <w:rFonts w:hint="eastAsia"/>
          <w:color w:val="000000"/>
        </w:rPr>
        <w:t>年</w:t>
      </w:r>
      <w:r>
        <w:rPr>
          <w:rFonts w:hint="eastAsia"/>
          <w:color w:val="000000"/>
        </w:rPr>
        <w:t>5</w:t>
      </w:r>
      <w:r>
        <w:rPr>
          <w:rFonts w:hint="eastAsia"/>
          <w:color w:val="000000"/>
        </w:rPr>
        <w:t>月</w:t>
      </w:r>
      <w:r>
        <w:rPr>
          <w:rFonts w:hint="eastAsia"/>
          <w:color w:val="000000"/>
        </w:rPr>
        <w:t>3</w:t>
      </w:r>
      <w:r>
        <w:rPr>
          <w:rFonts w:hint="eastAsia"/>
          <w:color w:val="000000"/>
        </w:rPr>
        <w:t>日，</w:t>
      </w:r>
      <w:r>
        <w:rPr>
          <w:rStyle w:val="FootnoteReference"/>
          <w:color w:val="000000"/>
        </w:rPr>
        <w:footnoteReference w:id="166"/>
      </w:r>
      <w:r>
        <w:rPr>
          <w:rFonts w:hint="eastAsia"/>
          <w:color w:val="000000"/>
        </w:rPr>
        <w:t>为人权事务联络官员组织了一次有关数据收集的研讨会，以便对《国家人权行动计划》进行全国性的社会化宣传。继这些活动之后，工作组的任务就是首先了解并在事后向广大行政部门和公众说明《国家人权行动计划》，因为该计划是一个涉及国家、政府和民间社会的国家项目。</w:t>
      </w:r>
      <w:r>
        <w:rPr>
          <w:rStyle w:val="FootnoteReference"/>
          <w:color w:val="000000"/>
        </w:rPr>
        <w:footnoteReference w:id="167"/>
      </w:r>
      <w:r>
        <w:rPr>
          <w:rFonts w:hint="eastAsia"/>
          <w:color w:val="000000"/>
        </w:rPr>
        <w:t>为了向工作组落实这一问题，总理于</w:t>
      </w:r>
      <w:r>
        <w:rPr>
          <w:rFonts w:hint="eastAsia"/>
          <w:color w:val="000000"/>
        </w:rPr>
        <w:t>2004</w:t>
      </w:r>
      <w:r>
        <w:rPr>
          <w:rFonts w:hint="eastAsia"/>
          <w:color w:val="000000"/>
        </w:rPr>
        <w:t>年</w:t>
      </w:r>
      <w:r>
        <w:rPr>
          <w:rFonts w:hint="eastAsia"/>
          <w:color w:val="000000"/>
        </w:rPr>
        <w:t>7</w:t>
      </w:r>
      <w:r>
        <w:rPr>
          <w:rFonts w:hint="eastAsia"/>
          <w:color w:val="000000"/>
        </w:rPr>
        <w:t>月</w:t>
      </w:r>
      <w:r>
        <w:rPr>
          <w:rFonts w:hint="eastAsia"/>
          <w:color w:val="000000"/>
        </w:rPr>
        <w:t>17</w:t>
      </w:r>
      <w:r>
        <w:rPr>
          <w:rFonts w:hint="eastAsia"/>
          <w:color w:val="000000"/>
        </w:rPr>
        <w:t>日召见了工作组成员，要求所有成员在此方面发挥更积极的作用。同时，为了对《公约》进行社会化宣传，突出《国家人权行动计划》对于国家的重要性，</w:t>
      </w:r>
      <w:r>
        <w:rPr>
          <w:rFonts w:hint="eastAsia"/>
          <w:color w:val="000000"/>
        </w:rPr>
        <w:t>2005</w:t>
      </w:r>
      <w:r>
        <w:rPr>
          <w:rFonts w:hint="eastAsia"/>
          <w:color w:val="000000"/>
        </w:rPr>
        <w:t>年</w:t>
      </w:r>
      <w:r>
        <w:rPr>
          <w:rFonts w:hint="eastAsia"/>
          <w:color w:val="000000"/>
        </w:rPr>
        <w:t>6</w:t>
      </w:r>
      <w:r>
        <w:rPr>
          <w:rFonts w:hint="eastAsia"/>
          <w:color w:val="000000"/>
        </w:rPr>
        <w:t>月</w:t>
      </w:r>
      <w:r>
        <w:rPr>
          <w:rFonts w:hint="eastAsia"/>
          <w:color w:val="000000"/>
        </w:rPr>
        <w:t>24</w:t>
      </w:r>
      <w:r>
        <w:rPr>
          <w:rFonts w:hint="eastAsia"/>
          <w:color w:val="000000"/>
        </w:rPr>
        <w:t>日至</w:t>
      </w:r>
      <w:r>
        <w:rPr>
          <w:rFonts w:hint="eastAsia"/>
          <w:color w:val="000000"/>
        </w:rPr>
        <w:t>25</w:t>
      </w:r>
      <w:r>
        <w:rPr>
          <w:rFonts w:hint="eastAsia"/>
          <w:color w:val="000000"/>
        </w:rPr>
        <w:t>日期间就经济、社会和文化权利问题举办了一次重要的研讨会。</w:t>
      </w:r>
      <w:r>
        <w:rPr>
          <w:rStyle w:val="FootnoteReference"/>
          <w:color w:val="000000"/>
        </w:rPr>
        <w:footnoteReference w:id="168"/>
      </w:r>
    </w:p>
    <w:p w:rsidR="00692915" w:rsidRDefault="00692915" w:rsidP="009A1C1B">
      <w:pPr>
        <w:tabs>
          <w:tab w:val="left" w:pos="1170"/>
        </w:tabs>
        <w:ind w:firstLine="31680"/>
        <w:rPr>
          <w:rFonts w:hint="eastAsia"/>
          <w:color w:val="000000"/>
        </w:rPr>
      </w:pPr>
      <w:r>
        <w:rPr>
          <w:color w:val="000000"/>
        </w:rPr>
        <w:t>356.</w:t>
      </w:r>
      <w:r>
        <w:rPr>
          <w:color w:val="000000"/>
        </w:rPr>
        <w:tab/>
      </w:r>
      <w:r>
        <w:rPr>
          <w:rFonts w:hint="eastAsia"/>
          <w:color w:val="000000"/>
        </w:rPr>
        <w:t>工作组的下一项工作就是确定地区研讨会、讲习班和公众听证会的时间表，以讨论《国家人权行动计划》的目标。这些地区研讨会于</w:t>
      </w:r>
      <w:r>
        <w:rPr>
          <w:rFonts w:hint="eastAsia"/>
          <w:color w:val="000000"/>
        </w:rPr>
        <w:t>2004</w:t>
      </w:r>
      <w:r>
        <w:rPr>
          <w:rFonts w:hint="eastAsia"/>
          <w:color w:val="000000"/>
        </w:rPr>
        <w:t>年</w:t>
      </w:r>
      <w:r>
        <w:rPr>
          <w:rFonts w:hint="eastAsia"/>
          <w:color w:val="000000"/>
        </w:rPr>
        <w:t>7</w:t>
      </w:r>
      <w:r>
        <w:rPr>
          <w:rFonts w:hint="eastAsia"/>
          <w:color w:val="000000"/>
        </w:rPr>
        <w:t>月</w:t>
      </w:r>
      <w:r>
        <w:rPr>
          <w:rFonts w:hint="eastAsia"/>
          <w:color w:val="000000"/>
        </w:rPr>
        <w:t>22</w:t>
      </w:r>
      <w:r>
        <w:rPr>
          <w:rFonts w:hint="eastAsia"/>
          <w:color w:val="000000"/>
        </w:rPr>
        <w:t>日至</w:t>
      </w:r>
      <w:r>
        <w:rPr>
          <w:rFonts w:hint="eastAsia"/>
          <w:color w:val="000000"/>
        </w:rPr>
        <w:t>8</w:t>
      </w:r>
      <w:r>
        <w:rPr>
          <w:rFonts w:hint="eastAsia"/>
          <w:color w:val="000000"/>
        </w:rPr>
        <w:t>月</w:t>
      </w:r>
      <w:r>
        <w:rPr>
          <w:rFonts w:hint="eastAsia"/>
          <w:color w:val="000000"/>
        </w:rPr>
        <w:t>12</w:t>
      </w:r>
      <w:r>
        <w:rPr>
          <w:rFonts w:hint="eastAsia"/>
          <w:color w:val="000000"/>
        </w:rPr>
        <w:t>日期间在包考、</w:t>
      </w:r>
      <w:r>
        <w:rPr>
          <w:rStyle w:val="FootnoteReference"/>
          <w:color w:val="000000"/>
        </w:rPr>
        <w:footnoteReference w:id="169"/>
      </w:r>
      <w:r>
        <w:rPr>
          <w:rFonts w:ascii="Arial" w:hAnsi="Arial" w:cs="Arial" w:hint="eastAsia"/>
          <w:color w:val="000000"/>
        </w:rPr>
        <w:t>波波纳罗、埃尔梅拉、洛斯帕洛斯、利基萨、</w:t>
      </w:r>
      <w:r>
        <w:rPr>
          <w:color w:val="000000"/>
        </w:rPr>
        <w:t>马纳图托</w:t>
      </w:r>
      <w:r>
        <w:rPr>
          <w:rFonts w:hint="eastAsia"/>
          <w:color w:val="000000"/>
        </w:rPr>
        <w:t>、毛比塞、</w:t>
      </w:r>
      <w:r>
        <w:rPr>
          <w:rStyle w:val="FootnoteReference"/>
          <w:color w:val="000000"/>
        </w:rPr>
        <w:footnoteReference w:id="170"/>
      </w:r>
      <w:r>
        <w:rPr>
          <w:rFonts w:hint="eastAsia"/>
          <w:color w:val="000000"/>
        </w:rPr>
        <w:t>马利亚纳</w:t>
      </w:r>
      <w:r>
        <w:rPr>
          <w:rStyle w:val="FootnoteReference"/>
          <w:color w:val="000000"/>
        </w:rPr>
        <w:footnoteReference w:id="171"/>
      </w:r>
      <w:r>
        <w:rPr>
          <w:rFonts w:hint="eastAsia"/>
          <w:color w:val="000000"/>
        </w:rPr>
        <w:t>和欧库西</w:t>
      </w:r>
      <w:r>
        <w:rPr>
          <w:rStyle w:val="FootnoteReference"/>
          <w:color w:val="000000"/>
        </w:rPr>
        <w:footnoteReference w:id="172"/>
      </w:r>
      <w:r>
        <w:rPr>
          <w:rFonts w:hint="eastAsia"/>
          <w:color w:val="000000"/>
        </w:rPr>
        <w:t>等地区召开。研讨会的与会人员有</w:t>
      </w:r>
      <w:r>
        <w:rPr>
          <w:color w:val="000000"/>
        </w:rPr>
        <w:t>人权事务总理顾问办公室</w:t>
      </w:r>
      <w:r>
        <w:rPr>
          <w:rFonts w:hint="eastAsia"/>
          <w:color w:val="000000"/>
        </w:rPr>
        <w:t>的所有人员、工作组、国家和地方当局以及国民议会的成员。</w:t>
      </w:r>
      <w:r>
        <w:rPr>
          <w:rStyle w:val="FootnoteReference"/>
          <w:color w:val="000000"/>
        </w:rPr>
        <w:footnoteReference w:id="173"/>
      </w:r>
    </w:p>
    <w:p w:rsidR="00692915" w:rsidRDefault="00692915" w:rsidP="009A1C1B">
      <w:pPr>
        <w:tabs>
          <w:tab w:val="left" w:pos="1170"/>
        </w:tabs>
        <w:ind w:firstLine="31680"/>
        <w:rPr>
          <w:rFonts w:hint="eastAsia"/>
          <w:color w:val="000000"/>
        </w:rPr>
      </w:pPr>
      <w:r>
        <w:rPr>
          <w:color w:val="000000"/>
        </w:rPr>
        <w:t>357.</w:t>
      </w:r>
      <w:r>
        <w:rPr>
          <w:color w:val="000000"/>
        </w:rPr>
        <w:tab/>
      </w:r>
      <w:r>
        <w:rPr>
          <w:rFonts w:hint="eastAsia"/>
          <w:color w:val="000000"/>
        </w:rPr>
        <w:t>至于工作组与公众之间的对话，一方面由工作组成员进行介绍，另一方面由参与者提出问题、意见和建议。这些问题使工作组意识到，有必要更明确地向公众解释公民权利与公民义务之间的关系。</w:t>
      </w:r>
    </w:p>
    <w:p w:rsidR="00692915" w:rsidRDefault="00692915" w:rsidP="009A1C1B">
      <w:pPr>
        <w:tabs>
          <w:tab w:val="left" w:pos="1170"/>
        </w:tabs>
        <w:ind w:firstLine="31680"/>
        <w:rPr>
          <w:rFonts w:hint="eastAsia"/>
          <w:color w:val="000000"/>
        </w:rPr>
      </w:pPr>
      <w:r>
        <w:rPr>
          <w:color w:val="000000"/>
        </w:rPr>
        <w:t>358.</w:t>
      </w:r>
      <w:r>
        <w:rPr>
          <w:color w:val="000000"/>
        </w:rPr>
        <w:tab/>
      </w:r>
      <w:r>
        <w:rPr>
          <w:rFonts w:hint="eastAsia"/>
          <w:color w:val="000000"/>
        </w:rPr>
        <w:t>工作组还认识到，有必要确定《国家发展计划》和《国家人权行动计划》之间的联系，这种联系就是：人们享有免受贫困的权利，减贫是《国家发展计划》的根本目标。</w:t>
      </w:r>
    </w:p>
    <w:p w:rsidR="00692915" w:rsidRDefault="00692915" w:rsidP="009A1C1B">
      <w:pPr>
        <w:tabs>
          <w:tab w:val="left" w:pos="1170"/>
        </w:tabs>
        <w:ind w:firstLine="31680"/>
        <w:rPr>
          <w:rFonts w:hint="eastAsia"/>
          <w:color w:val="000000"/>
        </w:rPr>
      </w:pPr>
      <w:r>
        <w:rPr>
          <w:color w:val="000000"/>
        </w:rPr>
        <w:t>359.</w:t>
      </w:r>
      <w:r>
        <w:rPr>
          <w:color w:val="000000"/>
        </w:rPr>
        <w:tab/>
      </w:r>
      <w:r>
        <w:rPr>
          <w:rFonts w:hint="eastAsia"/>
          <w:color w:val="000000"/>
        </w:rPr>
        <w:t>在启动《国家人权行动计划》公众听证会的宣传之前，人权顾问办公室与工作组一起组织了一次会议，</w:t>
      </w:r>
      <w:r>
        <w:rPr>
          <w:rStyle w:val="FootnoteReference"/>
          <w:color w:val="000000"/>
        </w:rPr>
        <w:footnoteReference w:id="174"/>
      </w:r>
      <w:r>
        <w:rPr>
          <w:rFonts w:hint="eastAsia"/>
          <w:color w:val="000000"/>
        </w:rPr>
        <w:t>以确定相应的指导方针、时间表和战略；选择了</w:t>
      </w:r>
      <w:r>
        <w:rPr>
          <w:rFonts w:hint="eastAsia"/>
          <w:color w:val="000000"/>
        </w:rPr>
        <w:t>7</w:t>
      </w:r>
      <w:r>
        <w:rPr>
          <w:rFonts w:hint="eastAsia"/>
          <w:color w:val="000000"/>
        </w:rPr>
        <w:t>个县</w:t>
      </w:r>
      <w:r>
        <w:rPr>
          <w:rStyle w:val="FootnoteReference"/>
          <w:color w:val="000000"/>
        </w:rPr>
        <w:footnoteReference w:id="175"/>
      </w:r>
      <w:r>
        <w:rPr>
          <w:rFonts w:hint="eastAsia"/>
          <w:color w:val="000000"/>
        </w:rPr>
        <w:t>作为召开会议的地点。公众听证会的突出主题包括：教育、卫生、正义、安全、农业和基础设施。</w:t>
      </w:r>
    </w:p>
    <w:p w:rsidR="00692915" w:rsidRDefault="00692915" w:rsidP="009A1C1B">
      <w:pPr>
        <w:tabs>
          <w:tab w:val="left" w:pos="1170"/>
        </w:tabs>
        <w:ind w:firstLine="31680"/>
        <w:rPr>
          <w:rFonts w:hint="eastAsia"/>
          <w:color w:val="000000"/>
        </w:rPr>
      </w:pPr>
      <w:r>
        <w:rPr>
          <w:color w:val="000000"/>
        </w:rPr>
        <w:t>360.</w:t>
      </w:r>
      <w:r>
        <w:rPr>
          <w:color w:val="000000"/>
        </w:rPr>
        <w:tab/>
      </w:r>
      <w:r>
        <w:rPr>
          <w:rFonts w:hint="eastAsia"/>
          <w:color w:val="000000"/>
        </w:rPr>
        <w:t>这次宣传的结果显示，对于东帝汶的绝大多数人口来说，理解人权的含义以及权利与其日常生活的关系存在着困难。参加地区研讨会和听证会的人数出乎人们意料，</w:t>
      </w:r>
      <w:r>
        <w:rPr>
          <w:rStyle w:val="FootnoteReference"/>
          <w:color w:val="000000"/>
        </w:rPr>
        <w:footnoteReference w:id="176"/>
      </w:r>
      <w:r>
        <w:rPr>
          <w:rFonts w:hint="eastAsia"/>
          <w:color w:val="000000"/>
        </w:rPr>
        <w:t>参与人员来自各个群体和年龄段。</w:t>
      </w:r>
    </w:p>
    <w:p w:rsidR="00692915" w:rsidRDefault="00692915" w:rsidP="009A1C1B">
      <w:pPr>
        <w:tabs>
          <w:tab w:val="left" w:pos="1170"/>
        </w:tabs>
        <w:ind w:firstLine="31680"/>
        <w:rPr>
          <w:rFonts w:hint="eastAsia"/>
          <w:color w:val="000000"/>
        </w:rPr>
      </w:pPr>
      <w:r>
        <w:rPr>
          <w:color w:val="000000"/>
        </w:rPr>
        <w:t>361.</w:t>
      </w:r>
      <w:r>
        <w:rPr>
          <w:color w:val="000000"/>
        </w:rPr>
        <w:tab/>
      </w:r>
      <w:r>
        <w:rPr>
          <w:rFonts w:hint="eastAsia"/>
          <w:color w:val="000000"/>
        </w:rPr>
        <w:t>收集的信息经整理后并入一份综合地区报告，然后根据该报告的信息编制一份基线报告，以用于《国家人权行动计划》的基线报告。</w:t>
      </w:r>
      <w:r>
        <w:rPr>
          <w:rStyle w:val="FootnoteReference"/>
          <w:color w:val="000000"/>
        </w:rPr>
        <w:footnoteReference w:id="177"/>
      </w:r>
      <w:r>
        <w:rPr>
          <w:rFonts w:hint="eastAsia"/>
          <w:color w:val="000000"/>
        </w:rPr>
        <w:t>2005</w:t>
      </w:r>
      <w:r>
        <w:rPr>
          <w:rFonts w:hint="eastAsia"/>
          <w:color w:val="000000"/>
        </w:rPr>
        <w:t>年</w:t>
      </w:r>
      <w:r>
        <w:rPr>
          <w:rFonts w:hint="eastAsia"/>
          <w:color w:val="000000"/>
        </w:rPr>
        <w:t>2</w:t>
      </w:r>
      <w:r>
        <w:rPr>
          <w:rFonts w:hint="eastAsia"/>
          <w:color w:val="000000"/>
        </w:rPr>
        <w:t>月</w:t>
      </w:r>
      <w:r>
        <w:rPr>
          <w:rFonts w:hint="eastAsia"/>
          <w:color w:val="000000"/>
        </w:rPr>
        <w:t>24</w:t>
      </w:r>
      <w:r>
        <w:rPr>
          <w:rFonts w:hint="eastAsia"/>
          <w:color w:val="000000"/>
        </w:rPr>
        <w:t>日至</w:t>
      </w:r>
      <w:r>
        <w:rPr>
          <w:rFonts w:hint="eastAsia"/>
          <w:color w:val="000000"/>
        </w:rPr>
        <w:t>25</w:t>
      </w:r>
      <w:r>
        <w:rPr>
          <w:rFonts w:hint="eastAsia"/>
          <w:color w:val="000000"/>
        </w:rPr>
        <w:t>日组织了一次有关公民权利和政治权利的研讨会，以调和人们对公民和政治权利、经济、社会和文化权利的看法。总理还决定在《国家人权行动计划》的框架内，于</w:t>
      </w:r>
      <w:r>
        <w:rPr>
          <w:rFonts w:hint="eastAsia"/>
          <w:color w:val="000000"/>
        </w:rPr>
        <w:t>2005</w:t>
      </w:r>
      <w:r>
        <w:rPr>
          <w:rFonts w:hint="eastAsia"/>
          <w:color w:val="000000"/>
        </w:rPr>
        <w:t>年</w:t>
      </w:r>
      <w:r>
        <w:rPr>
          <w:rFonts w:hint="eastAsia"/>
          <w:color w:val="000000"/>
        </w:rPr>
        <w:t>3</w:t>
      </w:r>
      <w:r>
        <w:rPr>
          <w:rFonts w:hint="eastAsia"/>
          <w:color w:val="000000"/>
        </w:rPr>
        <w:t>月</w:t>
      </w:r>
      <w:r>
        <w:rPr>
          <w:rFonts w:hint="eastAsia"/>
          <w:color w:val="000000"/>
        </w:rPr>
        <w:t>11</w:t>
      </w:r>
      <w:r>
        <w:rPr>
          <w:rFonts w:hint="eastAsia"/>
          <w:color w:val="000000"/>
        </w:rPr>
        <w:t>日召开一次关于国家廉正问题的研讨会，以促进和发展其善治的政治理念。继这次研讨会之后，又组织了八次为期半天的部级研讨会，会议提出有必要提高公务员在善治方面的能力。</w:t>
      </w:r>
    </w:p>
    <w:p w:rsidR="00692915" w:rsidRDefault="00692915" w:rsidP="009A1C1B">
      <w:pPr>
        <w:tabs>
          <w:tab w:val="left" w:pos="1170"/>
        </w:tabs>
        <w:ind w:firstLine="31680"/>
        <w:rPr>
          <w:rFonts w:hint="eastAsia"/>
          <w:color w:val="000000"/>
        </w:rPr>
      </w:pPr>
      <w:r>
        <w:rPr>
          <w:color w:val="000000"/>
        </w:rPr>
        <w:t>362.</w:t>
      </w:r>
      <w:r>
        <w:rPr>
          <w:color w:val="000000"/>
        </w:rPr>
        <w:tab/>
      </w:r>
      <w:r>
        <w:rPr>
          <w:rFonts w:hint="eastAsia"/>
          <w:color w:val="000000"/>
        </w:rPr>
        <w:t>由于认识到有必要继续与民间社会和国家执行部门之间进行对话，所以顾问办公室于</w:t>
      </w:r>
      <w:r>
        <w:rPr>
          <w:rFonts w:hint="eastAsia"/>
          <w:color w:val="000000"/>
        </w:rPr>
        <w:t>2005</w:t>
      </w:r>
      <w:r>
        <w:rPr>
          <w:rFonts w:hint="eastAsia"/>
          <w:color w:val="000000"/>
        </w:rPr>
        <w:t>年</w:t>
      </w:r>
      <w:r>
        <w:rPr>
          <w:rFonts w:hint="eastAsia"/>
          <w:color w:val="000000"/>
        </w:rPr>
        <w:t>12</w:t>
      </w:r>
      <w:r>
        <w:rPr>
          <w:rFonts w:hint="eastAsia"/>
          <w:color w:val="000000"/>
        </w:rPr>
        <w:t>月</w:t>
      </w:r>
      <w:r>
        <w:rPr>
          <w:rFonts w:hint="eastAsia"/>
          <w:color w:val="000000"/>
        </w:rPr>
        <w:t>1</w:t>
      </w:r>
      <w:r>
        <w:rPr>
          <w:rFonts w:hint="eastAsia"/>
          <w:color w:val="000000"/>
        </w:rPr>
        <w:t>日至</w:t>
      </w:r>
      <w:r>
        <w:rPr>
          <w:rFonts w:hint="eastAsia"/>
          <w:color w:val="000000"/>
        </w:rPr>
        <w:t>2</w:t>
      </w:r>
      <w:r>
        <w:rPr>
          <w:rFonts w:hint="eastAsia"/>
          <w:color w:val="000000"/>
        </w:rPr>
        <w:t>日在帝力组织了一次国际研讨会，研讨会的主题是：“民间社会在巩固和平与民主中的作用”。这次研讨会针对某些问题为国家确定了未来几年中的努力方向</w:t>
      </w:r>
      <w:r>
        <w:rPr>
          <w:rFonts w:ascii="SimHei" w:eastAsia="SimHei" w:hint="eastAsia"/>
          <w:color w:val="000000"/>
          <w:spacing w:val="0"/>
        </w:rPr>
        <w:t>——</w:t>
      </w:r>
      <w:r>
        <w:rPr>
          <w:rFonts w:hint="eastAsia"/>
          <w:color w:val="000000"/>
        </w:rPr>
        <w:t>例如，这些问题包括：教育、政党、宗教事务、反对派的作用以及民间社会的积极参与等。</w:t>
      </w:r>
    </w:p>
    <w:p w:rsidR="00692915" w:rsidRDefault="00692915" w:rsidP="009A1C1B">
      <w:pPr>
        <w:tabs>
          <w:tab w:val="left" w:pos="1170"/>
        </w:tabs>
        <w:ind w:firstLine="31680"/>
        <w:rPr>
          <w:rFonts w:hint="eastAsia"/>
          <w:color w:val="000000"/>
        </w:rPr>
      </w:pPr>
      <w:r>
        <w:rPr>
          <w:color w:val="000000"/>
        </w:rPr>
        <w:t>363.</w:t>
      </w:r>
      <w:r>
        <w:rPr>
          <w:color w:val="000000"/>
        </w:rPr>
        <w:tab/>
      </w:r>
      <w:r>
        <w:rPr>
          <w:rFonts w:hint="eastAsia"/>
          <w:color w:val="000000"/>
        </w:rPr>
        <w:t>继这次研讨会之后，开展了两项重要活动。第一项活动是一次名为“从真诚走向友谊”的对话，这是一次关于东帝汶与邻邦关系的公开讨论，讨论持续了一天的时间。第二项活动是</w:t>
      </w:r>
      <w:r>
        <w:rPr>
          <w:rFonts w:hint="eastAsia"/>
          <w:color w:val="000000"/>
        </w:rPr>
        <w:t>2006</w:t>
      </w:r>
      <w:r>
        <w:rPr>
          <w:rFonts w:hint="eastAsia"/>
          <w:color w:val="000000"/>
        </w:rPr>
        <w:t>年</w:t>
      </w:r>
      <w:r>
        <w:rPr>
          <w:rFonts w:hint="eastAsia"/>
          <w:color w:val="000000"/>
        </w:rPr>
        <w:t>5</w:t>
      </w:r>
      <w:r>
        <w:rPr>
          <w:rFonts w:hint="eastAsia"/>
          <w:color w:val="000000"/>
        </w:rPr>
        <w:t>月</w:t>
      </w:r>
      <w:r>
        <w:rPr>
          <w:rFonts w:hint="eastAsia"/>
          <w:color w:val="000000"/>
        </w:rPr>
        <w:t>22</w:t>
      </w:r>
      <w:r>
        <w:rPr>
          <w:rFonts w:hint="eastAsia"/>
          <w:color w:val="000000"/>
        </w:rPr>
        <w:t>日至</w:t>
      </w:r>
      <w:r>
        <w:rPr>
          <w:rFonts w:hint="eastAsia"/>
          <w:color w:val="000000"/>
        </w:rPr>
        <w:t>23</w:t>
      </w:r>
      <w:r>
        <w:rPr>
          <w:rFonts w:hint="eastAsia"/>
          <w:color w:val="000000"/>
        </w:rPr>
        <w:t>日召开的研讨会，这次研讨会的主题为“政党和媒体在巩固和平与民主中的作用”，其目的是未来继续进行国家执行机构与民间社会之间的对话。值得一提的是，所有这些活动都是相互促进的，一方面有助于公众对《国家人权行动计划》的了解，另一方面有助于人权顾问丰富《国家人权行动计划》的基线报告草案。</w:t>
      </w:r>
    </w:p>
    <w:p w:rsidR="00692915" w:rsidRDefault="00692915" w:rsidP="009A1C1B">
      <w:pPr>
        <w:tabs>
          <w:tab w:val="left" w:pos="1170"/>
        </w:tabs>
        <w:ind w:firstLine="31680"/>
        <w:rPr>
          <w:rFonts w:hint="eastAsia"/>
          <w:color w:val="000000"/>
        </w:rPr>
      </w:pPr>
      <w:r>
        <w:rPr>
          <w:color w:val="000000"/>
        </w:rPr>
        <w:t>364.</w:t>
      </w:r>
      <w:r>
        <w:rPr>
          <w:rFonts w:hint="eastAsia"/>
          <w:color w:val="000000"/>
        </w:rPr>
        <w:tab/>
      </w:r>
      <w:r>
        <w:rPr>
          <w:rFonts w:hint="eastAsia"/>
          <w:color w:val="000000"/>
        </w:rPr>
        <w:t>在制定行动计划的过程中，工作组列出了六个需要在人权方面予以特别关注的重要领域：卫生、教育、司法、农业、基础设施和安全。</w:t>
      </w:r>
    </w:p>
    <w:p w:rsidR="00692915" w:rsidRDefault="00692915" w:rsidP="009A1C1B">
      <w:pPr>
        <w:tabs>
          <w:tab w:val="left" w:pos="1170"/>
        </w:tabs>
        <w:ind w:firstLine="31680"/>
        <w:rPr>
          <w:rFonts w:hint="eastAsia"/>
          <w:color w:val="000000"/>
        </w:rPr>
      </w:pPr>
      <w:r>
        <w:rPr>
          <w:color w:val="000000"/>
        </w:rPr>
        <w:t>365.</w:t>
      </w:r>
      <w:r>
        <w:rPr>
          <w:color w:val="000000"/>
        </w:rPr>
        <w:tab/>
      </w:r>
      <w:r>
        <w:rPr>
          <w:rFonts w:hint="eastAsia"/>
          <w:color w:val="000000"/>
        </w:rPr>
        <w:t>从很大程度上来说，《国家人权行动计划》目前还只是草案形式，可以预计该计划将会特别提到政府在以下方面的承诺：实施各种旨在防止家庭暴力的方案，采取措施打击基于性别的暴力，防止对妇女、儿童和青少年的虐待和性剥削行为。另外，还可以预计将会进一步采取措施保护那些卷入国际儿童收养中的儿童，同时根除童工问题。将会给那些生活和工作在国外的帝汶公民提供更大的援助，将会颁布与外国人（包括生活在东帝汶的难民）有关的法律。</w:t>
      </w:r>
    </w:p>
    <w:p w:rsidR="00692915" w:rsidRDefault="00692915" w:rsidP="009A1C1B">
      <w:pPr>
        <w:tabs>
          <w:tab w:val="left" w:pos="1170"/>
        </w:tabs>
        <w:ind w:firstLine="31680"/>
        <w:rPr>
          <w:rFonts w:hint="eastAsia"/>
          <w:color w:val="000000"/>
        </w:rPr>
      </w:pPr>
      <w:r>
        <w:rPr>
          <w:color w:val="000000"/>
        </w:rPr>
        <w:t>366.</w:t>
      </w:r>
      <w:r>
        <w:rPr>
          <w:rFonts w:hint="eastAsia"/>
          <w:color w:val="000000"/>
        </w:rPr>
        <w:t>此外，将会采取措施保护和促进其他弱势人群例如老人的权利，并将采取更强有力的保护措施，以进一步实现例如卫生等社会经济权利，保护人们免遭艾滋病毒</w:t>
      </w:r>
      <w:r>
        <w:rPr>
          <w:rFonts w:hint="eastAsia"/>
          <w:color w:val="000000"/>
        </w:rPr>
        <w:t>/</w:t>
      </w:r>
      <w:r>
        <w:rPr>
          <w:rFonts w:hint="eastAsia"/>
          <w:color w:val="000000"/>
        </w:rPr>
        <w:t>艾滋病的风险。</w:t>
      </w:r>
    </w:p>
    <w:p w:rsidR="00692915" w:rsidRDefault="00692915" w:rsidP="009A1C1B">
      <w:pPr>
        <w:tabs>
          <w:tab w:val="left" w:pos="1170"/>
        </w:tabs>
        <w:spacing w:after="240"/>
        <w:ind w:firstLine="31680"/>
        <w:rPr>
          <w:rFonts w:hint="eastAsia"/>
          <w:color w:val="000000"/>
        </w:rPr>
      </w:pPr>
      <w:r>
        <w:rPr>
          <w:color w:val="000000"/>
        </w:rPr>
        <w:t>367.</w:t>
      </w:r>
      <w:r>
        <w:rPr>
          <w:color w:val="000000"/>
        </w:rPr>
        <w:tab/>
      </w:r>
      <w:r>
        <w:rPr>
          <w:rFonts w:hint="eastAsia"/>
          <w:color w:val="000000"/>
        </w:rPr>
        <w:t>预计，</w:t>
      </w:r>
      <w:r>
        <w:rPr>
          <w:color w:val="000000"/>
        </w:rPr>
        <w:t>人权事务总理顾问办公室</w:t>
      </w:r>
      <w:r>
        <w:rPr>
          <w:rFonts w:hint="eastAsia"/>
          <w:color w:val="000000"/>
        </w:rPr>
        <w:t>将于</w:t>
      </w:r>
      <w:r>
        <w:rPr>
          <w:rFonts w:hint="eastAsia"/>
          <w:color w:val="000000"/>
        </w:rPr>
        <w:t>2006</w:t>
      </w:r>
      <w:r>
        <w:rPr>
          <w:rFonts w:hint="eastAsia"/>
          <w:color w:val="000000"/>
        </w:rPr>
        <w:t>年</w:t>
      </w:r>
      <w:r>
        <w:rPr>
          <w:rFonts w:hint="eastAsia"/>
          <w:color w:val="000000"/>
        </w:rPr>
        <w:t>5</w:t>
      </w:r>
      <w:r>
        <w:rPr>
          <w:rFonts w:hint="eastAsia"/>
          <w:color w:val="000000"/>
        </w:rPr>
        <w:t>月完成《国家人权行动计划》的草案初稿，但具体情况将取决于资金情况。</w:t>
      </w:r>
      <w:r>
        <w:rPr>
          <w:rStyle w:val="FootnoteReference"/>
          <w:color w:val="000000"/>
        </w:rPr>
        <w:footnoteReference w:id="178"/>
      </w:r>
    </w:p>
    <w:p w:rsidR="00692915" w:rsidRDefault="00692915">
      <w:pPr>
        <w:tabs>
          <w:tab w:val="left" w:pos="1170"/>
        </w:tabs>
        <w:spacing w:after="240"/>
        <w:ind w:firstLineChars="0" w:firstLine="0"/>
        <w:rPr>
          <w:rFonts w:eastAsia="KaiTi_GB2312" w:hint="eastAsia"/>
          <w:bCs/>
          <w:color w:val="000000"/>
        </w:rPr>
      </w:pPr>
      <w:r>
        <w:rPr>
          <w:rFonts w:eastAsia="KaiTi_GB2312" w:hint="eastAsia"/>
          <w:bCs/>
          <w:color w:val="000000"/>
        </w:rPr>
        <w:t>人权大会、行动纲领与宣言的后续行为</w:t>
      </w:r>
    </w:p>
    <w:p w:rsidR="00692915" w:rsidRDefault="00692915" w:rsidP="009A1C1B">
      <w:pPr>
        <w:tabs>
          <w:tab w:val="left" w:pos="1170"/>
        </w:tabs>
        <w:ind w:firstLine="31680"/>
        <w:rPr>
          <w:rFonts w:hint="eastAsia"/>
          <w:color w:val="000000"/>
        </w:rPr>
      </w:pPr>
      <w:r>
        <w:rPr>
          <w:color w:val="000000"/>
        </w:rPr>
        <w:t>368.</w:t>
      </w:r>
      <w:r>
        <w:rPr>
          <w:color w:val="000000"/>
        </w:rPr>
        <w:tab/>
      </w:r>
      <w:r>
        <w:rPr>
          <w:rFonts w:hint="eastAsia"/>
          <w:color w:val="000000"/>
        </w:rPr>
        <w:t>2002</w:t>
      </w:r>
      <w:r>
        <w:rPr>
          <w:rFonts w:hint="eastAsia"/>
          <w:color w:val="000000"/>
        </w:rPr>
        <w:t>年</w:t>
      </w:r>
      <w:r>
        <w:rPr>
          <w:rFonts w:hint="eastAsia"/>
          <w:color w:val="000000"/>
        </w:rPr>
        <w:t>5</w:t>
      </w:r>
      <w:r>
        <w:rPr>
          <w:rFonts w:hint="eastAsia"/>
          <w:color w:val="000000"/>
        </w:rPr>
        <w:t>月</w:t>
      </w:r>
      <w:r>
        <w:rPr>
          <w:rFonts w:hint="eastAsia"/>
          <w:color w:val="000000"/>
        </w:rPr>
        <w:t>20</w:t>
      </w:r>
      <w:r>
        <w:rPr>
          <w:rFonts w:hint="eastAsia"/>
          <w:color w:val="000000"/>
        </w:rPr>
        <w:t>日，在帝力区塔西托卢举行了宣告独立的庆典，联合国秘书长科菲·安南先生阁下在庆典上发表了宣言，继宣言之后，东帝汶正式成立。这次庆典标志着联合国东帝汶过渡行政当局将主权转交给东帝汶民主共和国的领导人，东帝汶自此恢复了其于</w:t>
      </w:r>
      <w:r>
        <w:rPr>
          <w:rFonts w:hint="eastAsia"/>
          <w:color w:val="000000"/>
        </w:rPr>
        <w:t>1975</w:t>
      </w:r>
      <w:r>
        <w:rPr>
          <w:rFonts w:hint="eastAsia"/>
          <w:color w:val="000000"/>
        </w:rPr>
        <w:t>年</w:t>
      </w:r>
      <w:r>
        <w:rPr>
          <w:rFonts w:hint="eastAsia"/>
          <w:color w:val="000000"/>
        </w:rPr>
        <w:t>11</w:t>
      </w:r>
      <w:r>
        <w:rPr>
          <w:rFonts w:hint="eastAsia"/>
          <w:color w:val="000000"/>
        </w:rPr>
        <w:t>月</w:t>
      </w:r>
      <w:r>
        <w:rPr>
          <w:rFonts w:hint="eastAsia"/>
          <w:color w:val="000000"/>
        </w:rPr>
        <w:t>28</w:t>
      </w:r>
      <w:r>
        <w:rPr>
          <w:rFonts w:hint="eastAsia"/>
          <w:color w:val="000000"/>
        </w:rPr>
        <w:t>日在帝力单方面宣布的独立。</w:t>
      </w:r>
    </w:p>
    <w:p w:rsidR="00692915" w:rsidRDefault="00692915" w:rsidP="009A1C1B">
      <w:pPr>
        <w:tabs>
          <w:tab w:val="left" w:pos="1170"/>
        </w:tabs>
        <w:ind w:firstLine="31680"/>
        <w:rPr>
          <w:rFonts w:hint="eastAsia"/>
          <w:color w:val="000000"/>
        </w:rPr>
      </w:pPr>
      <w:r>
        <w:rPr>
          <w:color w:val="000000"/>
        </w:rPr>
        <w:t xml:space="preserve">369. </w:t>
      </w:r>
      <w:r>
        <w:rPr>
          <w:rFonts w:hint="eastAsia"/>
          <w:color w:val="000000"/>
        </w:rPr>
        <w:t>信息社会世界首脑会议是东帝汶派代表参加的首次世界大会（交通通讯部部长奥维迪奥·德·杰索斯·阿马拉尔作为代表参加了这次大会）。在其他一些重要的会议中，东帝汶首次参加了妇女地位委员会第</w:t>
      </w:r>
      <w:r>
        <w:rPr>
          <w:rFonts w:hint="eastAsia"/>
          <w:color w:val="000000"/>
        </w:rPr>
        <w:t>49</w:t>
      </w:r>
      <w:r>
        <w:rPr>
          <w:rFonts w:hint="eastAsia"/>
          <w:color w:val="000000"/>
        </w:rPr>
        <w:t>届会议，以及</w:t>
      </w:r>
      <w:r>
        <w:rPr>
          <w:rFonts w:hint="eastAsia"/>
          <w:color w:val="000000"/>
        </w:rPr>
        <w:t>2005</w:t>
      </w:r>
      <w:r>
        <w:rPr>
          <w:rFonts w:hint="eastAsia"/>
          <w:color w:val="000000"/>
        </w:rPr>
        <w:t>年</w:t>
      </w:r>
      <w:r>
        <w:rPr>
          <w:rFonts w:hint="eastAsia"/>
          <w:color w:val="000000"/>
        </w:rPr>
        <w:t>2</w:t>
      </w:r>
      <w:r>
        <w:rPr>
          <w:rFonts w:hint="eastAsia"/>
          <w:color w:val="000000"/>
        </w:rPr>
        <w:t>月</w:t>
      </w:r>
      <w:r>
        <w:rPr>
          <w:rFonts w:hint="eastAsia"/>
          <w:color w:val="000000"/>
        </w:rPr>
        <w:t>28</w:t>
      </w:r>
      <w:r>
        <w:rPr>
          <w:rFonts w:hint="eastAsia"/>
          <w:color w:val="000000"/>
        </w:rPr>
        <w:t>日至</w:t>
      </w:r>
      <w:r>
        <w:rPr>
          <w:rFonts w:hint="eastAsia"/>
          <w:color w:val="000000"/>
        </w:rPr>
        <w:t>3</w:t>
      </w:r>
      <w:r>
        <w:rPr>
          <w:rFonts w:hint="eastAsia"/>
          <w:color w:val="000000"/>
        </w:rPr>
        <w:t>月</w:t>
      </w:r>
      <w:r>
        <w:rPr>
          <w:rFonts w:hint="eastAsia"/>
          <w:color w:val="000000"/>
        </w:rPr>
        <w:t>11</w:t>
      </w:r>
      <w:r>
        <w:rPr>
          <w:rFonts w:hint="eastAsia"/>
          <w:color w:val="000000"/>
        </w:rPr>
        <w:t>日在纽约举行的</w:t>
      </w:r>
      <w:r>
        <w:rPr>
          <w:rFonts w:hint="eastAsia"/>
          <w:color w:val="000000"/>
        </w:rPr>
        <w:t>10</w:t>
      </w:r>
      <w:r>
        <w:rPr>
          <w:rFonts w:hint="eastAsia"/>
          <w:color w:val="000000"/>
        </w:rPr>
        <w:t>周年纪念活动</w:t>
      </w:r>
      <w:r>
        <w:rPr>
          <w:rFonts w:ascii="SimHei" w:eastAsia="SimHei" w:hint="eastAsia"/>
          <w:color w:val="000000"/>
          <w:spacing w:val="0"/>
        </w:rPr>
        <w:t>——</w:t>
      </w:r>
      <w:r>
        <w:rPr>
          <w:rFonts w:hint="eastAsia"/>
          <w:color w:val="000000"/>
        </w:rPr>
        <w:t>“审查和评价《北京宣言和行动纲要》”。来自东帝汶的代表包括：卫生部的一名代表、促进平等事务</w:t>
      </w:r>
      <w:r>
        <w:rPr>
          <w:color w:val="000000"/>
        </w:rPr>
        <w:t>总理顾问</w:t>
      </w:r>
      <w:r>
        <w:rPr>
          <w:rFonts w:hint="eastAsia"/>
          <w:color w:val="000000"/>
        </w:rPr>
        <w:t>办公室的负责人，以及性别暴力预防项目的项目经理</w:t>
      </w:r>
      <w:r>
        <w:rPr>
          <w:rFonts w:ascii="SimHei" w:eastAsia="SimHei" w:hint="eastAsia"/>
          <w:color w:val="000000"/>
          <w:spacing w:val="0"/>
        </w:rPr>
        <w:t>——</w:t>
      </w:r>
      <w:r>
        <w:rPr>
          <w:rFonts w:hint="eastAsia"/>
          <w:color w:val="000000"/>
        </w:rPr>
        <w:t>该项目是由</w:t>
      </w:r>
      <w:r>
        <w:rPr>
          <w:color w:val="000000"/>
        </w:rPr>
        <w:t>促进平等事务总理顾问办公室</w:t>
      </w:r>
      <w:r>
        <w:rPr>
          <w:rFonts w:hint="eastAsia"/>
          <w:color w:val="000000"/>
        </w:rPr>
        <w:t>负责开展的。</w:t>
      </w:r>
    </w:p>
    <w:p w:rsidR="00692915" w:rsidRDefault="00692915" w:rsidP="009A1C1B">
      <w:pPr>
        <w:tabs>
          <w:tab w:val="left" w:pos="1170"/>
        </w:tabs>
        <w:ind w:firstLine="31680"/>
        <w:rPr>
          <w:rFonts w:hint="eastAsia"/>
          <w:color w:val="000000"/>
        </w:rPr>
      </w:pPr>
      <w:r>
        <w:rPr>
          <w:color w:val="000000"/>
        </w:rPr>
        <w:t>370.</w:t>
      </w:r>
      <w:r>
        <w:rPr>
          <w:color w:val="000000"/>
        </w:rPr>
        <w:tab/>
      </w:r>
      <w:r>
        <w:rPr>
          <w:rFonts w:hint="eastAsia"/>
          <w:color w:val="000000"/>
        </w:rPr>
        <w:t>代表团参加了一系列有关众多问题的圆桌会议讨论，并共同提出了一些与东帝汶特别相关的决议，包括将性别平等观点纳入国家政策和计划、提高妇女经济地位、妇女与维和行动以及人口贩卖等。政府认为参与这些会议非常有益，可以从中吸取其他国家的经验。</w:t>
      </w:r>
    </w:p>
    <w:p w:rsidR="00692915" w:rsidRDefault="00692915" w:rsidP="009A1C1B">
      <w:pPr>
        <w:tabs>
          <w:tab w:val="left" w:pos="1170"/>
        </w:tabs>
        <w:ind w:firstLine="31680"/>
        <w:rPr>
          <w:rFonts w:hint="eastAsia"/>
          <w:color w:val="000000"/>
        </w:rPr>
      </w:pPr>
      <w:r>
        <w:rPr>
          <w:color w:val="000000"/>
        </w:rPr>
        <w:t>371.</w:t>
      </w:r>
      <w:r>
        <w:rPr>
          <w:color w:val="000000"/>
        </w:rPr>
        <w:tab/>
      </w:r>
      <w:r>
        <w:rPr>
          <w:rFonts w:hint="eastAsia"/>
          <w:color w:val="000000"/>
        </w:rPr>
        <w:t>在其国家宣言中，代表团介绍了东帝汶在提高妇女权利方面所取得的进步，以及</w:t>
      </w:r>
      <w:r>
        <w:rPr>
          <w:color w:val="000000"/>
        </w:rPr>
        <w:t>促进平等事务总理顾问办公室</w:t>
      </w:r>
      <w:r>
        <w:rPr>
          <w:rFonts w:hint="eastAsia"/>
          <w:color w:val="000000"/>
        </w:rPr>
        <w:t>目前和未来的活动。代表团特别强调了努力实现所有千年发展目标的重要性。</w:t>
      </w:r>
    </w:p>
    <w:p w:rsidR="00692915" w:rsidRDefault="00692915" w:rsidP="009A1C1B">
      <w:pPr>
        <w:tabs>
          <w:tab w:val="left" w:pos="1170"/>
        </w:tabs>
        <w:ind w:firstLine="31680"/>
        <w:rPr>
          <w:rFonts w:hint="eastAsia"/>
          <w:color w:val="000000"/>
        </w:rPr>
      </w:pPr>
      <w:r>
        <w:rPr>
          <w:color w:val="000000"/>
        </w:rPr>
        <w:t>372.</w:t>
      </w:r>
      <w:r>
        <w:rPr>
          <w:color w:val="000000"/>
        </w:rPr>
        <w:tab/>
      </w:r>
      <w:r>
        <w:rPr>
          <w:rFonts w:hint="eastAsia"/>
          <w:color w:val="000000"/>
        </w:rPr>
        <w:t>大会强调有必要将国际文书（如：</w:t>
      </w:r>
      <w:r>
        <w:rPr>
          <w:color w:val="000000"/>
        </w:rPr>
        <w:t>《消除对妇女一切形式歧视公约》</w:t>
      </w:r>
      <w:r>
        <w:rPr>
          <w:rFonts w:hint="eastAsia"/>
          <w:color w:val="000000"/>
        </w:rPr>
        <w:t>、《行动纲要》和《千年发展目标》）作为构思框架，以此制定国家的各项计划与政策，从而最终实现男女平等和消除贫困的目标。如上所述，政府已经通过</w:t>
      </w:r>
      <w:r>
        <w:rPr>
          <w:color w:val="000000"/>
        </w:rPr>
        <w:t>促进平等事务总理顾问办公室</w:t>
      </w:r>
      <w:r>
        <w:rPr>
          <w:rFonts w:hint="eastAsia"/>
          <w:color w:val="000000"/>
        </w:rPr>
        <w:t>开始实施性别平等主流化措施，这些措施体现在《部门投资方案》、《年度行动计划》、《国家战略与方案（</w:t>
      </w:r>
      <w:r>
        <w:rPr>
          <w:color w:val="000000"/>
        </w:rPr>
        <w:t>CSP</w:t>
      </w:r>
      <w:r>
        <w:rPr>
          <w:rFonts w:hint="eastAsia"/>
          <w:color w:val="000000"/>
        </w:rPr>
        <w:t>）》的各项举措中。</w:t>
      </w:r>
    </w:p>
    <w:p w:rsidR="00692915" w:rsidRDefault="00692915" w:rsidP="009A1C1B">
      <w:pPr>
        <w:tabs>
          <w:tab w:val="left" w:pos="1170"/>
        </w:tabs>
        <w:ind w:firstLine="31680"/>
        <w:rPr>
          <w:rFonts w:hint="eastAsia"/>
          <w:color w:val="000000"/>
        </w:rPr>
      </w:pPr>
      <w:r>
        <w:rPr>
          <w:color w:val="000000"/>
        </w:rPr>
        <w:t>373.</w:t>
      </w:r>
      <w:r>
        <w:rPr>
          <w:color w:val="000000"/>
        </w:rPr>
        <w:tab/>
      </w:r>
      <w:r>
        <w:rPr>
          <w:rFonts w:hint="eastAsia"/>
          <w:color w:val="000000"/>
        </w:rPr>
        <w:t>与《北京行动纲要》各关键领域有关的国家关注重点包括：在目前阶段加大减贫力度、提高妇女在经济方面的潜能、加强国家解决性别暴力的能力。有关性别平等主流化的部分，以及有关</w:t>
      </w:r>
      <w:r>
        <w:rPr>
          <w:color w:val="000000"/>
        </w:rPr>
        <w:t>《消除对妇女一切形式歧视公约》</w:t>
      </w:r>
      <w:r>
        <w:rPr>
          <w:rFonts w:hint="eastAsia"/>
          <w:color w:val="000000"/>
        </w:rPr>
        <w:t>的专门文件已经对这些内容进行了详细阐述。</w:t>
      </w:r>
    </w:p>
    <w:p w:rsidR="00692915" w:rsidRDefault="00692915" w:rsidP="009A1C1B">
      <w:pPr>
        <w:tabs>
          <w:tab w:val="left" w:pos="1170"/>
        </w:tabs>
        <w:ind w:firstLine="31680"/>
        <w:rPr>
          <w:rFonts w:hint="eastAsia"/>
          <w:color w:val="000000"/>
        </w:rPr>
      </w:pPr>
      <w:r>
        <w:rPr>
          <w:color w:val="000000"/>
        </w:rPr>
        <w:t>374.</w:t>
      </w:r>
      <w:r>
        <w:rPr>
          <w:color w:val="000000"/>
        </w:rPr>
        <w:tab/>
      </w:r>
      <w:r>
        <w:rPr>
          <w:rFonts w:hint="eastAsia"/>
          <w:color w:val="000000"/>
        </w:rPr>
        <w:t>东帝汶派代表参加的最近一次世界大会是：</w:t>
      </w:r>
      <w:r>
        <w:rPr>
          <w:rFonts w:hint="eastAsia"/>
          <w:color w:val="000000"/>
        </w:rPr>
        <w:t>2005</w:t>
      </w:r>
      <w:r>
        <w:rPr>
          <w:rFonts w:hint="eastAsia"/>
          <w:color w:val="000000"/>
        </w:rPr>
        <w:t>年</w:t>
      </w:r>
      <w:r>
        <w:rPr>
          <w:rFonts w:hint="eastAsia"/>
          <w:color w:val="000000"/>
        </w:rPr>
        <w:t>9</w:t>
      </w:r>
      <w:r>
        <w:rPr>
          <w:rFonts w:hint="eastAsia"/>
          <w:color w:val="000000"/>
        </w:rPr>
        <w:t>月</w:t>
      </w:r>
      <w:r>
        <w:rPr>
          <w:rFonts w:hint="eastAsia"/>
          <w:color w:val="000000"/>
        </w:rPr>
        <w:t>12</w:t>
      </w:r>
      <w:r>
        <w:rPr>
          <w:rFonts w:hint="eastAsia"/>
          <w:color w:val="000000"/>
        </w:rPr>
        <w:t>日至</w:t>
      </w:r>
      <w:r>
        <w:rPr>
          <w:rFonts w:hint="eastAsia"/>
          <w:color w:val="000000"/>
        </w:rPr>
        <w:t>16</w:t>
      </w:r>
      <w:r>
        <w:rPr>
          <w:rFonts w:hint="eastAsia"/>
          <w:color w:val="000000"/>
        </w:rPr>
        <w:t>日在纽约召开的千年发展目标世界首脑会议。在这次大会上，全球领导人明确了他们的承诺，认为多边主义有助于在所有社会领域改变全球人们的生活，为此目的，需要循序渐进地促进社会的可持续发展，减少并最终完全消除贫困。</w:t>
      </w:r>
    </w:p>
    <w:p w:rsidR="00692915" w:rsidRDefault="00692915" w:rsidP="009A1C1B">
      <w:pPr>
        <w:tabs>
          <w:tab w:val="left" w:pos="1170"/>
        </w:tabs>
        <w:ind w:firstLine="31680"/>
        <w:rPr>
          <w:rFonts w:hint="eastAsia"/>
          <w:color w:val="000000"/>
        </w:rPr>
      </w:pPr>
      <w:r>
        <w:rPr>
          <w:color w:val="000000"/>
        </w:rPr>
        <w:t>375.</w:t>
      </w:r>
      <w:r>
        <w:rPr>
          <w:color w:val="000000"/>
        </w:rPr>
        <w:tab/>
      </w:r>
      <w:r>
        <w:rPr>
          <w:rFonts w:ascii="Arial" w:hAnsi="Arial" w:cs="Arial" w:hint="eastAsia"/>
          <w:color w:val="000000"/>
        </w:rPr>
        <w:t>作为</w:t>
      </w:r>
      <w:r>
        <w:rPr>
          <w:rFonts w:hint="eastAsia"/>
          <w:color w:val="000000"/>
        </w:rPr>
        <w:t>东帝汶政府的代表，总理</w:t>
      </w:r>
      <w:r>
        <w:rPr>
          <w:rFonts w:ascii="Arial" w:hAnsi="Arial" w:cs="Arial" w:hint="eastAsia"/>
          <w:color w:val="000000"/>
        </w:rPr>
        <w:t>马里·阿尔卡蒂里博士阁下重申了政府的承诺，指出东帝汶将努力实施千年发展目标，以便与全球一起做出努力，在所有领域（包括人权）改善全球所有人的生活。</w:t>
      </w:r>
    </w:p>
    <w:p w:rsidR="00692915" w:rsidRDefault="00692915">
      <w:pPr>
        <w:pStyle w:val="Heading1"/>
        <w:tabs>
          <w:tab w:val="left" w:pos="1170"/>
        </w:tabs>
        <w:ind w:firstLineChars="0" w:firstLine="0"/>
        <w:rPr>
          <w:rFonts w:eastAsia="SimHei" w:hint="eastAsia"/>
          <w:b w:val="0"/>
          <w:bCs/>
          <w:color w:val="000000"/>
        </w:rPr>
      </w:pPr>
      <w:bookmarkStart w:id="72" w:name="_Toc150514973"/>
      <w:bookmarkStart w:id="73" w:name="_Toc150684876"/>
      <w:r>
        <w:rPr>
          <w:rFonts w:eastAsia="SimHei" w:hint="eastAsia"/>
          <w:b w:val="0"/>
          <w:bCs/>
          <w:color w:val="000000"/>
        </w:rPr>
        <w:t>三、</w:t>
      </w:r>
      <w:bookmarkEnd w:id="72"/>
      <w:bookmarkEnd w:id="73"/>
      <w:r>
        <w:rPr>
          <w:rFonts w:eastAsia="SimHei" w:hint="eastAsia"/>
          <w:b w:val="0"/>
          <w:bCs/>
          <w:color w:val="000000"/>
          <w:u w:val="single"/>
        </w:rPr>
        <w:t>内容一致的实质性条款</w:t>
      </w:r>
    </w:p>
    <w:p w:rsidR="00692915" w:rsidRDefault="00692915">
      <w:pPr>
        <w:pStyle w:val="Heading2"/>
        <w:tabs>
          <w:tab w:val="left" w:pos="1170"/>
        </w:tabs>
        <w:rPr>
          <w:color w:val="000000"/>
          <w:sz w:val="24"/>
        </w:rPr>
      </w:pPr>
      <w:r>
        <w:rPr>
          <w:color w:val="000000"/>
          <w:sz w:val="24"/>
        </w:rPr>
        <w:t xml:space="preserve">A. </w:t>
      </w:r>
      <w:bookmarkStart w:id="74" w:name="_Toc150514974"/>
      <w:bookmarkStart w:id="75" w:name="_Toc150684877"/>
      <w:r>
        <w:rPr>
          <w:color w:val="000000"/>
          <w:sz w:val="24"/>
        </w:rPr>
        <w:t xml:space="preserve"> </w:t>
      </w:r>
      <w:r>
        <w:rPr>
          <w:rFonts w:hint="eastAsia"/>
          <w:color w:val="000000"/>
          <w:sz w:val="24"/>
          <w:u w:val="single"/>
        </w:rPr>
        <w:t>非歧视与平等</w:t>
      </w:r>
      <w:r>
        <w:rPr>
          <w:rStyle w:val="FootnoteReference"/>
          <w:color w:val="000000"/>
        </w:rPr>
        <w:footnoteReference w:id="179"/>
      </w:r>
      <w:bookmarkEnd w:id="74"/>
      <w:bookmarkEnd w:id="75"/>
    </w:p>
    <w:p w:rsidR="00692915" w:rsidRDefault="00692915" w:rsidP="009A1C1B">
      <w:pPr>
        <w:tabs>
          <w:tab w:val="left" w:pos="1170"/>
        </w:tabs>
        <w:ind w:firstLine="31680"/>
        <w:rPr>
          <w:rFonts w:hint="eastAsia"/>
          <w:color w:val="000000"/>
        </w:rPr>
      </w:pPr>
      <w:r>
        <w:rPr>
          <w:color w:val="000000"/>
        </w:rPr>
        <w:t>376.</w:t>
      </w:r>
      <w:r>
        <w:rPr>
          <w:color w:val="000000"/>
        </w:rPr>
        <w:tab/>
      </w:r>
      <w:r>
        <w:rPr>
          <w:rFonts w:hint="eastAsia"/>
          <w:color w:val="000000"/>
        </w:rPr>
        <w:t>根据《宪法》第</w:t>
      </w:r>
      <w:r>
        <w:rPr>
          <w:rFonts w:hint="eastAsia"/>
          <w:color w:val="000000"/>
        </w:rPr>
        <w:t>16</w:t>
      </w:r>
      <w:r>
        <w:rPr>
          <w:rFonts w:hint="eastAsia"/>
          <w:color w:val="000000"/>
        </w:rPr>
        <w:t>条以及东帝汶签署的各项核心条约，不得基于以下原因对任何人进行歧视：</w:t>
      </w:r>
    </w:p>
    <w:tbl>
      <w:tblPr>
        <w:tblW w:w="0" w:type="auto"/>
        <w:jc w:val="center"/>
        <w:tblInd w:w="89" w:type="dxa"/>
        <w:tblLook w:val="01E0" w:firstRow="1" w:lastRow="1" w:firstColumn="1" w:lastColumn="1" w:noHBand="0" w:noVBand="0"/>
      </w:tblPr>
      <w:tblGrid>
        <w:gridCol w:w="4638"/>
        <w:gridCol w:w="4741"/>
      </w:tblGrid>
      <w:tr w:rsidR="00692915">
        <w:trPr>
          <w:jc w:val="center"/>
        </w:trPr>
        <w:tc>
          <w:tcPr>
            <w:tcW w:w="4638" w:type="dxa"/>
          </w:tcPr>
          <w:p w:rsidR="00692915" w:rsidRDefault="00692915" w:rsidP="009A1C1B">
            <w:pPr>
              <w:pStyle w:val="Header"/>
              <w:tabs>
                <w:tab w:val="clear" w:pos="992"/>
                <w:tab w:val="clear" w:pos="5772"/>
                <w:tab w:val="clear" w:pos="6634"/>
                <w:tab w:val="clear" w:pos="7144"/>
                <w:tab w:val="clear" w:pos="7655"/>
                <w:tab w:val="clear" w:pos="8165"/>
              </w:tabs>
              <w:spacing w:after="120"/>
              <w:ind w:leftChars="413" w:left="31680" w:firstLineChars="0" w:hanging="2"/>
              <w:rPr>
                <w:rFonts w:hint="eastAsia"/>
                <w:color w:val="000000"/>
                <w:u w:val="single"/>
                <w:lang w:eastAsia="zh-CN"/>
              </w:rPr>
            </w:pPr>
            <w:r>
              <w:rPr>
                <w:rFonts w:hint="eastAsia"/>
                <w:color w:val="000000"/>
                <w:lang w:eastAsia="zh-CN"/>
              </w:rPr>
              <w:t>《</w:t>
            </w:r>
            <w:r>
              <w:rPr>
                <w:rFonts w:hint="eastAsia"/>
                <w:color w:val="000000"/>
                <w:u w:val="single"/>
                <w:lang w:eastAsia="zh-CN"/>
              </w:rPr>
              <w:t>东帝汶民主共和国宪法</w:t>
            </w:r>
            <w:r>
              <w:rPr>
                <w:rFonts w:hint="eastAsia"/>
                <w:color w:val="000000"/>
                <w:lang w:eastAsia="zh-CN"/>
              </w:rPr>
              <w:t>》</w:t>
            </w:r>
          </w:p>
        </w:tc>
        <w:tc>
          <w:tcPr>
            <w:tcW w:w="4741" w:type="dxa"/>
          </w:tcPr>
          <w:p w:rsidR="00692915" w:rsidRDefault="00692915" w:rsidP="009A1C1B">
            <w:pPr>
              <w:pStyle w:val="Header"/>
              <w:tabs>
                <w:tab w:val="clear" w:pos="992"/>
                <w:tab w:val="clear" w:pos="5772"/>
                <w:tab w:val="clear" w:pos="6634"/>
                <w:tab w:val="clear" w:pos="7144"/>
                <w:tab w:val="clear" w:pos="7655"/>
                <w:tab w:val="clear" w:pos="8165"/>
                <w:tab w:val="left" w:pos="1170"/>
              </w:tabs>
              <w:spacing w:after="120"/>
              <w:ind w:firstLine="31680"/>
              <w:rPr>
                <w:rFonts w:hint="eastAsia"/>
                <w:color w:val="000000"/>
                <w:u w:val="single"/>
                <w:lang w:eastAsia="zh-CN"/>
              </w:rPr>
            </w:pPr>
            <w:r>
              <w:rPr>
                <w:color w:val="000000"/>
                <w:lang w:eastAsia="zh-CN"/>
              </w:rPr>
              <w:tab/>
            </w:r>
            <w:r>
              <w:rPr>
                <w:rFonts w:hint="eastAsia"/>
                <w:color w:val="000000"/>
                <w:u w:val="single"/>
                <w:lang w:eastAsia="zh-CN"/>
              </w:rPr>
              <w:t>核心人权条约</w:t>
            </w:r>
          </w:p>
        </w:tc>
      </w:tr>
      <w:tr w:rsidR="00692915">
        <w:trPr>
          <w:jc w:val="center"/>
        </w:trPr>
        <w:tc>
          <w:tcPr>
            <w:tcW w:w="4638" w:type="dxa"/>
          </w:tcPr>
          <w:p w:rsidR="00692915" w:rsidRDefault="00692915" w:rsidP="009A1C1B">
            <w:pPr>
              <w:numPr>
                <w:ilvl w:val="0"/>
                <w:numId w:val="16"/>
              </w:numPr>
              <w:tabs>
                <w:tab w:val="clear" w:pos="720"/>
                <w:tab w:val="left" w:pos="1595"/>
              </w:tabs>
              <w:ind w:leftChars="413" w:left="31680" w:hangingChars="200" w:firstLine="31680"/>
              <w:rPr>
                <w:color w:val="000000"/>
              </w:rPr>
            </w:pPr>
            <w:r>
              <w:rPr>
                <w:rFonts w:hint="eastAsia"/>
                <w:color w:val="000000"/>
              </w:rPr>
              <w:t>性别</w:t>
            </w:r>
          </w:p>
        </w:tc>
        <w:tc>
          <w:tcPr>
            <w:tcW w:w="4741" w:type="dxa"/>
          </w:tcPr>
          <w:p w:rsidR="00692915" w:rsidRDefault="00692915" w:rsidP="009A1C1B">
            <w:pPr>
              <w:numPr>
                <w:ilvl w:val="0"/>
                <w:numId w:val="16"/>
              </w:numPr>
              <w:tabs>
                <w:tab w:val="clear" w:pos="720"/>
                <w:tab w:val="left" w:pos="1595"/>
              </w:tabs>
              <w:ind w:leftChars="413" w:left="31680" w:hangingChars="200" w:firstLine="31680"/>
              <w:rPr>
                <w:color w:val="000000"/>
              </w:rPr>
            </w:pPr>
            <w:r>
              <w:rPr>
                <w:rFonts w:hint="eastAsia"/>
                <w:color w:val="000000"/>
              </w:rPr>
              <w:t>性别</w:t>
            </w:r>
          </w:p>
        </w:tc>
      </w:tr>
      <w:tr w:rsidR="00692915">
        <w:trPr>
          <w:jc w:val="center"/>
        </w:trPr>
        <w:tc>
          <w:tcPr>
            <w:tcW w:w="4638" w:type="dxa"/>
          </w:tcPr>
          <w:p w:rsidR="00692915" w:rsidRDefault="00692915" w:rsidP="009A1C1B">
            <w:pPr>
              <w:numPr>
                <w:ilvl w:val="0"/>
                <w:numId w:val="16"/>
              </w:numPr>
              <w:tabs>
                <w:tab w:val="clear" w:pos="720"/>
                <w:tab w:val="left" w:pos="1595"/>
              </w:tabs>
              <w:ind w:leftChars="413" w:left="31680" w:hangingChars="200" w:firstLine="31680"/>
              <w:rPr>
                <w:color w:val="000000"/>
              </w:rPr>
            </w:pPr>
            <w:r>
              <w:rPr>
                <w:rFonts w:hint="eastAsia"/>
                <w:color w:val="000000"/>
              </w:rPr>
              <w:t>种族</w:t>
            </w:r>
            <w:r>
              <w:rPr>
                <w:rFonts w:hint="eastAsia"/>
                <w:color w:val="000000"/>
              </w:rPr>
              <w:t>/</w:t>
            </w:r>
            <w:r>
              <w:rPr>
                <w:rFonts w:hint="eastAsia"/>
                <w:color w:val="000000"/>
              </w:rPr>
              <w:t>肤色</w:t>
            </w:r>
          </w:p>
        </w:tc>
        <w:tc>
          <w:tcPr>
            <w:tcW w:w="4741" w:type="dxa"/>
          </w:tcPr>
          <w:p w:rsidR="00692915" w:rsidRDefault="00692915" w:rsidP="009A1C1B">
            <w:pPr>
              <w:numPr>
                <w:ilvl w:val="0"/>
                <w:numId w:val="16"/>
              </w:numPr>
              <w:tabs>
                <w:tab w:val="clear" w:pos="720"/>
                <w:tab w:val="left" w:pos="1595"/>
              </w:tabs>
              <w:ind w:leftChars="413" w:left="31680" w:hangingChars="200" w:firstLine="31680"/>
              <w:rPr>
                <w:color w:val="000000"/>
              </w:rPr>
            </w:pPr>
            <w:r>
              <w:rPr>
                <w:rFonts w:hint="eastAsia"/>
                <w:color w:val="000000"/>
              </w:rPr>
              <w:t>肤色</w:t>
            </w:r>
          </w:p>
        </w:tc>
      </w:tr>
      <w:tr w:rsidR="00692915">
        <w:trPr>
          <w:jc w:val="center"/>
        </w:trPr>
        <w:tc>
          <w:tcPr>
            <w:tcW w:w="4638" w:type="dxa"/>
          </w:tcPr>
          <w:p w:rsidR="00692915" w:rsidRDefault="00692915" w:rsidP="009A1C1B">
            <w:pPr>
              <w:numPr>
                <w:ilvl w:val="0"/>
                <w:numId w:val="16"/>
              </w:numPr>
              <w:tabs>
                <w:tab w:val="clear" w:pos="720"/>
                <w:tab w:val="left" w:pos="1595"/>
              </w:tabs>
              <w:ind w:leftChars="413" w:left="31680" w:hangingChars="200" w:firstLine="31680"/>
              <w:rPr>
                <w:color w:val="000000"/>
              </w:rPr>
            </w:pPr>
            <w:r>
              <w:rPr>
                <w:rFonts w:hint="eastAsia"/>
                <w:color w:val="000000"/>
              </w:rPr>
              <w:t>种族起源</w:t>
            </w:r>
          </w:p>
        </w:tc>
        <w:tc>
          <w:tcPr>
            <w:tcW w:w="4741" w:type="dxa"/>
          </w:tcPr>
          <w:p w:rsidR="00692915" w:rsidRDefault="00692915" w:rsidP="009A1C1B">
            <w:pPr>
              <w:numPr>
                <w:ilvl w:val="0"/>
                <w:numId w:val="16"/>
              </w:numPr>
              <w:tabs>
                <w:tab w:val="clear" w:pos="720"/>
                <w:tab w:val="left" w:pos="1595"/>
              </w:tabs>
              <w:ind w:leftChars="413" w:left="31680" w:hangingChars="200" w:firstLine="31680"/>
              <w:rPr>
                <w:color w:val="000000"/>
              </w:rPr>
            </w:pPr>
            <w:r>
              <w:rPr>
                <w:rFonts w:hint="eastAsia"/>
                <w:color w:val="000000"/>
              </w:rPr>
              <w:t>种族、民族或社会起源</w:t>
            </w:r>
          </w:p>
        </w:tc>
      </w:tr>
      <w:tr w:rsidR="00692915">
        <w:trPr>
          <w:jc w:val="center"/>
        </w:trPr>
        <w:tc>
          <w:tcPr>
            <w:tcW w:w="4638" w:type="dxa"/>
          </w:tcPr>
          <w:p w:rsidR="00692915" w:rsidRDefault="00692915" w:rsidP="009A1C1B">
            <w:pPr>
              <w:numPr>
                <w:ilvl w:val="0"/>
                <w:numId w:val="16"/>
              </w:numPr>
              <w:tabs>
                <w:tab w:val="clear" w:pos="720"/>
                <w:tab w:val="left" w:pos="1595"/>
              </w:tabs>
              <w:ind w:leftChars="413" w:left="31680" w:hangingChars="200" w:firstLine="31680"/>
              <w:rPr>
                <w:color w:val="000000"/>
              </w:rPr>
            </w:pPr>
            <w:r>
              <w:rPr>
                <w:rFonts w:hint="eastAsia"/>
                <w:color w:val="000000"/>
              </w:rPr>
              <w:t>没有规定</w:t>
            </w:r>
          </w:p>
        </w:tc>
        <w:tc>
          <w:tcPr>
            <w:tcW w:w="4741" w:type="dxa"/>
          </w:tcPr>
          <w:p w:rsidR="00692915" w:rsidRDefault="00692915" w:rsidP="009A1C1B">
            <w:pPr>
              <w:numPr>
                <w:ilvl w:val="0"/>
                <w:numId w:val="16"/>
              </w:numPr>
              <w:tabs>
                <w:tab w:val="clear" w:pos="720"/>
                <w:tab w:val="left" w:pos="1595"/>
              </w:tabs>
              <w:ind w:leftChars="413" w:left="31680" w:hangingChars="200" w:firstLine="31680"/>
              <w:rPr>
                <w:color w:val="000000"/>
              </w:rPr>
            </w:pPr>
            <w:r>
              <w:rPr>
                <w:rFonts w:hint="eastAsia"/>
                <w:color w:val="000000"/>
              </w:rPr>
              <w:t>年龄</w:t>
            </w:r>
          </w:p>
        </w:tc>
      </w:tr>
      <w:tr w:rsidR="00692915">
        <w:trPr>
          <w:jc w:val="center"/>
        </w:trPr>
        <w:tc>
          <w:tcPr>
            <w:tcW w:w="4638" w:type="dxa"/>
          </w:tcPr>
          <w:p w:rsidR="00692915" w:rsidRDefault="00692915" w:rsidP="009A1C1B">
            <w:pPr>
              <w:numPr>
                <w:ilvl w:val="0"/>
                <w:numId w:val="16"/>
              </w:numPr>
              <w:tabs>
                <w:tab w:val="clear" w:pos="720"/>
                <w:tab w:val="left" w:pos="1595"/>
              </w:tabs>
              <w:ind w:leftChars="413" w:left="31680" w:hangingChars="200" w:firstLine="31680"/>
              <w:rPr>
                <w:color w:val="000000"/>
              </w:rPr>
            </w:pPr>
            <w:r>
              <w:rPr>
                <w:rFonts w:hint="eastAsia"/>
                <w:color w:val="000000"/>
              </w:rPr>
              <w:t>语言</w:t>
            </w:r>
          </w:p>
        </w:tc>
        <w:tc>
          <w:tcPr>
            <w:tcW w:w="4741" w:type="dxa"/>
          </w:tcPr>
          <w:p w:rsidR="00692915" w:rsidRDefault="00692915" w:rsidP="009A1C1B">
            <w:pPr>
              <w:numPr>
                <w:ilvl w:val="0"/>
                <w:numId w:val="16"/>
              </w:numPr>
              <w:tabs>
                <w:tab w:val="clear" w:pos="720"/>
                <w:tab w:val="left" w:pos="1595"/>
              </w:tabs>
              <w:ind w:leftChars="413" w:left="31680" w:hangingChars="200" w:firstLine="31680"/>
              <w:rPr>
                <w:color w:val="000000"/>
              </w:rPr>
            </w:pPr>
            <w:r>
              <w:rPr>
                <w:rFonts w:hint="eastAsia"/>
                <w:color w:val="000000"/>
              </w:rPr>
              <w:t>语言</w:t>
            </w:r>
          </w:p>
        </w:tc>
      </w:tr>
      <w:tr w:rsidR="00692915">
        <w:trPr>
          <w:jc w:val="center"/>
        </w:trPr>
        <w:tc>
          <w:tcPr>
            <w:tcW w:w="4638" w:type="dxa"/>
          </w:tcPr>
          <w:p w:rsidR="00692915" w:rsidRDefault="00692915" w:rsidP="009A1C1B">
            <w:pPr>
              <w:numPr>
                <w:ilvl w:val="0"/>
                <w:numId w:val="16"/>
              </w:numPr>
              <w:tabs>
                <w:tab w:val="clear" w:pos="720"/>
                <w:tab w:val="left" w:pos="1595"/>
              </w:tabs>
              <w:ind w:leftChars="413" w:left="31680" w:hangingChars="200" w:firstLine="31680"/>
              <w:rPr>
                <w:color w:val="000000"/>
              </w:rPr>
            </w:pPr>
            <w:r>
              <w:rPr>
                <w:rFonts w:hint="eastAsia"/>
                <w:color w:val="000000"/>
              </w:rPr>
              <w:t>政治或意识形态</w:t>
            </w:r>
          </w:p>
        </w:tc>
        <w:tc>
          <w:tcPr>
            <w:tcW w:w="4741" w:type="dxa"/>
          </w:tcPr>
          <w:p w:rsidR="00692915" w:rsidRDefault="00692915" w:rsidP="009A1C1B">
            <w:pPr>
              <w:numPr>
                <w:ilvl w:val="0"/>
                <w:numId w:val="16"/>
              </w:numPr>
              <w:tabs>
                <w:tab w:val="clear" w:pos="720"/>
                <w:tab w:val="left" w:pos="1595"/>
              </w:tabs>
              <w:ind w:leftChars="413" w:left="31680" w:hangingChars="200" w:firstLine="31680"/>
              <w:rPr>
                <w:color w:val="000000"/>
              </w:rPr>
            </w:pPr>
            <w:r>
              <w:rPr>
                <w:rFonts w:hint="eastAsia"/>
                <w:color w:val="000000"/>
              </w:rPr>
              <w:t>政治观点或其他观点</w:t>
            </w:r>
          </w:p>
        </w:tc>
      </w:tr>
      <w:tr w:rsidR="00692915">
        <w:trPr>
          <w:jc w:val="center"/>
        </w:trPr>
        <w:tc>
          <w:tcPr>
            <w:tcW w:w="4638" w:type="dxa"/>
          </w:tcPr>
          <w:p w:rsidR="00692915" w:rsidRDefault="00692915" w:rsidP="009A1C1B">
            <w:pPr>
              <w:numPr>
                <w:ilvl w:val="0"/>
                <w:numId w:val="16"/>
              </w:numPr>
              <w:tabs>
                <w:tab w:val="clear" w:pos="720"/>
                <w:tab w:val="left" w:pos="1595"/>
              </w:tabs>
              <w:ind w:leftChars="413" w:left="31680" w:hangingChars="200" w:firstLine="31680"/>
              <w:rPr>
                <w:color w:val="000000"/>
              </w:rPr>
            </w:pPr>
            <w:r>
              <w:rPr>
                <w:rFonts w:hint="eastAsia"/>
                <w:color w:val="000000"/>
              </w:rPr>
              <w:t>宗教</w:t>
            </w:r>
          </w:p>
        </w:tc>
        <w:tc>
          <w:tcPr>
            <w:tcW w:w="4741" w:type="dxa"/>
          </w:tcPr>
          <w:p w:rsidR="00692915" w:rsidRDefault="00692915" w:rsidP="009A1C1B">
            <w:pPr>
              <w:numPr>
                <w:ilvl w:val="0"/>
                <w:numId w:val="16"/>
              </w:numPr>
              <w:tabs>
                <w:tab w:val="clear" w:pos="720"/>
                <w:tab w:val="left" w:pos="1595"/>
              </w:tabs>
              <w:ind w:leftChars="413" w:left="31680" w:hangingChars="200" w:firstLine="31680"/>
              <w:rPr>
                <w:color w:val="000000"/>
              </w:rPr>
            </w:pPr>
            <w:r>
              <w:rPr>
                <w:rFonts w:hint="eastAsia"/>
                <w:color w:val="000000"/>
              </w:rPr>
              <w:t>宗教信仰</w:t>
            </w:r>
          </w:p>
        </w:tc>
      </w:tr>
      <w:tr w:rsidR="00692915">
        <w:trPr>
          <w:trHeight w:val="276"/>
          <w:jc w:val="center"/>
        </w:trPr>
        <w:tc>
          <w:tcPr>
            <w:tcW w:w="4638" w:type="dxa"/>
          </w:tcPr>
          <w:p w:rsidR="00692915" w:rsidRDefault="00692915" w:rsidP="009A1C1B">
            <w:pPr>
              <w:numPr>
                <w:ilvl w:val="0"/>
                <w:numId w:val="16"/>
              </w:numPr>
              <w:tabs>
                <w:tab w:val="clear" w:pos="720"/>
                <w:tab w:val="left" w:pos="1595"/>
              </w:tabs>
              <w:ind w:leftChars="413" w:left="31680" w:hangingChars="200" w:firstLine="31680"/>
              <w:rPr>
                <w:color w:val="000000"/>
              </w:rPr>
            </w:pPr>
            <w:r>
              <w:rPr>
                <w:rFonts w:hint="eastAsia"/>
                <w:color w:val="000000"/>
              </w:rPr>
              <w:t>身心状况</w:t>
            </w:r>
          </w:p>
        </w:tc>
        <w:tc>
          <w:tcPr>
            <w:tcW w:w="4741" w:type="dxa"/>
          </w:tcPr>
          <w:p w:rsidR="00692915" w:rsidRDefault="00692915" w:rsidP="009A1C1B">
            <w:pPr>
              <w:numPr>
                <w:ilvl w:val="0"/>
                <w:numId w:val="16"/>
              </w:numPr>
              <w:tabs>
                <w:tab w:val="clear" w:pos="720"/>
                <w:tab w:val="left" w:pos="1595"/>
              </w:tabs>
              <w:ind w:leftChars="413" w:left="31680" w:hangingChars="200" w:firstLine="31680"/>
              <w:rPr>
                <w:color w:val="000000"/>
              </w:rPr>
            </w:pPr>
            <w:r>
              <w:rPr>
                <w:rFonts w:hint="eastAsia"/>
                <w:color w:val="000000"/>
              </w:rPr>
              <w:t>残疾</w:t>
            </w:r>
          </w:p>
        </w:tc>
      </w:tr>
      <w:tr w:rsidR="00692915">
        <w:trPr>
          <w:trHeight w:val="276"/>
          <w:jc w:val="center"/>
        </w:trPr>
        <w:tc>
          <w:tcPr>
            <w:tcW w:w="4638" w:type="dxa"/>
          </w:tcPr>
          <w:p w:rsidR="00692915" w:rsidRDefault="00692915" w:rsidP="009A1C1B">
            <w:pPr>
              <w:pStyle w:val="Header"/>
              <w:tabs>
                <w:tab w:val="clear" w:pos="992"/>
                <w:tab w:val="clear" w:pos="5772"/>
                <w:tab w:val="clear" w:pos="6634"/>
                <w:tab w:val="clear" w:pos="7144"/>
                <w:tab w:val="clear" w:pos="7655"/>
                <w:tab w:val="clear" w:pos="8165"/>
                <w:tab w:val="left" w:pos="1170"/>
              </w:tabs>
              <w:ind w:firstLine="31680"/>
              <w:rPr>
                <w:color w:val="000000"/>
                <w:lang w:eastAsia="zh-CN"/>
              </w:rPr>
            </w:pPr>
          </w:p>
        </w:tc>
        <w:tc>
          <w:tcPr>
            <w:tcW w:w="4741" w:type="dxa"/>
          </w:tcPr>
          <w:p w:rsidR="00692915" w:rsidRDefault="00692915" w:rsidP="009A1C1B">
            <w:pPr>
              <w:numPr>
                <w:ilvl w:val="0"/>
                <w:numId w:val="16"/>
              </w:numPr>
              <w:tabs>
                <w:tab w:val="clear" w:pos="720"/>
                <w:tab w:val="left" w:pos="1595"/>
              </w:tabs>
              <w:ind w:leftChars="413" w:left="31680" w:hangingChars="200" w:firstLine="31680"/>
              <w:rPr>
                <w:color w:val="000000"/>
              </w:rPr>
            </w:pPr>
            <w:r>
              <w:rPr>
                <w:rFonts w:hint="eastAsia"/>
                <w:color w:val="000000"/>
              </w:rPr>
              <w:t>艾滋病毒</w:t>
            </w:r>
            <w:r>
              <w:rPr>
                <w:rFonts w:hint="eastAsia"/>
                <w:color w:val="000000"/>
              </w:rPr>
              <w:t>/</w:t>
            </w:r>
            <w:r>
              <w:rPr>
                <w:rFonts w:hint="eastAsia"/>
                <w:color w:val="000000"/>
              </w:rPr>
              <w:t>艾滋病患者</w:t>
            </w:r>
          </w:p>
        </w:tc>
      </w:tr>
      <w:tr w:rsidR="00692915">
        <w:trPr>
          <w:jc w:val="center"/>
        </w:trPr>
        <w:tc>
          <w:tcPr>
            <w:tcW w:w="4638" w:type="dxa"/>
          </w:tcPr>
          <w:p w:rsidR="00692915" w:rsidRDefault="00692915" w:rsidP="009A1C1B">
            <w:pPr>
              <w:numPr>
                <w:ilvl w:val="0"/>
                <w:numId w:val="16"/>
              </w:numPr>
              <w:tabs>
                <w:tab w:val="clear" w:pos="720"/>
                <w:tab w:val="left" w:pos="1595"/>
              </w:tabs>
              <w:ind w:leftChars="413" w:left="31680" w:hangingChars="200" w:firstLine="31680"/>
              <w:rPr>
                <w:color w:val="000000"/>
              </w:rPr>
            </w:pPr>
            <w:r>
              <w:rPr>
                <w:rFonts w:hint="eastAsia"/>
                <w:color w:val="000000"/>
              </w:rPr>
              <w:t>没有规定</w:t>
            </w:r>
          </w:p>
        </w:tc>
        <w:tc>
          <w:tcPr>
            <w:tcW w:w="4741" w:type="dxa"/>
          </w:tcPr>
          <w:p w:rsidR="00692915" w:rsidRDefault="00692915" w:rsidP="009A1C1B">
            <w:pPr>
              <w:numPr>
                <w:ilvl w:val="0"/>
                <w:numId w:val="16"/>
              </w:numPr>
              <w:tabs>
                <w:tab w:val="clear" w:pos="720"/>
                <w:tab w:val="left" w:pos="1595"/>
              </w:tabs>
              <w:ind w:leftChars="413" w:left="31680" w:hangingChars="200" w:firstLine="31680"/>
              <w:rPr>
                <w:color w:val="000000"/>
              </w:rPr>
            </w:pPr>
            <w:r>
              <w:rPr>
                <w:rFonts w:hint="eastAsia"/>
                <w:color w:val="000000"/>
              </w:rPr>
              <w:t>出生</w:t>
            </w:r>
          </w:p>
        </w:tc>
      </w:tr>
      <w:tr w:rsidR="00692915">
        <w:trPr>
          <w:jc w:val="center"/>
        </w:trPr>
        <w:tc>
          <w:tcPr>
            <w:tcW w:w="4638" w:type="dxa"/>
          </w:tcPr>
          <w:p w:rsidR="00692915" w:rsidRDefault="00692915" w:rsidP="009A1C1B">
            <w:pPr>
              <w:numPr>
                <w:ilvl w:val="0"/>
                <w:numId w:val="16"/>
              </w:numPr>
              <w:tabs>
                <w:tab w:val="clear" w:pos="720"/>
                <w:tab w:val="left" w:pos="1595"/>
              </w:tabs>
              <w:ind w:leftChars="413" w:left="31680" w:hangingChars="200" w:firstLine="31680"/>
              <w:rPr>
                <w:color w:val="000000"/>
              </w:rPr>
            </w:pPr>
            <w:r>
              <w:rPr>
                <w:rFonts w:hint="eastAsia"/>
                <w:color w:val="000000"/>
              </w:rPr>
              <w:t>婚姻状况</w:t>
            </w:r>
          </w:p>
        </w:tc>
        <w:tc>
          <w:tcPr>
            <w:tcW w:w="4741" w:type="dxa"/>
          </w:tcPr>
          <w:p w:rsidR="00692915" w:rsidRDefault="00692915" w:rsidP="009A1C1B">
            <w:pPr>
              <w:numPr>
                <w:ilvl w:val="0"/>
                <w:numId w:val="16"/>
              </w:numPr>
              <w:tabs>
                <w:tab w:val="clear" w:pos="720"/>
                <w:tab w:val="left" w:pos="1595"/>
              </w:tabs>
              <w:ind w:leftChars="413" w:left="31680" w:hangingChars="200" w:firstLine="31680"/>
              <w:rPr>
                <w:color w:val="000000"/>
              </w:rPr>
            </w:pPr>
            <w:r>
              <w:rPr>
                <w:rFonts w:hint="eastAsia"/>
                <w:color w:val="000000"/>
              </w:rPr>
              <w:t>婚姻状况</w:t>
            </w:r>
          </w:p>
        </w:tc>
      </w:tr>
      <w:tr w:rsidR="00692915">
        <w:trPr>
          <w:jc w:val="center"/>
        </w:trPr>
        <w:tc>
          <w:tcPr>
            <w:tcW w:w="4638" w:type="dxa"/>
          </w:tcPr>
          <w:p w:rsidR="00692915" w:rsidRDefault="00692915" w:rsidP="009A1C1B">
            <w:pPr>
              <w:numPr>
                <w:ilvl w:val="0"/>
                <w:numId w:val="16"/>
              </w:numPr>
              <w:tabs>
                <w:tab w:val="clear" w:pos="720"/>
                <w:tab w:val="left" w:pos="1595"/>
              </w:tabs>
              <w:ind w:leftChars="413" w:left="31680" w:hangingChars="200" w:firstLine="31680"/>
              <w:rPr>
                <w:color w:val="000000"/>
              </w:rPr>
            </w:pPr>
            <w:r>
              <w:rPr>
                <w:rFonts w:hint="eastAsia"/>
                <w:color w:val="000000"/>
              </w:rPr>
              <w:t>没有规定</w:t>
            </w:r>
          </w:p>
        </w:tc>
        <w:tc>
          <w:tcPr>
            <w:tcW w:w="4741" w:type="dxa"/>
          </w:tcPr>
          <w:p w:rsidR="00692915" w:rsidRDefault="00692915" w:rsidP="009A1C1B">
            <w:pPr>
              <w:numPr>
                <w:ilvl w:val="0"/>
                <w:numId w:val="16"/>
              </w:numPr>
              <w:tabs>
                <w:tab w:val="clear" w:pos="720"/>
                <w:tab w:val="left" w:pos="1595"/>
              </w:tabs>
              <w:ind w:leftChars="413" w:left="31680" w:hangingChars="200" w:firstLine="31680"/>
              <w:rPr>
                <w:color w:val="000000"/>
              </w:rPr>
            </w:pPr>
            <w:r>
              <w:rPr>
                <w:rFonts w:hint="eastAsia"/>
                <w:color w:val="000000"/>
              </w:rPr>
              <w:t>公民身份</w:t>
            </w:r>
          </w:p>
        </w:tc>
      </w:tr>
      <w:tr w:rsidR="00692915">
        <w:trPr>
          <w:jc w:val="center"/>
        </w:trPr>
        <w:tc>
          <w:tcPr>
            <w:tcW w:w="4638" w:type="dxa"/>
          </w:tcPr>
          <w:p w:rsidR="00692915" w:rsidRDefault="00692915" w:rsidP="009A1C1B">
            <w:pPr>
              <w:numPr>
                <w:ilvl w:val="0"/>
                <w:numId w:val="16"/>
              </w:numPr>
              <w:tabs>
                <w:tab w:val="clear" w:pos="720"/>
                <w:tab w:val="left" w:pos="1595"/>
              </w:tabs>
              <w:ind w:leftChars="413" w:left="31680" w:hangingChars="200" w:firstLine="31680"/>
              <w:rPr>
                <w:color w:val="000000"/>
              </w:rPr>
            </w:pPr>
            <w:r>
              <w:rPr>
                <w:rFonts w:hint="eastAsia"/>
                <w:color w:val="000000"/>
              </w:rPr>
              <w:t>社会或经济地位</w:t>
            </w:r>
          </w:p>
          <w:p w:rsidR="00692915" w:rsidRDefault="00692915" w:rsidP="009A1C1B">
            <w:pPr>
              <w:numPr>
                <w:ilvl w:val="0"/>
                <w:numId w:val="16"/>
              </w:numPr>
              <w:tabs>
                <w:tab w:val="clear" w:pos="720"/>
                <w:tab w:val="left" w:pos="1595"/>
              </w:tabs>
              <w:ind w:leftChars="413" w:left="31680" w:hangingChars="200" w:firstLine="31680"/>
              <w:rPr>
                <w:color w:val="000000"/>
              </w:rPr>
            </w:pPr>
            <w:r>
              <w:rPr>
                <w:rFonts w:hint="eastAsia"/>
                <w:color w:val="000000"/>
              </w:rPr>
              <w:t>教育</w:t>
            </w:r>
          </w:p>
        </w:tc>
        <w:tc>
          <w:tcPr>
            <w:tcW w:w="4741" w:type="dxa"/>
          </w:tcPr>
          <w:p w:rsidR="00692915" w:rsidRDefault="00692915" w:rsidP="009A1C1B">
            <w:pPr>
              <w:numPr>
                <w:ilvl w:val="0"/>
                <w:numId w:val="16"/>
              </w:numPr>
              <w:tabs>
                <w:tab w:val="clear" w:pos="720"/>
                <w:tab w:val="left" w:pos="1595"/>
              </w:tabs>
              <w:ind w:leftChars="413" w:left="31680" w:hangingChars="200" w:firstLine="31680"/>
              <w:rPr>
                <w:color w:val="000000"/>
              </w:rPr>
            </w:pPr>
            <w:r>
              <w:rPr>
                <w:rFonts w:hint="eastAsia"/>
                <w:color w:val="000000"/>
              </w:rPr>
              <w:t>或任何其他特殊原因（例如，经济地位、财产或就业状况）</w:t>
            </w:r>
          </w:p>
        </w:tc>
      </w:tr>
    </w:tbl>
    <w:p w:rsidR="00692915" w:rsidRDefault="00692915" w:rsidP="009A1C1B">
      <w:pPr>
        <w:tabs>
          <w:tab w:val="left" w:pos="1170"/>
        </w:tabs>
        <w:spacing w:before="240"/>
        <w:ind w:firstLine="31680"/>
        <w:rPr>
          <w:rFonts w:hint="eastAsia"/>
          <w:color w:val="000000"/>
        </w:rPr>
      </w:pPr>
      <w:r>
        <w:rPr>
          <w:color w:val="000000"/>
        </w:rPr>
        <w:t>377.</w:t>
      </w:r>
      <w:r>
        <w:rPr>
          <w:color w:val="000000"/>
        </w:rPr>
        <w:tab/>
      </w:r>
      <w:r>
        <w:rPr>
          <w:rFonts w:hint="eastAsia"/>
          <w:color w:val="000000"/>
        </w:rPr>
        <w:t>《宪法》第</w:t>
      </w:r>
      <w:r>
        <w:rPr>
          <w:rFonts w:hint="eastAsia"/>
          <w:color w:val="000000"/>
        </w:rPr>
        <w:t>17</w:t>
      </w:r>
      <w:r>
        <w:rPr>
          <w:rFonts w:hint="eastAsia"/>
          <w:color w:val="000000"/>
        </w:rPr>
        <w:t>条明确指出，在家庭、政治、经济、社会和文化生活的所有领域，男女享有平等的义务和权利。第</w:t>
      </w:r>
      <w:r>
        <w:rPr>
          <w:rFonts w:hint="eastAsia"/>
          <w:color w:val="000000"/>
        </w:rPr>
        <w:t>6</w:t>
      </w:r>
      <w:r>
        <w:rPr>
          <w:rFonts w:hint="eastAsia"/>
          <w:color w:val="000000"/>
        </w:rPr>
        <w:t>（</w:t>
      </w:r>
      <w:r>
        <w:rPr>
          <w:color w:val="000000"/>
        </w:rPr>
        <w:t>j</w:t>
      </w:r>
      <w:r>
        <w:rPr>
          <w:rFonts w:hint="eastAsia"/>
          <w:color w:val="000000"/>
        </w:rPr>
        <w:t>）条规定，国家有责任“促进并确保男女享有真正的平等机会。”</w:t>
      </w:r>
    </w:p>
    <w:p w:rsidR="00692915" w:rsidRDefault="00692915" w:rsidP="009A1C1B">
      <w:pPr>
        <w:tabs>
          <w:tab w:val="left" w:pos="1170"/>
        </w:tabs>
        <w:ind w:firstLine="31680"/>
        <w:rPr>
          <w:rFonts w:hint="eastAsia"/>
          <w:color w:val="000000"/>
        </w:rPr>
      </w:pPr>
      <w:r>
        <w:rPr>
          <w:color w:val="000000"/>
        </w:rPr>
        <w:t>378.</w:t>
      </w:r>
      <w:r>
        <w:rPr>
          <w:color w:val="000000"/>
        </w:rPr>
        <w:tab/>
      </w:r>
      <w:r>
        <w:rPr>
          <w:rFonts w:hint="eastAsia"/>
          <w:color w:val="000000"/>
        </w:rPr>
        <w:t>所有这些条款都与</w:t>
      </w:r>
      <w:r>
        <w:rPr>
          <w:color w:val="000000"/>
        </w:rPr>
        <w:t>《消除对妇女一切形式歧视公约》</w:t>
      </w:r>
      <w:r>
        <w:rPr>
          <w:rFonts w:hint="eastAsia"/>
          <w:color w:val="000000"/>
        </w:rPr>
        <w:t>第</w:t>
      </w:r>
      <w:r>
        <w:rPr>
          <w:rFonts w:hint="eastAsia"/>
          <w:color w:val="000000"/>
        </w:rPr>
        <w:t>2</w:t>
      </w:r>
      <w:r>
        <w:rPr>
          <w:rFonts w:hint="eastAsia"/>
          <w:color w:val="000000"/>
        </w:rPr>
        <w:t>（</w:t>
      </w:r>
      <w:r>
        <w:rPr>
          <w:color w:val="000000"/>
        </w:rPr>
        <w:t>a</w:t>
      </w:r>
      <w:r>
        <w:rPr>
          <w:rFonts w:hint="eastAsia"/>
          <w:color w:val="000000"/>
        </w:rPr>
        <w:t>）条下的缔约国义务一致</w:t>
      </w:r>
      <w:r>
        <w:rPr>
          <w:rFonts w:ascii="SimHei" w:eastAsia="SimHei" w:hint="eastAsia"/>
          <w:color w:val="000000"/>
          <w:spacing w:val="0"/>
        </w:rPr>
        <w:t>——</w:t>
      </w:r>
      <w:r>
        <w:rPr>
          <w:rFonts w:hint="eastAsia"/>
          <w:color w:val="000000"/>
        </w:rPr>
        <w:t>第</w:t>
      </w:r>
      <w:r>
        <w:rPr>
          <w:rFonts w:hint="eastAsia"/>
          <w:color w:val="000000"/>
        </w:rPr>
        <w:t>2</w:t>
      </w:r>
      <w:r>
        <w:rPr>
          <w:rFonts w:hint="eastAsia"/>
          <w:color w:val="000000"/>
        </w:rPr>
        <w:t>（</w:t>
      </w:r>
      <w:r>
        <w:rPr>
          <w:color w:val="000000"/>
        </w:rPr>
        <w:t>a</w:t>
      </w:r>
      <w:r>
        <w:rPr>
          <w:rFonts w:hint="eastAsia"/>
          <w:color w:val="000000"/>
        </w:rPr>
        <w:t>）条要求“将男女平等的原则列入国家宪法”中，但又本着尊重的原则指出，“机会平等”的原则并不等于完全意义上的“平等”。平等的概念还包括地位平等，目前，《宪法》没有反映这一点。从这个方面来说，《宪法》规定可能没有全面反映</w:t>
      </w:r>
      <w:r>
        <w:rPr>
          <w:color w:val="000000"/>
        </w:rPr>
        <w:t>《消除对妇女一切形式歧视公约》</w:t>
      </w:r>
      <w:r>
        <w:rPr>
          <w:rFonts w:hint="eastAsia"/>
          <w:color w:val="000000"/>
        </w:rPr>
        <w:t>第</w:t>
      </w:r>
      <w:r>
        <w:rPr>
          <w:rFonts w:hint="eastAsia"/>
          <w:color w:val="000000"/>
        </w:rPr>
        <w:t>2</w:t>
      </w:r>
      <w:r>
        <w:rPr>
          <w:rFonts w:hint="eastAsia"/>
          <w:color w:val="000000"/>
        </w:rPr>
        <w:t>条有关平等的全部内涵。</w:t>
      </w:r>
    </w:p>
    <w:p w:rsidR="00692915" w:rsidRDefault="00692915" w:rsidP="009A1C1B">
      <w:pPr>
        <w:tabs>
          <w:tab w:val="left" w:pos="1170"/>
        </w:tabs>
        <w:ind w:firstLine="31680"/>
        <w:rPr>
          <w:rFonts w:hint="eastAsia"/>
          <w:color w:val="000000"/>
        </w:rPr>
      </w:pPr>
      <w:r>
        <w:rPr>
          <w:color w:val="000000"/>
        </w:rPr>
        <w:t>379.</w:t>
      </w:r>
      <w:r>
        <w:rPr>
          <w:color w:val="000000"/>
        </w:rPr>
        <w:tab/>
      </w:r>
      <w:r>
        <w:rPr>
          <w:rFonts w:hint="eastAsia"/>
          <w:color w:val="000000"/>
        </w:rPr>
        <w:t>在家庭关系方面，《宪法》确实考虑到了男女之间权利的全面平等（见第</w:t>
      </w:r>
      <w:r>
        <w:rPr>
          <w:rFonts w:hint="eastAsia"/>
          <w:color w:val="000000"/>
        </w:rPr>
        <w:t>39</w:t>
      </w:r>
      <w:r>
        <w:rPr>
          <w:rFonts w:hint="eastAsia"/>
          <w:color w:val="000000"/>
        </w:rPr>
        <w:t>条），如：有关建立家庭和步入婚姻的规定与</w:t>
      </w:r>
      <w:r>
        <w:rPr>
          <w:color w:val="000000"/>
        </w:rPr>
        <w:t>《消除对妇女一切形式歧视公约</w:t>
      </w:r>
      <w:r>
        <w:rPr>
          <w:rFonts w:hint="eastAsia"/>
          <w:color w:val="000000"/>
        </w:rPr>
        <w:t>》第</w:t>
      </w:r>
      <w:r>
        <w:rPr>
          <w:rFonts w:hint="eastAsia"/>
          <w:color w:val="000000"/>
        </w:rPr>
        <w:t>16</w:t>
      </w:r>
      <w:r>
        <w:rPr>
          <w:rFonts w:hint="eastAsia"/>
          <w:color w:val="000000"/>
        </w:rPr>
        <w:t>条中的几条规定一致。《宪法》还从以下方面促进男女之间的平等：政治权利，尤其是政治立场的权利（见第</w:t>
      </w:r>
      <w:r>
        <w:rPr>
          <w:rFonts w:hint="eastAsia"/>
          <w:color w:val="000000"/>
        </w:rPr>
        <w:t>63</w:t>
      </w:r>
      <w:r>
        <w:rPr>
          <w:rFonts w:hint="eastAsia"/>
          <w:color w:val="000000"/>
        </w:rPr>
        <w:t>（</w:t>
      </w:r>
      <w:r>
        <w:rPr>
          <w:rFonts w:hint="eastAsia"/>
          <w:color w:val="000000"/>
        </w:rPr>
        <w:t>2</w:t>
      </w:r>
      <w:r>
        <w:rPr>
          <w:rFonts w:hint="eastAsia"/>
          <w:color w:val="000000"/>
        </w:rPr>
        <w:t>）条），以及在重要社会经济生活领域中的权利等，包括工作和选择职业的权利（见第</w:t>
      </w:r>
      <w:r>
        <w:rPr>
          <w:rFonts w:hint="eastAsia"/>
          <w:color w:val="000000"/>
        </w:rPr>
        <w:t>50</w:t>
      </w:r>
      <w:r>
        <w:rPr>
          <w:rFonts w:hint="eastAsia"/>
          <w:color w:val="000000"/>
        </w:rPr>
        <w:t>条）、社会保障与援助（见第</w:t>
      </w:r>
      <w:r>
        <w:rPr>
          <w:rFonts w:hint="eastAsia"/>
          <w:color w:val="000000"/>
        </w:rPr>
        <w:t>56</w:t>
      </w:r>
      <w:r>
        <w:rPr>
          <w:rFonts w:hint="eastAsia"/>
          <w:color w:val="000000"/>
        </w:rPr>
        <w:t>条）以及教育（第</w:t>
      </w:r>
      <w:r>
        <w:rPr>
          <w:rFonts w:hint="eastAsia"/>
          <w:color w:val="000000"/>
        </w:rPr>
        <w:t>58</w:t>
      </w:r>
      <w:r>
        <w:rPr>
          <w:rFonts w:hint="eastAsia"/>
          <w:color w:val="000000"/>
        </w:rPr>
        <w:t>条）等</w:t>
      </w:r>
      <w:r>
        <w:rPr>
          <w:rFonts w:ascii="SimHei" w:eastAsia="SimHei" w:hint="eastAsia"/>
          <w:color w:val="000000"/>
          <w:spacing w:val="0"/>
        </w:rPr>
        <w:t>——</w:t>
      </w:r>
      <w:r>
        <w:rPr>
          <w:rFonts w:hint="eastAsia"/>
          <w:color w:val="000000"/>
        </w:rPr>
        <w:t>有关</w:t>
      </w:r>
      <w:r>
        <w:rPr>
          <w:color w:val="000000"/>
        </w:rPr>
        <w:t>《消除对妇女一切形式歧视公约</w:t>
      </w:r>
      <w:r>
        <w:rPr>
          <w:rFonts w:hint="eastAsia"/>
          <w:color w:val="000000"/>
        </w:rPr>
        <w:t>》的专门文件将对所有这些方面进行更详尽的阐述。</w:t>
      </w:r>
    </w:p>
    <w:p w:rsidR="00692915" w:rsidRDefault="00692915" w:rsidP="009A1C1B">
      <w:pPr>
        <w:tabs>
          <w:tab w:val="left" w:pos="1170"/>
        </w:tabs>
        <w:ind w:firstLine="31680"/>
        <w:rPr>
          <w:rFonts w:hint="eastAsia"/>
          <w:color w:val="000000"/>
        </w:rPr>
      </w:pPr>
      <w:r>
        <w:rPr>
          <w:color w:val="000000"/>
        </w:rPr>
        <w:t>380.</w:t>
      </w:r>
      <w:r>
        <w:rPr>
          <w:color w:val="000000"/>
        </w:rPr>
        <w:tab/>
      </w:r>
      <w:r>
        <w:rPr>
          <w:rFonts w:hint="eastAsia"/>
          <w:color w:val="000000"/>
        </w:rPr>
        <w:t>关于儿童权利，《宪法》第</w:t>
      </w:r>
      <w:r>
        <w:rPr>
          <w:rFonts w:hint="eastAsia"/>
          <w:color w:val="000000"/>
        </w:rPr>
        <w:t>18</w:t>
      </w:r>
      <w:r>
        <w:rPr>
          <w:rFonts w:hint="eastAsia"/>
          <w:color w:val="000000"/>
        </w:rPr>
        <w:t>（</w:t>
      </w:r>
      <w:r>
        <w:rPr>
          <w:rFonts w:hint="eastAsia"/>
          <w:color w:val="000000"/>
        </w:rPr>
        <w:t>2</w:t>
      </w:r>
      <w:r>
        <w:rPr>
          <w:rFonts w:hint="eastAsia"/>
          <w:color w:val="000000"/>
        </w:rPr>
        <w:t>）和（</w:t>
      </w:r>
      <w:r>
        <w:rPr>
          <w:rFonts w:hint="eastAsia"/>
          <w:color w:val="000000"/>
        </w:rPr>
        <w:t>3</w:t>
      </w:r>
      <w:r>
        <w:rPr>
          <w:rFonts w:hint="eastAsia"/>
          <w:color w:val="000000"/>
        </w:rPr>
        <w:t>）条分别做出规定，确保儿童享有一切被普遍认可的权利、国家正式批准的所有条约权利，无论是婚生儿童还是非婚生儿童都在权利和社会保护方面享有同等权利。</w:t>
      </w:r>
    </w:p>
    <w:p w:rsidR="00692915" w:rsidRDefault="00692915" w:rsidP="009A1C1B">
      <w:pPr>
        <w:tabs>
          <w:tab w:val="left" w:pos="1170"/>
        </w:tabs>
        <w:ind w:firstLine="31680"/>
        <w:rPr>
          <w:rFonts w:hint="eastAsia"/>
          <w:color w:val="000000"/>
        </w:rPr>
      </w:pPr>
      <w:r>
        <w:rPr>
          <w:color w:val="000000"/>
        </w:rPr>
        <w:t>381.</w:t>
      </w:r>
      <w:r>
        <w:rPr>
          <w:color w:val="000000"/>
        </w:rPr>
        <w:tab/>
      </w:r>
      <w:r>
        <w:rPr>
          <w:rFonts w:hint="eastAsia"/>
          <w:color w:val="000000"/>
        </w:rPr>
        <w:t>关于残疾公民，《宪法》第</w:t>
      </w:r>
      <w:r>
        <w:rPr>
          <w:rFonts w:hint="eastAsia"/>
          <w:color w:val="000000"/>
        </w:rPr>
        <w:t>21</w:t>
      </w:r>
      <w:r>
        <w:rPr>
          <w:rFonts w:hint="eastAsia"/>
          <w:color w:val="000000"/>
        </w:rPr>
        <w:t>条规定“残疾公民与其他公民一样享有同等权利，具有同等义务，但由于残疾缘故而不能行使或履行的权利和义务除外。在切实可行的情况下，国家将依法促进对残疾公民提供保护。”</w:t>
      </w:r>
    </w:p>
    <w:p w:rsidR="00692915" w:rsidRDefault="00692915" w:rsidP="009A1C1B">
      <w:pPr>
        <w:tabs>
          <w:tab w:val="left" w:pos="1170"/>
        </w:tabs>
        <w:ind w:firstLine="31680"/>
        <w:rPr>
          <w:rFonts w:hint="eastAsia"/>
          <w:color w:val="000000"/>
        </w:rPr>
      </w:pPr>
      <w:r>
        <w:rPr>
          <w:color w:val="000000"/>
        </w:rPr>
        <w:t>382.</w:t>
      </w:r>
      <w:r>
        <w:rPr>
          <w:color w:val="000000"/>
        </w:rPr>
        <w:tab/>
      </w:r>
      <w:r>
        <w:rPr>
          <w:rFonts w:hint="eastAsia"/>
          <w:color w:val="000000"/>
        </w:rPr>
        <w:t>关于反歧视问题，相关的国内法有很多。如，有关家庭暴力的法律即将出台，该法律规定：“不得基于性别或年龄，通过作为或不作为的方式对任何个人进行歧视”。</w:t>
      </w:r>
      <w:r>
        <w:rPr>
          <w:rStyle w:val="FootnoteReference"/>
          <w:color w:val="000000"/>
        </w:rPr>
        <w:footnoteReference w:id="180"/>
      </w:r>
      <w:r>
        <w:rPr>
          <w:rFonts w:hint="eastAsia"/>
          <w:color w:val="000000"/>
        </w:rPr>
        <w:t>有关社区权力机构的第</w:t>
      </w:r>
      <w:r>
        <w:rPr>
          <w:color w:val="000000"/>
        </w:rPr>
        <w:t>5/2004</w:t>
      </w:r>
      <w:r>
        <w:rPr>
          <w:rFonts w:hint="eastAsia"/>
          <w:color w:val="000000"/>
        </w:rPr>
        <w:t>号法令对妇女地位或权利平等的问题予以了特别关注，其中包括妇女可能成为暴力，尤其是家庭暴力受害人的情况。在这种情况下，法律为乡长赋予了特殊权力，要求乡长“支持各种旨在监督和保护家庭暴力受害人的倡议”，促进“建立各种机制保护家庭暴力的受害人”（见第</w:t>
      </w:r>
      <w:r>
        <w:rPr>
          <w:rFonts w:hint="eastAsia"/>
          <w:color w:val="000000"/>
        </w:rPr>
        <w:t>8</w:t>
      </w:r>
      <w:r>
        <w:rPr>
          <w:rFonts w:hint="eastAsia"/>
          <w:color w:val="000000"/>
        </w:rPr>
        <w:t>（</w:t>
      </w:r>
      <w:r>
        <w:rPr>
          <w:color w:val="000000"/>
        </w:rPr>
        <w:t>g</w:t>
      </w:r>
      <w:r>
        <w:rPr>
          <w:rFonts w:hint="eastAsia"/>
          <w:color w:val="000000"/>
        </w:rPr>
        <w:t>）条）。这些规定说明，政府有决心促进妇女的权利和解决基于性别的暴力问题。</w:t>
      </w:r>
    </w:p>
    <w:p w:rsidR="00692915" w:rsidRDefault="00692915" w:rsidP="009A1C1B">
      <w:pPr>
        <w:tabs>
          <w:tab w:val="left" w:pos="1170"/>
        </w:tabs>
        <w:ind w:firstLine="31680"/>
        <w:rPr>
          <w:rFonts w:hint="eastAsia"/>
          <w:color w:val="000000"/>
        </w:rPr>
      </w:pPr>
      <w:r>
        <w:rPr>
          <w:color w:val="000000"/>
        </w:rPr>
        <w:t>383.</w:t>
      </w:r>
      <w:r>
        <w:rPr>
          <w:rFonts w:hint="eastAsia"/>
          <w:color w:val="000000"/>
        </w:rPr>
        <w:tab/>
      </w:r>
      <w:r>
        <w:rPr>
          <w:rFonts w:hint="eastAsia"/>
          <w:color w:val="000000"/>
        </w:rPr>
        <w:t>在就业方面，目前拟议的《劳工法典》也明确指出，“不得在就业和工作方面进行歧视，尤其是，不得违反男女同工同酬的原则。”</w:t>
      </w:r>
      <w:r>
        <w:rPr>
          <w:rStyle w:val="FootnoteReference"/>
          <w:color w:val="000000"/>
        </w:rPr>
        <w:footnoteReference w:id="181"/>
      </w:r>
    </w:p>
    <w:p w:rsidR="00692915" w:rsidRDefault="00692915" w:rsidP="009A1C1B">
      <w:pPr>
        <w:tabs>
          <w:tab w:val="left" w:pos="1170"/>
        </w:tabs>
        <w:ind w:firstLine="31680"/>
        <w:rPr>
          <w:rFonts w:hint="eastAsia"/>
          <w:color w:val="000000"/>
        </w:rPr>
      </w:pPr>
      <w:r>
        <w:rPr>
          <w:color w:val="000000"/>
        </w:rPr>
        <w:br w:type="page"/>
        <w:t>384.</w:t>
      </w:r>
      <w:r>
        <w:rPr>
          <w:color w:val="000000"/>
        </w:rPr>
        <w:tab/>
      </w:r>
      <w:r>
        <w:rPr>
          <w:rFonts w:hint="eastAsia"/>
          <w:color w:val="000000"/>
        </w:rPr>
        <w:t>歧视问题对社会各个方面都会带来直接</w:t>
      </w:r>
      <w:r>
        <w:rPr>
          <w:rStyle w:val="FootnoteReference"/>
          <w:color w:val="000000"/>
        </w:rPr>
        <w:footnoteReference w:id="182"/>
      </w:r>
      <w:r>
        <w:rPr>
          <w:rFonts w:hint="eastAsia"/>
          <w:color w:val="000000"/>
        </w:rPr>
        <w:t>和间接的</w:t>
      </w:r>
      <w:r>
        <w:rPr>
          <w:rStyle w:val="FootnoteReference"/>
          <w:color w:val="000000"/>
        </w:rPr>
        <w:footnoteReference w:id="183"/>
      </w:r>
      <w:r>
        <w:rPr>
          <w:rFonts w:hint="eastAsia"/>
          <w:color w:val="000000"/>
        </w:rPr>
        <w:t>不良影响。由于特定群体所处的不利条件并非都在实际上构成歧视，所以可能难以通过分类来确定哪些构成歧视和哪些不构成歧视。有鉴于此，本报告将列出特定群体的具体不利条件，但对于哪些情况可能会在实际上构成歧视，本报告并不做出结论。</w:t>
      </w:r>
    </w:p>
    <w:p w:rsidR="00692915" w:rsidRDefault="00692915" w:rsidP="009A1C1B">
      <w:pPr>
        <w:tabs>
          <w:tab w:val="left" w:pos="1170"/>
        </w:tabs>
        <w:ind w:firstLine="31680"/>
        <w:rPr>
          <w:rFonts w:hint="eastAsia"/>
          <w:i/>
          <w:color w:val="000000"/>
        </w:rPr>
      </w:pPr>
      <w:r>
        <w:rPr>
          <w:color w:val="000000"/>
        </w:rPr>
        <w:t>385.</w:t>
      </w:r>
      <w:r>
        <w:rPr>
          <w:color w:val="000000"/>
        </w:rPr>
        <w:tab/>
      </w:r>
      <w:r>
        <w:rPr>
          <w:rFonts w:hint="eastAsia"/>
          <w:color w:val="000000"/>
        </w:rPr>
        <w:t>在东帝汶，最明显的不利条件与以下因素有关：</w:t>
      </w:r>
    </w:p>
    <w:p w:rsidR="00692915" w:rsidRDefault="00692915" w:rsidP="009A1C1B">
      <w:pPr>
        <w:tabs>
          <w:tab w:val="left" w:pos="1170"/>
        </w:tabs>
        <w:ind w:firstLine="31680"/>
        <w:rPr>
          <w:rFonts w:hint="eastAsia"/>
          <w:color w:val="000000"/>
        </w:rPr>
      </w:pPr>
      <w:r>
        <w:rPr>
          <w:iCs/>
          <w:color w:val="000000"/>
        </w:rPr>
        <w:t>386.</w:t>
      </w:r>
      <w:r>
        <w:rPr>
          <w:rFonts w:hint="eastAsia"/>
          <w:iCs/>
          <w:color w:val="000000"/>
        </w:rPr>
        <w:t xml:space="preserve"> </w:t>
      </w:r>
      <w:r>
        <w:rPr>
          <w:rFonts w:eastAsia="KaiTi_GB2312" w:hint="eastAsia"/>
          <w:color w:val="000000"/>
        </w:rPr>
        <w:t>性别</w:t>
      </w:r>
      <w:r>
        <w:rPr>
          <w:rFonts w:hint="eastAsia"/>
          <w:color w:val="000000"/>
        </w:rPr>
        <w:t>。在东帝汶，特定群体处于不利条件的最普遍情况就是基于性别歧视，在教育、就业、卫生、政治参与和寻求司法帮助方面，这一问题尤其突出。</w:t>
      </w:r>
      <w:r>
        <w:rPr>
          <w:rStyle w:val="FootnoteReference"/>
          <w:color w:val="000000"/>
        </w:rPr>
        <w:footnoteReference w:id="184"/>
      </w:r>
      <w:r>
        <w:rPr>
          <w:rFonts w:hint="eastAsia"/>
          <w:color w:val="000000"/>
        </w:rPr>
        <w:t>有关</w:t>
      </w:r>
      <w:r>
        <w:rPr>
          <w:color w:val="000000"/>
        </w:rPr>
        <w:t>《消除对妇女一切形式歧视公约》</w:t>
      </w:r>
      <w:r>
        <w:rPr>
          <w:rFonts w:hint="eastAsia"/>
          <w:color w:val="000000"/>
        </w:rPr>
        <w:t>的专门文件对可能出现性别歧视的情况做了更具体的阐述。</w:t>
      </w:r>
    </w:p>
    <w:p w:rsidR="00692915" w:rsidRDefault="00692915" w:rsidP="009A1C1B">
      <w:pPr>
        <w:tabs>
          <w:tab w:val="left" w:pos="1170"/>
        </w:tabs>
        <w:ind w:firstLine="31680"/>
        <w:rPr>
          <w:rFonts w:hint="eastAsia"/>
          <w:color w:val="000000"/>
        </w:rPr>
      </w:pPr>
      <w:r>
        <w:rPr>
          <w:color w:val="000000"/>
        </w:rPr>
        <w:t>387.</w:t>
      </w:r>
      <w:r>
        <w:rPr>
          <w:rFonts w:hint="eastAsia"/>
          <w:color w:val="000000"/>
        </w:rPr>
        <w:t xml:space="preserve"> </w:t>
      </w:r>
      <w:r>
        <w:rPr>
          <w:rFonts w:hint="eastAsia"/>
          <w:color w:val="000000"/>
        </w:rPr>
        <w:t>一方面，人们通常认为传统习惯和文化对于生活和国家身份至关重要；另一方面，这些习惯和文化又显然是妇女遭受歧视的另一个领域。在婚姻和家庭关系中，妇女受歧视的情况很普遍。其他形式的间接歧视也限制了妇女全面参与社会政治生活的能力，例如：实行世袭土地所有权的父权世系制度；新娘彩礼制度</w:t>
      </w:r>
      <w:r>
        <w:rPr>
          <w:rFonts w:ascii="SimHei" w:eastAsia="SimHei" w:hint="eastAsia"/>
          <w:color w:val="000000"/>
          <w:spacing w:val="0"/>
        </w:rPr>
        <w:t>——</w:t>
      </w:r>
      <w:r>
        <w:rPr>
          <w:rFonts w:hint="eastAsia"/>
          <w:color w:val="000000"/>
        </w:rPr>
        <w:t>在这种制度下，男方家庭必须向女方家庭送聘金或嫁妆）；强调家庭妇女形象等。这些复杂的问题已经引起了国内的极大关注，以下有关婚姻和家庭生活的部分，以及有关</w:t>
      </w:r>
      <w:r>
        <w:rPr>
          <w:color w:val="000000"/>
        </w:rPr>
        <w:t>《消除对妇女一切形式歧视公约》</w:t>
      </w:r>
      <w:r>
        <w:rPr>
          <w:rFonts w:hint="eastAsia"/>
          <w:color w:val="000000"/>
        </w:rPr>
        <w:t>的专门文件将更详细地探讨这些问题。</w:t>
      </w:r>
    </w:p>
    <w:p w:rsidR="00692915" w:rsidRDefault="00692915" w:rsidP="009A1C1B">
      <w:pPr>
        <w:tabs>
          <w:tab w:val="left" w:pos="1170"/>
        </w:tabs>
        <w:ind w:firstLine="31680"/>
        <w:rPr>
          <w:rFonts w:hint="eastAsia"/>
          <w:bCs/>
          <w:color w:val="000000"/>
        </w:rPr>
      </w:pPr>
      <w:r>
        <w:rPr>
          <w:bCs/>
          <w:iCs/>
          <w:color w:val="000000"/>
        </w:rPr>
        <w:t>388.</w:t>
      </w:r>
      <w:r>
        <w:rPr>
          <w:bCs/>
          <w:iCs/>
          <w:color w:val="000000"/>
        </w:rPr>
        <w:tab/>
      </w:r>
      <w:r>
        <w:rPr>
          <w:rFonts w:eastAsia="KaiTi_GB2312" w:hint="eastAsia"/>
          <w:bCs/>
          <w:color w:val="000000"/>
          <w:spacing w:val="8"/>
        </w:rPr>
        <w:t>作为前战斗人员的地位</w:t>
      </w:r>
      <w:r>
        <w:rPr>
          <w:rFonts w:hint="eastAsia"/>
          <w:bCs/>
          <w:color w:val="000000"/>
          <w:spacing w:val="8"/>
        </w:rPr>
        <w:t>。有证据显示，那些在独立战争中做出了重大贡献的退伍战斗人员失去了受教育和专业发展的机会。如今，其中有些战斗人员全面参与社会经济生活的能力，尤其是参与劳动市场的能力很有限。以下有关平等权利行动措施的部分将讨论一些重要的措施，这些措施是针对这些战斗人员所处的劣势采取的。</w:t>
      </w:r>
    </w:p>
    <w:p w:rsidR="00692915" w:rsidRDefault="00692915" w:rsidP="009A1C1B">
      <w:pPr>
        <w:tabs>
          <w:tab w:val="left" w:pos="1170"/>
        </w:tabs>
        <w:ind w:firstLine="31680"/>
        <w:rPr>
          <w:rFonts w:hint="eastAsia"/>
          <w:bCs/>
          <w:color w:val="000000"/>
        </w:rPr>
      </w:pPr>
      <w:r>
        <w:rPr>
          <w:bCs/>
          <w:iCs/>
          <w:color w:val="000000"/>
        </w:rPr>
        <w:t>389.</w:t>
      </w:r>
      <w:r>
        <w:rPr>
          <w:bCs/>
          <w:iCs/>
          <w:color w:val="000000"/>
        </w:rPr>
        <w:tab/>
      </w:r>
      <w:r>
        <w:rPr>
          <w:rFonts w:eastAsia="KaiTi_GB2312" w:hint="eastAsia"/>
          <w:bCs/>
          <w:color w:val="000000"/>
        </w:rPr>
        <w:t>民族血统。</w:t>
      </w:r>
      <w:r>
        <w:rPr>
          <w:rFonts w:hint="eastAsia"/>
          <w:bCs/>
          <w:color w:val="000000"/>
        </w:rPr>
        <w:t>在东帝汶，对外国人拥有土地和参与政治生活进行了各种限制。一般认为，基于公民身份的这种区分，以及外国人由此所处的不利地位是合理的，因此不构成歧视，因为这种区分只限于特定领域，在这些领域中，个人和国家之间必须有永久的关系，必须承担公民所应承担的公民责任。限制外国人对土地的所有权是必要的，因为在帝汶公民和外国人具有不平等购买力的情况下，这将有助于确保帝汶公民不至于因此而处于不利地位。</w:t>
      </w:r>
      <w:r>
        <w:rPr>
          <w:rFonts w:hint="eastAsia"/>
          <w:bCs/>
          <w:color w:val="000000"/>
        </w:rPr>
        <w:t xml:space="preserve"> </w:t>
      </w:r>
    </w:p>
    <w:p w:rsidR="00692915" w:rsidRDefault="00692915" w:rsidP="009A1C1B">
      <w:pPr>
        <w:tabs>
          <w:tab w:val="left" w:pos="1170"/>
        </w:tabs>
        <w:ind w:firstLine="31680"/>
        <w:rPr>
          <w:rFonts w:hint="eastAsia"/>
          <w:color w:val="000000"/>
        </w:rPr>
      </w:pPr>
      <w:r>
        <w:rPr>
          <w:iCs/>
          <w:color w:val="000000"/>
        </w:rPr>
        <w:t>390.</w:t>
      </w:r>
      <w:r>
        <w:rPr>
          <w:iCs/>
          <w:color w:val="000000"/>
        </w:rPr>
        <w:tab/>
      </w:r>
      <w:r>
        <w:rPr>
          <w:rFonts w:eastAsia="KaiTi_GB2312" w:hint="eastAsia"/>
          <w:color w:val="000000"/>
        </w:rPr>
        <w:t>语言</w:t>
      </w:r>
      <w:r>
        <w:rPr>
          <w:rFonts w:hint="eastAsia"/>
          <w:color w:val="000000"/>
        </w:rPr>
        <w:t>。德顿语和葡萄牙语是国家的官方语言，印度尼西亚语和英语这两种语言是工作语言。</w:t>
      </w:r>
      <w:r>
        <w:rPr>
          <w:rStyle w:val="FootnoteReference"/>
          <w:color w:val="000000"/>
        </w:rPr>
        <w:footnoteReference w:id="185"/>
      </w:r>
      <w:r>
        <w:rPr>
          <w:rFonts w:hint="eastAsia"/>
          <w:color w:val="000000"/>
        </w:rPr>
        <w:t>从学术上来说，在两种官方语言中，葡萄牙语是最完善的，因此是国家事务中最常用的语言。目前起草的法律和政府政策都为葡萄牙语（但一些文件被翻译成了德顿语），司法领域的行政部门也尽可能以葡萄牙为主。</w:t>
      </w:r>
    </w:p>
    <w:p w:rsidR="00692915" w:rsidRDefault="00692915" w:rsidP="009A1C1B">
      <w:pPr>
        <w:tabs>
          <w:tab w:val="left" w:pos="1170"/>
        </w:tabs>
        <w:ind w:firstLine="31680"/>
        <w:rPr>
          <w:rFonts w:hint="eastAsia"/>
          <w:color w:val="000000"/>
        </w:rPr>
      </w:pPr>
      <w:r>
        <w:rPr>
          <w:color w:val="000000"/>
        </w:rPr>
        <w:t>391.</w:t>
      </w:r>
      <w:r>
        <w:rPr>
          <w:color w:val="000000"/>
        </w:rPr>
        <w:tab/>
      </w:r>
      <w:r>
        <w:rPr>
          <w:rFonts w:hint="eastAsia"/>
          <w:color w:val="000000"/>
        </w:rPr>
        <w:t xml:space="preserve"> </w:t>
      </w:r>
      <w:r>
        <w:rPr>
          <w:rFonts w:hint="eastAsia"/>
          <w:color w:val="000000"/>
        </w:rPr>
        <w:t>在过渡时期，将葡萄牙语作为官方语言纳入国家事务经历了很大困难。只有少数人口可以熟练地使用葡萄牙语（根据</w:t>
      </w:r>
      <w:r>
        <w:rPr>
          <w:rFonts w:hint="eastAsia"/>
          <w:color w:val="000000"/>
        </w:rPr>
        <w:t>2004</w:t>
      </w:r>
      <w:r>
        <w:rPr>
          <w:rFonts w:hint="eastAsia"/>
          <w:color w:val="000000"/>
        </w:rPr>
        <w:t>年的人口普查，在</w:t>
      </w:r>
      <w:r>
        <w:rPr>
          <w:rFonts w:hint="eastAsia"/>
          <w:color w:val="000000"/>
        </w:rPr>
        <w:t>6</w:t>
      </w:r>
      <w:r>
        <w:rPr>
          <w:rFonts w:hint="eastAsia"/>
          <w:color w:val="000000"/>
        </w:rPr>
        <w:t>岁以上的人群中，具有读写说能力的人数占</w:t>
      </w:r>
      <w:r>
        <w:rPr>
          <w:rFonts w:hint="eastAsia"/>
          <w:color w:val="000000"/>
        </w:rPr>
        <w:t>12%</w:t>
      </w:r>
      <w:r>
        <w:rPr>
          <w:rFonts w:hint="eastAsia"/>
          <w:color w:val="000000"/>
        </w:rPr>
        <w:t>）。实际上，很多非葡萄牙语人因此而处于不利地位，他们全面参与公共生活和决策的能力受到限制。妇女面临的困难尤其大，因为在农村地区，她们连德顿语都不会说，更不用说葡萄牙语了。</w:t>
      </w:r>
    </w:p>
    <w:p w:rsidR="00692915" w:rsidRDefault="00692915" w:rsidP="009A1C1B">
      <w:pPr>
        <w:tabs>
          <w:tab w:val="left" w:pos="1170"/>
        </w:tabs>
        <w:ind w:firstLine="31680"/>
        <w:rPr>
          <w:rFonts w:hint="eastAsia"/>
          <w:color w:val="000000"/>
        </w:rPr>
      </w:pPr>
      <w:r>
        <w:rPr>
          <w:color w:val="000000"/>
        </w:rPr>
        <w:t>392.</w:t>
      </w:r>
      <w:r>
        <w:rPr>
          <w:color w:val="000000"/>
        </w:rPr>
        <w:tab/>
      </w:r>
      <w:r>
        <w:rPr>
          <w:rFonts w:hint="eastAsia"/>
          <w:color w:val="000000"/>
        </w:rPr>
        <w:t>政府正在采取措施减少语言所带来的不利条件，为此，政府将葡萄牙语纳入了学校教育，在大多数政府工作场所为葡萄牙语言学习班提供全面资助，另外，法院还备有译员，以确保法院程序的正当化。但根据预计的情况，在全面完成向葡萄牙语的过渡之前，非葡萄牙语人群将继续处于某种程度的不利地位。</w:t>
      </w:r>
    </w:p>
    <w:p w:rsidR="00692915" w:rsidRDefault="00692915" w:rsidP="009A1C1B">
      <w:pPr>
        <w:tabs>
          <w:tab w:val="left" w:pos="1170"/>
        </w:tabs>
        <w:ind w:firstLine="31680"/>
        <w:rPr>
          <w:rFonts w:hint="eastAsia"/>
          <w:color w:val="000000"/>
        </w:rPr>
      </w:pPr>
      <w:r>
        <w:rPr>
          <w:iCs/>
          <w:color w:val="000000"/>
        </w:rPr>
        <w:t>393.</w:t>
      </w:r>
      <w:r>
        <w:rPr>
          <w:iCs/>
          <w:color w:val="000000"/>
        </w:rPr>
        <w:tab/>
      </w:r>
      <w:r>
        <w:rPr>
          <w:rFonts w:eastAsia="KaiTi_GB2312" w:hint="eastAsia"/>
          <w:color w:val="000000"/>
        </w:rPr>
        <w:t>政治观点</w:t>
      </w:r>
      <w:r>
        <w:rPr>
          <w:rFonts w:hint="eastAsia"/>
          <w:color w:val="000000"/>
        </w:rPr>
        <w:t>。有些群体的政治立场不同于主流或领导阶层的立场，他们声称政治观的不同使他们处于不利的地位。</w:t>
      </w:r>
    </w:p>
    <w:p w:rsidR="00692915" w:rsidRDefault="00692915" w:rsidP="009A1C1B">
      <w:pPr>
        <w:tabs>
          <w:tab w:val="left" w:pos="1170"/>
        </w:tabs>
        <w:ind w:firstLine="31680"/>
        <w:rPr>
          <w:rFonts w:hint="eastAsia"/>
          <w:color w:val="000000"/>
        </w:rPr>
      </w:pPr>
      <w:r>
        <w:rPr>
          <w:iCs/>
          <w:color w:val="000000"/>
        </w:rPr>
        <w:t>394.</w:t>
      </w:r>
      <w:r>
        <w:rPr>
          <w:iCs/>
          <w:color w:val="000000"/>
        </w:rPr>
        <w:tab/>
      </w:r>
      <w:r>
        <w:rPr>
          <w:rFonts w:eastAsia="KaiTi_GB2312" w:hint="eastAsia"/>
          <w:color w:val="000000"/>
        </w:rPr>
        <w:t>宗教</w:t>
      </w:r>
      <w:r>
        <w:rPr>
          <w:rFonts w:hint="eastAsia"/>
          <w:color w:val="000000"/>
        </w:rPr>
        <w:t>。东帝汶在很大程度上是一个具有宗教包容性的国家，但在地区磋商会议中发现了一些令人担忧的问题：在国家的某些地区，儿童必须首先经过圣洗才予以登记，这是基于宗教信仰的间接歧视。另外，还报告了其他方面的情况，比如：除非儿童受过圣洗，否则将无法领取护照。有关</w:t>
      </w:r>
      <w:r>
        <w:rPr>
          <w:color w:val="000000"/>
        </w:rPr>
        <w:t>《儿童权利公约》</w:t>
      </w:r>
      <w:r>
        <w:rPr>
          <w:rFonts w:hint="eastAsia"/>
          <w:color w:val="000000"/>
        </w:rPr>
        <w:t>的专门文件将更全面地讨论这一问题。到目前为止，政府还没有明确发现这类宗教压力问题，未来一旦明确发现这类情况，政府将决不姑息迁就。</w:t>
      </w:r>
    </w:p>
    <w:p w:rsidR="00692915" w:rsidRDefault="00692915" w:rsidP="009A1C1B">
      <w:pPr>
        <w:tabs>
          <w:tab w:val="left" w:pos="1170"/>
        </w:tabs>
        <w:ind w:firstLine="31680"/>
        <w:rPr>
          <w:rFonts w:hint="eastAsia"/>
          <w:color w:val="000000"/>
        </w:rPr>
      </w:pPr>
      <w:r>
        <w:rPr>
          <w:color w:val="000000"/>
        </w:rPr>
        <w:t>395.</w:t>
      </w:r>
      <w:r>
        <w:rPr>
          <w:color w:val="000000"/>
        </w:rPr>
        <w:tab/>
      </w:r>
      <w:r>
        <w:rPr>
          <w:rFonts w:eastAsia="KaiTi_GB2312" w:hint="eastAsia"/>
          <w:color w:val="000000"/>
        </w:rPr>
        <w:t>残疾人与老人</w:t>
      </w:r>
      <w:r>
        <w:rPr>
          <w:rFonts w:hint="eastAsia"/>
          <w:color w:val="000000"/>
        </w:rPr>
        <w:t>。根据</w:t>
      </w:r>
      <w:r>
        <w:rPr>
          <w:rFonts w:hint="eastAsia"/>
          <w:color w:val="000000"/>
        </w:rPr>
        <w:t>2004</w:t>
      </w:r>
      <w:r>
        <w:rPr>
          <w:rFonts w:hint="eastAsia"/>
          <w:color w:val="000000"/>
        </w:rPr>
        <w:t>年临时人口普查的数据，报告家中至少有一名身体残疾或心理疾病的家庭分别为</w:t>
      </w:r>
      <w:r>
        <w:rPr>
          <w:color w:val="000000"/>
        </w:rPr>
        <w:t>11.6</w:t>
      </w:r>
      <w:r>
        <w:rPr>
          <w:rFonts w:hint="eastAsia"/>
          <w:color w:val="000000"/>
        </w:rPr>
        <w:t>%</w:t>
      </w:r>
      <w:r>
        <w:rPr>
          <w:rFonts w:hint="eastAsia"/>
          <w:color w:val="000000"/>
        </w:rPr>
        <w:t>和</w:t>
      </w:r>
      <w:r>
        <w:rPr>
          <w:color w:val="000000"/>
        </w:rPr>
        <w:t>2.4</w:t>
      </w:r>
      <w:r>
        <w:rPr>
          <w:rFonts w:hint="eastAsia"/>
          <w:color w:val="000000"/>
        </w:rPr>
        <w:t>%</w:t>
      </w:r>
      <w:r>
        <w:rPr>
          <w:rFonts w:hint="eastAsia"/>
          <w:color w:val="000000"/>
        </w:rPr>
        <w:t>。</w:t>
      </w:r>
      <w:r>
        <w:rPr>
          <w:rStyle w:val="FootnoteReference"/>
          <w:color w:val="000000"/>
        </w:rPr>
        <w:footnoteReference w:id="186"/>
      </w:r>
    </w:p>
    <w:p w:rsidR="00692915" w:rsidRDefault="00692915" w:rsidP="009A1C1B">
      <w:pPr>
        <w:tabs>
          <w:tab w:val="left" w:pos="1170"/>
        </w:tabs>
        <w:ind w:firstLine="31680"/>
        <w:rPr>
          <w:rFonts w:hint="eastAsia"/>
          <w:color w:val="000000"/>
        </w:rPr>
      </w:pPr>
      <w:r>
        <w:rPr>
          <w:color w:val="000000"/>
        </w:rPr>
        <w:t>396.</w:t>
      </w:r>
      <w:r>
        <w:rPr>
          <w:color w:val="000000"/>
        </w:rPr>
        <w:tab/>
      </w:r>
      <w:r>
        <w:rPr>
          <w:rFonts w:hint="eastAsia"/>
          <w:color w:val="000000"/>
        </w:rPr>
        <w:t>对于很多成人来说，尤其是对男性来说，身体缺陷主要与疾病、事故、营养不良、小儿麻痹症和麻风病有关。工伤也是残疾的一个原因之一，如果不在职业卫生和安全方面创造适当可行的条件来减少这类风险，或者通过相应的补偿来抵消损失，那么可以预计，这类问题将会随着劳动力人数的增加而加剧。</w:t>
      </w:r>
      <w:r>
        <w:rPr>
          <w:rStyle w:val="FootnoteReference"/>
          <w:color w:val="000000"/>
        </w:rPr>
        <w:footnoteReference w:id="187"/>
      </w:r>
    </w:p>
    <w:p w:rsidR="00692915" w:rsidRDefault="00692915" w:rsidP="009A1C1B">
      <w:pPr>
        <w:tabs>
          <w:tab w:val="left" w:pos="1170"/>
        </w:tabs>
        <w:ind w:firstLine="31680"/>
        <w:rPr>
          <w:rFonts w:hint="eastAsia"/>
          <w:color w:val="000000"/>
        </w:rPr>
      </w:pPr>
      <w:r>
        <w:rPr>
          <w:color w:val="000000"/>
        </w:rPr>
        <w:t>397.</w:t>
      </w:r>
      <w:r>
        <w:rPr>
          <w:rFonts w:hint="eastAsia"/>
          <w:color w:val="000000"/>
        </w:rPr>
        <w:tab/>
      </w:r>
      <w:r>
        <w:rPr>
          <w:rFonts w:hint="eastAsia"/>
          <w:color w:val="000000"/>
        </w:rPr>
        <w:t>对于妇女儿童来说，很多疾病（例如：肺结核和慢性支气管炎）与生活水平低下有关，其中包括营养不足、家中水供应不足和卫生条件差、从围产期到幼儿早期获取医疗服务的机会有限等。营养不良和疾病（例如：小儿麻痹症）对幼儿和少儿的影响尤其大。</w:t>
      </w:r>
      <w:r>
        <w:rPr>
          <w:rStyle w:val="FootnoteReference"/>
          <w:color w:val="000000"/>
        </w:rPr>
        <w:footnoteReference w:id="188"/>
      </w:r>
      <w:r>
        <w:rPr>
          <w:rFonts w:hint="eastAsia"/>
          <w:color w:val="000000"/>
        </w:rPr>
        <w:t>妇女通常需要在全家所有成员都得到照应后才能寻求治疗，因此往往使病情恶化。有关</w:t>
      </w:r>
      <w:r>
        <w:rPr>
          <w:color w:val="000000"/>
        </w:rPr>
        <w:t>《儿童权利公约</w:t>
      </w:r>
      <w:r>
        <w:rPr>
          <w:rFonts w:hint="eastAsia"/>
          <w:color w:val="000000"/>
        </w:rPr>
        <w:t>》和</w:t>
      </w:r>
      <w:r>
        <w:rPr>
          <w:color w:val="000000"/>
        </w:rPr>
        <w:t>《消除对妇女一切形式歧视公约》</w:t>
      </w:r>
      <w:r>
        <w:rPr>
          <w:rFonts w:hint="eastAsia"/>
          <w:color w:val="000000"/>
        </w:rPr>
        <w:t>的专门文件将对此进行更详细的讨论。</w:t>
      </w:r>
    </w:p>
    <w:p w:rsidR="00692915" w:rsidRDefault="00692915" w:rsidP="009A1C1B">
      <w:pPr>
        <w:tabs>
          <w:tab w:val="left" w:pos="1170"/>
        </w:tabs>
        <w:ind w:firstLine="31680"/>
        <w:rPr>
          <w:rFonts w:hint="eastAsia"/>
          <w:color w:val="000000"/>
        </w:rPr>
      </w:pPr>
      <w:r>
        <w:rPr>
          <w:color w:val="000000"/>
        </w:rPr>
        <w:t>398.</w:t>
      </w:r>
      <w:r>
        <w:rPr>
          <w:color w:val="000000"/>
        </w:rPr>
        <w:tab/>
      </w:r>
      <w:r>
        <w:rPr>
          <w:rFonts w:hint="eastAsia"/>
          <w:color w:val="000000"/>
        </w:rPr>
        <w:t>东帝汶的基础设施薄弱、通往各地的交通有限、失业率和贫困率很高，毫无疑问，在这样一个国家中，残疾人将会在生活中处于不利地位。在这方面还没有确切的资料，但在就业、获取服务和全面参与社会政治生活方面，残疾人面临着一定的困难，这些可能是其众多困难中的一部分。政府收到的信息显示，残疾儿童和老人更有可能呆在家中、远离学校和社会生活，或送进寄宿机构中，但这一信息尚未得到证实。</w:t>
      </w:r>
    </w:p>
    <w:p w:rsidR="00692915" w:rsidRDefault="00692915" w:rsidP="009A1C1B">
      <w:pPr>
        <w:tabs>
          <w:tab w:val="left" w:pos="1170"/>
        </w:tabs>
        <w:ind w:firstLine="31680"/>
        <w:rPr>
          <w:rFonts w:hint="eastAsia"/>
          <w:color w:val="000000"/>
        </w:rPr>
      </w:pPr>
      <w:r>
        <w:rPr>
          <w:color w:val="000000"/>
        </w:rPr>
        <w:t>399.</w:t>
      </w:r>
      <w:r>
        <w:rPr>
          <w:color w:val="000000"/>
        </w:rPr>
        <w:tab/>
      </w:r>
      <w:r>
        <w:rPr>
          <w:rFonts w:hint="eastAsia"/>
          <w:color w:val="000000"/>
        </w:rPr>
        <w:t>在为本文件进行协商期间，心理疾病问题引起了特别关注。</w:t>
      </w:r>
      <w:r>
        <w:rPr>
          <w:rStyle w:val="FootnoteReference"/>
          <w:color w:val="000000"/>
        </w:rPr>
        <w:footnoteReference w:id="189"/>
      </w:r>
      <w:r>
        <w:rPr>
          <w:rFonts w:hint="eastAsia"/>
          <w:color w:val="000000"/>
        </w:rPr>
        <w:t>根据该期间所提到的情况，有时由于缺乏相应的设施，包括不能为心理疾病患者提供精神病治疗，人权受到了影响。目前，对于那些精神不稳定或可能威胁社会的人们，还没有相应的保护设施。根据</w:t>
      </w:r>
      <w:r>
        <w:rPr>
          <w:color w:val="000000"/>
        </w:rPr>
        <w:t>东帝汶支助团</w:t>
      </w:r>
      <w:r>
        <w:rPr>
          <w:rFonts w:hint="eastAsia"/>
          <w:color w:val="000000"/>
        </w:rPr>
        <w:t>人权股的个案记录，有时心理疾病患者在有了异常行为（通常为暴力行为）之后，由于缺乏适当的治疗或设施，家人或社区只好将他们关押起来。</w:t>
      </w:r>
      <w:r>
        <w:rPr>
          <w:rStyle w:val="FootnoteReference"/>
          <w:color w:val="000000"/>
        </w:rPr>
        <w:footnoteReference w:id="190"/>
      </w:r>
      <w:r>
        <w:rPr>
          <w:rFonts w:hint="eastAsia"/>
          <w:color w:val="000000"/>
        </w:rPr>
        <w:t>另外，在有些情况下，制止患者行为所使用的手段很残忍，因此造成了身体的伤害。有时，</w:t>
      </w:r>
      <w:r>
        <w:rPr>
          <w:color w:val="000000"/>
        </w:rPr>
        <w:t>东帝汶国家警察</w:t>
      </w:r>
      <w:r>
        <w:rPr>
          <w:rFonts w:hint="eastAsia"/>
          <w:color w:val="000000"/>
        </w:rPr>
        <w:t>没有采取干预措施使精神病患者免受虐待。在有关当局和非政府组织监测机构收到的个案中，例如：司法系统监测方案和联合国特派团人权股收到的个案中，一位父亲被指控对其患有精神疾病的十多岁女儿进行性虐待，但事后并没有对此案进行调查，原因是原告不具备实际申诉的能力。</w:t>
      </w:r>
      <w:r>
        <w:rPr>
          <w:rStyle w:val="FootnoteReference"/>
          <w:color w:val="000000"/>
        </w:rPr>
        <w:footnoteReference w:id="191"/>
      </w:r>
    </w:p>
    <w:p w:rsidR="00692915" w:rsidRDefault="00692915" w:rsidP="009A1C1B">
      <w:pPr>
        <w:tabs>
          <w:tab w:val="left" w:pos="1170"/>
        </w:tabs>
        <w:ind w:firstLine="31680"/>
        <w:rPr>
          <w:rFonts w:hint="eastAsia"/>
          <w:color w:val="000000"/>
        </w:rPr>
      </w:pPr>
      <w:r>
        <w:rPr>
          <w:color w:val="000000"/>
        </w:rPr>
        <w:t>400.</w:t>
      </w:r>
      <w:r>
        <w:rPr>
          <w:rFonts w:hint="eastAsia"/>
          <w:color w:val="000000"/>
        </w:rPr>
        <w:t xml:space="preserve"> </w:t>
      </w:r>
      <w:r>
        <w:rPr>
          <w:rFonts w:hint="eastAsia"/>
          <w:color w:val="000000"/>
        </w:rPr>
        <w:tab/>
        <w:t>2003</w:t>
      </w:r>
      <w:r>
        <w:rPr>
          <w:rFonts w:hint="eastAsia"/>
          <w:color w:val="000000"/>
        </w:rPr>
        <w:t>年，政府在卫生部内设立了一个国家心理卫生服务机构，并向每个地区派了心理卫生护士，由这些护士在几位精神病医生的协助下进行基本的心理卫生评估。需要特别注意并进行讨论的是，应为那些患有精神疾病（例如：</w:t>
      </w:r>
      <w:r>
        <w:rPr>
          <w:rFonts w:ascii="Arial" w:hAnsi="Arial" w:cs="Arial" w:hint="eastAsia"/>
          <w:color w:val="000000"/>
        </w:rPr>
        <w:t>躁郁症）的妇女提供足够的心理卫生服务，尤其是进行定期的药物治疗。有关</w:t>
      </w:r>
      <w:r>
        <w:rPr>
          <w:color w:val="000000"/>
        </w:rPr>
        <w:t>《消除对妇女一切形式歧视公约</w:t>
      </w:r>
      <w:r>
        <w:rPr>
          <w:rFonts w:hint="eastAsia"/>
          <w:color w:val="000000"/>
        </w:rPr>
        <w:t>》的专门文件将更详细地讨论这一问题。这些措施以及进一步采取的其他措施将有望解决精神病患者治疗条件差的问题，但在未来，还需要在这方面做出更多努力。</w:t>
      </w:r>
    </w:p>
    <w:p w:rsidR="00692915" w:rsidRDefault="00692915" w:rsidP="009A1C1B">
      <w:pPr>
        <w:tabs>
          <w:tab w:val="left" w:pos="1170"/>
        </w:tabs>
        <w:ind w:firstLine="31680"/>
        <w:rPr>
          <w:rFonts w:hint="eastAsia"/>
          <w:color w:val="000000"/>
        </w:rPr>
      </w:pPr>
      <w:r>
        <w:rPr>
          <w:color w:val="000000"/>
        </w:rPr>
        <w:t>401.</w:t>
      </w:r>
      <w:r>
        <w:rPr>
          <w:color w:val="000000"/>
        </w:rPr>
        <w:tab/>
      </w:r>
      <w:r>
        <w:rPr>
          <w:rFonts w:hint="eastAsia"/>
          <w:color w:val="000000"/>
        </w:rPr>
        <w:t>所有国家机构都对弱势群体，尤其是残疾人和退伍战斗人员非常尊重。然而，在有效支持这些群体，并使他们融入社会方面还存在困难。一个突出的问题就是缺乏完善的基础设施，目前，政府尤其是卫生部、劳动与社会安置部正在解决这一问题。下文以及有关条约的专门文件将进一步讨论这一问题。</w:t>
      </w:r>
    </w:p>
    <w:p w:rsidR="00692915" w:rsidRDefault="00692915" w:rsidP="009A1C1B">
      <w:pPr>
        <w:tabs>
          <w:tab w:val="left" w:pos="1170"/>
        </w:tabs>
        <w:ind w:firstLine="31680"/>
        <w:rPr>
          <w:rFonts w:hint="eastAsia"/>
          <w:color w:val="000000"/>
        </w:rPr>
      </w:pPr>
      <w:r>
        <w:rPr>
          <w:color w:val="000000"/>
        </w:rPr>
        <w:t>402.</w:t>
      </w:r>
      <w:r>
        <w:rPr>
          <w:color w:val="000000"/>
        </w:rPr>
        <w:tab/>
      </w:r>
      <w:r>
        <w:rPr>
          <w:rFonts w:eastAsia="KaiTi_GB2312" w:hint="eastAsia"/>
          <w:color w:val="000000"/>
        </w:rPr>
        <w:t>少数民族群体</w:t>
      </w:r>
      <w:r>
        <w:rPr>
          <w:rStyle w:val="FootnoteReference"/>
          <w:color w:val="000000"/>
        </w:rPr>
        <w:footnoteReference w:id="192"/>
      </w:r>
      <w:r>
        <w:rPr>
          <w:rFonts w:eastAsia="KaiTi_GB2312" w:hint="eastAsia"/>
          <w:color w:val="000000"/>
        </w:rPr>
        <w:t xml:space="preserve"> </w:t>
      </w:r>
      <w:r>
        <w:rPr>
          <w:rFonts w:hint="eastAsia"/>
          <w:color w:val="000000"/>
        </w:rPr>
        <w:t>正如已经表明的那样，有些少数民族容易受到攻击（包括警察的攻击），最容易受到攻击的是印度尼西亚人或中国人</w:t>
      </w:r>
      <w:r>
        <w:rPr>
          <w:rStyle w:val="FootnoteReference"/>
          <w:iCs/>
          <w:color w:val="000000"/>
        </w:rPr>
        <w:footnoteReference w:id="193"/>
      </w:r>
      <w:r>
        <w:rPr>
          <w:rFonts w:hint="eastAsia"/>
          <w:color w:val="000000"/>
        </w:rPr>
        <w:t>。政府没有发现这些特殊民族受歧视的个案，但是正如所有形式的歧视一样，一旦发现任何基于种族或民族血统的歧视，政府将坚决予以制止。政府一直弘扬并将继续弘扬包容的理念和尊重多元化。</w:t>
      </w:r>
    </w:p>
    <w:p w:rsidR="00692915" w:rsidRDefault="00692915" w:rsidP="009A1C1B">
      <w:pPr>
        <w:tabs>
          <w:tab w:val="left" w:pos="1170"/>
        </w:tabs>
        <w:ind w:firstLine="31680"/>
        <w:rPr>
          <w:rFonts w:hint="eastAsia"/>
          <w:bCs/>
          <w:color w:val="000000"/>
        </w:rPr>
      </w:pPr>
      <w:r>
        <w:rPr>
          <w:bCs/>
          <w:color w:val="000000"/>
        </w:rPr>
        <w:t>403.</w:t>
      </w:r>
      <w:r>
        <w:rPr>
          <w:bCs/>
          <w:color w:val="000000"/>
        </w:rPr>
        <w:tab/>
      </w:r>
      <w:r>
        <w:rPr>
          <w:rFonts w:hint="eastAsia"/>
          <w:bCs/>
          <w:color w:val="000000"/>
        </w:rPr>
        <w:t>东帝汶是一个新独立的国家，自然资源非常有限。这样，国家将在社会、政治、公民、经济和文化生活领域中处于不利地位，在发达国家和发展中国家中，尤其是新成立的国家中，这种情况并不鲜见。目前，对于特定群体所面临的劣势问题，东帝汶缺乏可靠的数据或信息源；另外，政府系统解决这些问题的现有能力也有限，所有这些问题将使东帝汶面临更艰巨的挑战。</w:t>
      </w:r>
    </w:p>
    <w:p w:rsidR="00692915" w:rsidRDefault="00692915" w:rsidP="009A1C1B">
      <w:pPr>
        <w:tabs>
          <w:tab w:val="left" w:pos="1170"/>
        </w:tabs>
        <w:ind w:firstLine="31680"/>
        <w:rPr>
          <w:rFonts w:hint="eastAsia"/>
          <w:bCs/>
          <w:color w:val="000000"/>
        </w:rPr>
      </w:pPr>
      <w:r>
        <w:rPr>
          <w:bCs/>
          <w:color w:val="000000"/>
        </w:rPr>
        <w:t>404.</w:t>
      </w:r>
      <w:r>
        <w:rPr>
          <w:bCs/>
          <w:color w:val="000000"/>
        </w:rPr>
        <w:tab/>
      </w:r>
      <w:r>
        <w:rPr>
          <w:rFonts w:hint="eastAsia"/>
          <w:bCs/>
          <w:color w:val="000000"/>
        </w:rPr>
        <w:t>对于备受贫穷之苦的国家来说，财富与财产分配的不平等问题，不是一朝一夕就能解决的。在其他情况下，由于不利条件或歧视问题在社会中已根深蒂固，因此解决起来很困难，歧视性的传统做法也是如此。</w:t>
      </w:r>
    </w:p>
    <w:p w:rsidR="00692915" w:rsidRDefault="00692915" w:rsidP="009A1C1B">
      <w:pPr>
        <w:tabs>
          <w:tab w:val="left" w:pos="1170"/>
        </w:tabs>
        <w:ind w:firstLine="31680"/>
        <w:rPr>
          <w:rFonts w:hint="eastAsia"/>
          <w:bCs/>
          <w:color w:val="000000"/>
        </w:rPr>
      </w:pPr>
      <w:r>
        <w:rPr>
          <w:bCs/>
          <w:color w:val="000000"/>
        </w:rPr>
        <w:t>405.</w:t>
      </w:r>
      <w:r>
        <w:rPr>
          <w:rFonts w:hint="eastAsia"/>
          <w:bCs/>
          <w:color w:val="000000"/>
        </w:rPr>
        <w:t xml:space="preserve"> </w:t>
      </w:r>
      <w:r>
        <w:rPr>
          <w:rFonts w:hint="eastAsia"/>
          <w:bCs/>
          <w:color w:val="000000"/>
        </w:rPr>
        <w:t>政府正全力致力于实施非歧视原则，并努力消除业已存在的任何不合理不利条件，为此，政府将努力确保资源的平等分配，加强对政府官员的培训与教育，通过补救方案消除业已存在的歧视问题。</w:t>
      </w:r>
    </w:p>
    <w:p w:rsidR="00692915" w:rsidRDefault="00692915" w:rsidP="009A1C1B">
      <w:pPr>
        <w:tabs>
          <w:tab w:val="left" w:pos="1170"/>
        </w:tabs>
        <w:ind w:firstLine="31680"/>
        <w:rPr>
          <w:rFonts w:hint="eastAsia"/>
          <w:bCs/>
          <w:color w:val="000000"/>
        </w:rPr>
      </w:pPr>
      <w:r>
        <w:rPr>
          <w:bCs/>
          <w:color w:val="000000"/>
        </w:rPr>
        <w:t>406.</w:t>
      </w:r>
      <w:r>
        <w:rPr>
          <w:bCs/>
          <w:color w:val="000000"/>
        </w:rPr>
        <w:tab/>
      </w:r>
      <w:r>
        <w:rPr>
          <w:rFonts w:hint="eastAsia"/>
          <w:bCs/>
          <w:color w:val="000000"/>
        </w:rPr>
        <w:t>为减少已经明显存在的特定不利条件，政府已经采取了一些措施或支持性举措，其中包括：进行消除贫困的全国宣传、开展对特定性别赋予权利的方案、社区就东帝汶个人权利与传统习惯及文化之间的关系进行对话、在学校和国家机构进行葡萄牙语培训等。</w:t>
      </w:r>
    </w:p>
    <w:p w:rsidR="00692915" w:rsidRDefault="00692915" w:rsidP="009A1C1B">
      <w:pPr>
        <w:tabs>
          <w:tab w:val="left" w:pos="1170"/>
        </w:tabs>
        <w:ind w:firstLine="31680"/>
        <w:rPr>
          <w:rFonts w:hint="eastAsia"/>
          <w:bCs/>
          <w:color w:val="000000"/>
        </w:rPr>
      </w:pPr>
      <w:r>
        <w:rPr>
          <w:bCs/>
          <w:color w:val="000000"/>
        </w:rPr>
        <w:t>407.</w:t>
      </w:r>
      <w:r>
        <w:rPr>
          <w:bCs/>
          <w:color w:val="000000"/>
        </w:rPr>
        <w:tab/>
      </w:r>
      <w:r>
        <w:rPr>
          <w:rFonts w:hint="eastAsia"/>
          <w:bCs/>
          <w:color w:val="000000"/>
        </w:rPr>
        <w:t>根据预计，如果加强对监察员办公室、人权事务总理顾问办公室和促进平等事务总理顾问办公室的支持力度，将有助于人们对不利条件和</w:t>
      </w:r>
      <w:r>
        <w:rPr>
          <w:rFonts w:hint="eastAsia"/>
          <w:bCs/>
          <w:color w:val="000000"/>
        </w:rPr>
        <w:t>/</w:t>
      </w:r>
      <w:r>
        <w:rPr>
          <w:rFonts w:hint="eastAsia"/>
          <w:bCs/>
          <w:color w:val="000000"/>
        </w:rPr>
        <w:t>或歧视问题以及避免未来歧视问题的措施有更明确的认识。</w:t>
      </w:r>
    </w:p>
    <w:p w:rsidR="00692915" w:rsidRDefault="00692915" w:rsidP="009A1C1B">
      <w:pPr>
        <w:tabs>
          <w:tab w:val="left" w:pos="1170"/>
        </w:tabs>
        <w:spacing w:after="240"/>
        <w:ind w:firstLine="31680"/>
        <w:rPr>
          <w:rFonts w:hint="eastAsia"/>
          <w:color w:val="000000"/>
        </w:rPr>
      </w:pPr>
      <w:r>
        <w:rPr>
          <w:color w:val="000000"/>
        </w:rPr>
        <w:t>408.</w:t>
      </w:r>
      <w:r>
        <w:rPr>
          <w:color w:val="000000"/>
        </w:rPr>
        <w:tab/>
      </w:r>
      <w:r>
        <w:rPr>
          <w:rFonts w:hint="eastAsia"/>
          <w:color w:val="000000"/>
        </w:rPr>
        <w:t>有关条约的专门文件中将进一步对歧视问题做更具体的探讨。</w:t>
      </w:r>
      <w:bookmarkStart w:id="76" w:name="_Toc150514975"/>
      <w:bookmarkStart w:id="77" w:name="_Toc150684878"/>
    </w:p>
    <w:p w:rsidR="00692915" w:rsidRDefault="00692915">
      <w:pPr>
        <w:tabs>
          <w:tab w:val="left" w:pos="520"/>
        </w:tabs>
        <w:spacing w:after="240"/>
        <w:ind w:firstLineChars="0" w:firstLine="0"/>
        <w:rPr>
          <w:rFonts w:hint="eastAsia"/>
          <w:bCs/>
          <w:color w:val="000000"/>
        </w:rPr>
      </w:pPr>
      <w:r>
        <w:rPr>
          <w:bCs/>
          <w:color w:val="000000"/>
        </w:rPr>
        <w:t>1.</w:t>
      </w:r>
      <w:r>
        <w:rPr>
          <w:bCs/>
          <w:color w:val="000000"/>
        </w:rPr>
        <w:tab/>
      </w:r>
      <w:bookmarkEnd w:id="76"/>
      <w:bookmarkEnd w:id="77"/>
      <w:r>
        <w:rPr>
          <w:rFonts w:hint="eastAsia"/>
          <w:bCs/>
          <w:color w:val="000000"/>
          <w:u w:val="single"/>
        </w:rPr>
        <w:t>非歧视：法律面前人人平等，人人享有依法受平等保护的权利</w:t>
      </w:r>
      <w:r>
        <w:rPr>
          <w:rStyle w:val="FootnoteReference"/>
          <w:bCs/>
          <w:color w:val="000000"/>
          <w:szCs w:val="24"/>
        </w:rPr>
        <w:footnoteReference w:id="194"/>
      </w:r>
    </w:p>
    <w:p w:rsidR="00692915" w:rsidRDefault="00692915" w:rsidP="009A1C1B">
      <w:pPr>
        <w:tabs>
          <w:tab w:val="left" w:pos="1170"/>
        </w:tabs>
        <w:ind w:firstLine="31680"/>
        <w:rPr>
          <w:rFonts w:hint="eastAsia"/>
          <w:color w:val="000000"/>
        </w:rPr>
      </w:pPr>
      <w:r>
        <w:rPr>
          <w:color w:val="000000"/>
        </w:rPr>
        <w:t>409.</w:t>
      </w:r>
      <w:r>
        <w:rPr>
          <w:rFonts w:hint="eastAsia"/>
          <w:color w:val="000000"/>
        </w:rPr>
        <w:t>《宪法》第</w:t>
      </w:r>
      <w:r>
        <w:rPr>
          <w:rFonts w:hint="eastAsia"/>
          <w:color w:val="000000"/>
        </w:rPr>
        <w:t>16</w:t>
      </w:r>
      <w:r>
        <w:rPr>
          <w:rFonts w:hint="eastAsia"/>
          <w:color w:val="000000"/>
        </w:rPr>
        <w:t>（</w:t>
      </w:r>
      <w:r>
        <w:rPr>
          <w:rFonts w:hint="eastAsia"/>
          <w:color w:val="000000"/>
        </w:rPr>
        <w:t>1</w:t>
      </w:r>
      <w:r>
        <w:rPr>
          <w:rFonts w:hint="eastAsia"/>
          <w:color w:val="000000"/>
        </w:rPr>
        <w:t>）条明确指出“在法律面前，所有公民都一律平等，都有同样的权利和义务”。第</w:t>
      </w:r>
      <w:r>
        <w:rPr>
          <w:rFonts w:hint="eastAsia"/>
          <w:color w:val="000000"/>
        </w:rPr>
        <w:t>26</w:t>
      </w:r>
      <w:r>
        <w:rPr>
          <w:rFonts w:hint="eastAsia"/>
          <w:color w:val="000000"/>
        </w:rPr>
        <w:t>（</w:t>
      </w:r>
      <w:r>
        <w:rPr>
          <w:rFonts w:hint="eastAsia"/>
          <w:color w:val="000000"/>
        </w:rPr>
        <w:t>2</w:t>
      </w:r>
      <w:r>
        <w:rPr>
          <w:rFonts w:hint="eastAsia"/>
          <w:color w:val="000000"/>
        </w:rPr>
        <w:t>）条进一步规定“不得因为经济能力不足而剥夺主张正义的权利”。</w:t>
      </w:r>
    </w:p>
    <w:p w:rsidR="00692915" w:rsidRDefault="00692915" w:rsidP="009A1C1B">
      <w:pPr>
        <w:tabs>
          <w:tab w:val="left" w:pos="1170"/>
        </w:tabs>
        <w:ind w:firstLine="31680"/>
        <w:rPr>
          <w:rFonts w:hint="eastAsia"/>
          <w:color w:val="000000"/>
        </w:rPr>
      </w:pPr>
      <w:r>
        <w:rPr>
          <w:color w:val="000000"/>
        </w:rPr>
        <w:t>410.</w:t>
      </w:r>
      <w:r>
        <w:rPr>
          <w:rFonts w:hint="eastAsia"/>
          <w:color w:val="000000"/>
        </w:rPr>
        <w:t xml:space="preserve"> </w:t>
      </w:r>
      <w:r>
        <w:rPr>
          <w:rFonts w:hint="eastAsia"/>
          <w:color w:val="000000"/>
        </w:rPr>
        <w:t>在东帝汶，公民享有依法受平等保护的权利。但事实证明，由于过渡期的司法部门还处于发展的初级阶段，所以要实现法律或法院面前人人平等的目标将面临着更大的困难，其中语言就是一个突出问题。</w:t>
      </w:r>
    </w:p>
    <w:p w:rsidR="00692915" w:rsidRDefault="00692915" w:rsidP="009A1C1B">
      <w:pPr>
        <w:tabs>
          <w:tab w:val="left" w:pos="1170"/>
        </w:tabs>
        <w:ind w:firstLine="31680"/>
        <w:rPr>
          <w:rFonts w:hint="eastAsia"/>
          <w:color w:val="000000"/>
        </w:rPr>
      </w:pPr>
      <w:r>
        <w:rPr>
          <w:color w:val="000000"/>
        </w:rPr>
        <w:t>411.</w:t>
      </w:r>
      <w:r>
        <w:rPr>
          <w:rFonts w:hint="eastAsia"/>
          <w:color w:val="000000"/>
        </w:rPr>
        <w:tab/>
      </w:r>
      <w:r>
        <w:rPr>
          <w:rFonts w:hint="eastAsia"/>
          <w:color w:val="000000"/>
        </w:rPr>
        <w:t>如上所述，《东帝汶宪法》第</w:t>
      </w:r>
      <w:r>
        <w:rPr>
          <w:rFonts w:hint="eastAsia"/>
          <w:color w:val="000000"/>
        </w:rPr>
        <w:t>13</w:t>
      </w:r>
      <w:r>
        <w:rPr>
          <w:rFonts w:hint="eastAsia"/>
          <w:color w:val="000000"/>
        </w:rPr>
        <w:t>条规定，德顿语和葡萄牙语将成为民主共和国的官方语言。因此，</w:t>
      </w:r>
      <w:r>
        <w:rPr>
          <w:rFonts w:hint="eastAsia"/>
          <w:color w:val="000000"/>
        </w:rPr>
        <w:t>2004</w:t>
      </w:r>
      <w:r>
        <w:rPr>
          <w:rFonts w:hint="eastAsia"/>
          <w:color w:val="000000"/>
        </w:rPr>
        <w:t>年</w:t>
      </w:r>
      <w:r>
        <w:rPr>
          <w:rFonts w:hint="eastAsia"/>
          <w:color w:val="000000"/>
        </w:rPr>
        <w:t>2</w:t>
      </w:r>
      <w:r>
        <w:rPr>
          <w:rFonts w:hint="eastAsia"/>
          <w:color w:val="000000"/>
        </w:rPr>
        <w:t>月，治安法官最高理事会通过了一项指令，要求司法系统使用官方语言。该制定规定的过渡期为</w:t>
      </w:r>
      <w:r>
        <w:rPr>
          <w:rFonts w:hint="eastAsia"/>
          <w:color w:val="000000"/>
        </w:rPr>
        <w:t>7</w:t>
      </w:r>
      <w:r>
        <w:rPr>
          <w:rFonts w:hint="eastAsia"/>
          <w:color w:val="000000"/>
        </w:rPr>
        <w:t>个月，过渡期结束后，所有法院文件都使用国家的官方语言，法院不得使用印度尼西亚语。值得一提的是，德顿语是东帝汶使用最普遍的语言。</w:t>
      </w:r>
      <w:r>
        <w:rPr>
          <w:rStyle w:val="FootnoteReference"/>
          <w:color w:val="000000"/>
        </w:rPr>
        <w:footnoteReference w:id="195"/>
      </w:r>
    </w:p>
    <w:p w:rsidR="00692915" w:rsidRDefault="00692915" w:rsidP="009A1C1B">
      <w:pPr>
        <w:tabs>
          <w:tab w:val="left" w:pos="1170"/>
        </w:tabs>
        <w:ind w:firstLine="31680"/>
        <w:rPr>
          <w:rFonts w:hint="eastAsia"/>
          <w:color w:val="000000"/>
        </w:rPr>
      </w:pPr>
      <w:r>
        <w:rPr>
          <w:color w:val="000000"/>
        </w:rPr>
        <w:t>412.</w:t>
      </w:r>
      <w:r>
        <w:rPr>
          <w:rFonts w:hint="eastAsia"/>
          <w:color w:val="000000"/>
        </w:rPr>
        <w:tab/>
      </w:r>
      <w:r>
        <w:rPr>
          <w:rFonts w:hint="eastAsia"/>
          <w:color w:val="000000"/>
        </w:rPr>
        <w:t>在东帝汶，德顿语在学术上受到限制，整个国家葡萄牙语的知识水平有限，印度尼西亚语在占领期间被长期使用</w:t>
      </w:r>
      <w:r>
        <w:rPr>
          <w:rFonts w:ascii="SimHei" w:eastAsia="SimHei" w:hint="eastAsia"/>
          <w:color w:val="000000"/>
          <w:spacing w:val="0"/>
        </w:rPr>
        <w:t>——</w:t>
      </w:r>
      <w:r>
        <w:rPr>
          <w:rFonts w:hint="eastAsia"/>
          <w:color w:val="000000"/>
        </w:rPr>
        <w:t>这些问题在某种程度上阻碍了法院从印度尼西亚语向葡萄牙语和德顿语的过渡，并带来了某种程度的混乱。直到最近，还很缺乏固定的翻译和讲解员队伍，这进一步加剧了问题的严重性。据称，在某些情况下，被告、证人和受害人对其所卷入的诉讼程序所知甚少或理解有限。</w:t>
      </w:r>
    </w:p>
    <w:p w:rsidR="00692915" w:rsidRDefault="00692915" w:rsidP="009A1C1B">
      <w:pPr>
        <w:tabs>
          <w:tab w:val="left" w:pos="1170"/>
        </w:tabs>
        <w:ind w:firstLine="31680"/>
        <w:rPr>
          <w:rFonts w:hint="eastAsia"/>
          <w:color w:val="000000"/>
        </w:rPr>
      </w:pPr>
      <w:r>
        <w:rPr>
          <w:color w:val="000000"/>
        </w:rPr>
        <w:t>413.</w:t>
      </w:r>
      <w:r>
        <w:rPr>
          <w:rFonts w:hint="eastAsia"/>
          <w:color w:val="000000"/>
        </w:rPr>
        <w:t xml:space="preserve"> </w:t>
      </w:r>
      <w:r>
        <w:rPr>
          <w:rFonts w:hint="eastAsia"/>
          <w:color w:val="000000"/>
        </w:rPr>
        <w:t>政府和法院一直在积极为司法部门招聘和培训一支新的译员队伍，以尽可能减轻这些问题。但这种可持续的长效措施未来才能产生预期效果。其中很多译员仍然处于专业发展阶段。政府希望通过大幅增加对法院的资源分配和促进葡萄牙语的教育，来尽快解决这些语言问题。</w:t>
      </w:r>
    </w:p>
    <w:p w:rsidR="00692915" w:rsidRDefault="00692915" w:rsidP="009A1C1B">
      <w:pPr>
        <w:tabs>
          <w:tab w:val="left" w:pos="1170"/>
        </w:tabs>
        <w:ind w:firstLine="31680"/>
        <w:rPr>
          <w:rFonts w:hint="eastAsia"/>
          <w:color w:val="000000"/>
        </w:rPr>
      </w:pPr>
      <w:r>
        <w:rPr>
          <w:color w:val="000000"/>
        </w:rPr>
        <w:t>414.</w:t>
      </w:r>
      <w:r>
        <w:rPr>
          <w:color w:val="000000"/>
        </w:rPr>
        <w:tab/>
      </w:r>
      <w:r>
        <w:rPr>
          <w:rFonts w:hint="eastAsia"/>
          <w:color w:val="000000"/>
        </w:rPr>
        <w:t>另外，值得注意的是，尽管《宪法》规定妇女在法律面前与男性平等，并享有依法受平等保护的权利，但在实践中，妇女通过正规途径寻求司法帮助的机会非常有限。这与很多因素有关，其中包括以下方面的实际限制因素，例如：资金有限或缺乏资金，因而无法要求对案件进行审理；往来法院的交通不便；不会说葡萄牙语、英语（很多国际司法人员都使用英语）或德顿语；对受到法律保护的权利知之甚少，或不了解；个案处理的时间很长等。</w:t>
      </w:r>
    </w:p>
    <w:p w:rsidR="00692915" w:rsidRDefault="00692915" w:rsidP="009A1C1B">
      <w:pPr>
        <w:tabs>
          <w:tab w:val="left" w:pos="1170"/>
        </w:tabs>
        <w:ind w:firstLine="31680"/>
        <w:rPr>
          <w:rFonts w:hint="eastAsia"/>
          <w:color w:val="000000"/>
        </w:rPr>
      </w:pPr>
      <w:r>
        <w:rPr>
          <w:color w:val="000000"/>
        </w:rPr>
        <w:t>415.</w:t>
      </w:r>
      <w:r>
        <w:rPr>
          <w:color w:val="000000"/>
        </w:rPr>
        <w:tab/>
      </w:r>
      <w:r>
        <w:rPr>
          <w:rFonts w:hint="eastAsia"/>
          <w:color w:val="000000"/>
        </w:rPr>
        <w:t>传统做法也妨碍了妇女通过更正规途径寻求司法帮助。在社会中，如果让人知道了一些敏感问题（例如：家庭暴力或性虐待），往往是一件不光彩的事，这常使妇女不愿意花钱处理这类事情。通常情况下，迫于家庭的压力，她们只能在家庭内部解决这些问题。在这些情况下，如果妇女希望将案件诉诸于法院，那么将无法取得家庭的社会经济支持。有关</w:t>
      </w:r>
      <w:r>
        <w:rPr>
          <w:color w:val="000000"/>
        </w:rPr>
        <w:t>《消除对妇女一切形式歧视公约》</w:t>
      </w:r>
      <w:r>
        <w:rPr>
          <w:rFonts w:hint="eastAsia"/>
          <w:color w:val="000000"/>
        </w:rPr>
        <w:t>的专门文件将更详细地讨论妇女寻求司法帮助的问题。</w:t>
      </w:r>
    </w:p>
    <w:p w:rsidR="00692915" w:rsidRDefault="00692915">
      <w:pPr>
        <w:pStyle w:val="Heading2"/>
        <w:tabs>
          <w:tab w:val="left" w:pos="1170"/>
        </w:tabs>
        <w:jc w:val="both"/>
        <w:rPr>
          <w:color w:val="000000"/>
        </w:rPr>
      </w:pPr>
      <w:bookmarkStart w:id="78" w:name="_Toc150514976"/>
      <w:bookmarkStart w:id="79" w:name="_Toc150684879"/>
      <w:r>
        <w:rPr>
          <w:color w:val="000000"/>
        </w:rPr>
        <w:t xml:space="preserve">2. </w:t>
      </w:r>
      <w:r>
        <w:rPr>
          <w:rFonts w:hint="eastAsia"/>
          <w:color w:val="000000"/>
          <w:u w:val="single"/>
        </w:rPr>
        <w:t>加速争取平等的特别措施</w:t>
      </w:r>
      <w:r>
        <w:rPr>
          <w:rStyle w:val="FootnoteReference"/>
          <w:bCs/>
          <w:color w:val="000000"/>
          <w:szCs w:val="24"/>
        </w:rPr>
        <w:footnoteReference w:id="196"/>
      </w:r>
      <w:r>
        <w:rPr>
          <w:rStyle w:val="FootnoteReference"/>
          <w:rFonts w:hint="eastAsia"/>
          <w:bCs/>
          <w:color w:val="000000"/>
          <w:szCs w:val="24"/>
        </w:rPr>
        <w:t>、</w:t>
      </w:r>
      <w:r>
        <w:rPr>
          <w:rStyle w:val="FootnoteReference"/>
          <w:bCs/>
          <w:color w:val="000000"/>
          <w:szCs w:val="24"/>
        </w:rPr>
        <w:footnoteReference w:id="197"/>
      </w:r>
      <w:bookmarkEnd w:id="78"/>
      <w:bookmarkEnd w:id="79"/>
    </w:p>
    <w:p w:rsidR="00692915" w:rsidRDefault="00692915" w:rsidP="009A1C1B">
      <w:pPr>
        <w:tabs>
          <w:tab w:val="left" w:pos="1170"/>
        </w:tabs>
        <w:ind w:firstLine="31680"/>
        <w:rPr>
          <w:rFonts w:hint="eastAsia"/>
          <w:color w:val="000000"/>
        </w:rPr>
      </w:pPr>
      <w:r>
        <w:rPr>
          <w:color w:val="000000"/>
        </w:rPr>
        <w:t>416.</w:t>
      </w:r>
      <w:r>
        <w:rPr>
          <w:color w:val="000000"/>
        </w:rPr>
        <w:tab/>
      </w:r>
      <w:r>
        <w:rPr>
          <w:rFonts w:hint="eastAsia"/>
          <w:color w:val="000000"/>
        </w:rPr>
        <w:t>《东帝汶宪法》规定，儿童、</w:t>
      </w:r>
      <w:r>
        <w:rPr>
          <w:rStyle w:val="FootnoteReference"/>
          <w:color w:val="000000"/>
        </w:rPr>
        <w:footnoteReference w:id="198"/>
      </w:r>
      <w:r>
        <w:rPr>
          <w:rFonts w:hint="eastAsia"/>
          <w:color w:val="000000"/>
        </w:rPr>
        <w:t>老年公民</w:t>
      </w:r>
      <w:r>
        <w:rPr>
          <w:rStyle w:val="FootnoteReference"/>
          <w:color w:val="000000"/>
        </w:rPr>
        <w:footnoteReference w:id="199"/>
      </w:r>
      <w:r>
        <w:rPr>
          <w:rFonts w:hint="eastAsia"/>
          <w:color w:val="000000"/>
        </w:rPr>
        <w:t>和残疾公民</w:t>
      </w:r>
      <w:r>
        <w:rPr>
          <w:rStyle w:val="FootnoteReference"/>
          <w:color w:val="000000"/>
        </w:rPr>
        <w:footnoteReference w:id="200"/>
      </w:r>
      <w:r>
        <w:rPr>
          <w:rFonts w:hint="eastAsia"/>
          <w:color w:val="000000"/>
        </w:rPr>
        <w:t>有权受到国家的特别保护。</w:t>
      </w:r>
    </w:p>
    <w:p w:rsidR="00692915" w:rsidRDefault="00692915" w:rsidP="009A1C1B">
      <w:pPr>
        <w:tabs>
          <w:tab w:val="left" w:pos="1170"/>
        </w:tabs>
        <w:ind w:firstLine="31680"/>
        <w:rPr>
          <w:rFonts w:hint="eastAsia"/>
          <w:color w:val="000000"/>
        </w:rPr>
      </w:pPr>
      <w:r>
        <w:rPr>
          <w:color w:val="000000"/>
        </w:rPr>
        <w:t>417.</w:t>
      </w:r>
      <w:r>
        <w:rPr>
          <w:color w:val="000000"/>
        </w:rPr>
        <w:tab/>
      </w:r>
      <w:r>
        <w:rPr>
          <w:rFonts w:hint="eastAsia"/>
          <w:color w:val="000000"/>
        </w:rPr>
        <w:t>如上所述，在有些情况下，这些弱势人群可能在其日常生活中处于不利地位。政府认识到国家弱势人群所面临的困境，因此将在必要的时候采取切合实际的特别措施或平等权利行动，以尽可能帮助这些人群全面参与和融入社会。</w:t>
      </w:r>
    </w:p>
    <w:p w:rsidR="00692915" w:rsidRDefault="00692915" w:rsidP="009A1C1B">
      <w:pPr>
        <w:tabs>
          <w:tab w:val="left" w:pos="1170"/>
        </w:tabs>
        <w:spacing w:after="240"/>
        <w:ind w:firstLine="31680"/>
        <w:rPr>
          <w:rFonts w:hint="eastAsia"/>
          <w:color w:val="000000"/>
        </w:rPr>
      </w:pPr>
      <w:r>
        <w:rPr>
          <w:color w:val="000000"/>
        </w:rPr>
        <w:t>418.</w:t>
      </w:r>
      <w:r>
        <w:rPr>
          <w:color w:val="000000"/>
        </w:rPr>
        <w:tab/>
      </w:r>
      <w:r>
        <w:rPr>
          <w:rFonts w:hint="eastAsia"/>
          <w:color w:val="000000"/>
        </w:rPr>
        <w:t>值得一提的是，东帝汶是一个新独立的民主国家，其全球发展指数仅位居第</w:t>
      </w:r>
      <w:r>
        <w:rPr>
          <w:rFonts w:hint="eastAsia"/>
          <w:color w:val="000000"/>
        </w:rPr>
        <w:t>140</w:t>
      </w:r>
      <w:r>
        <w:rPr>
          <w:rFonts w:hint="eastAsia"/>
          <w:color w:val="000000"/>
        </w:rPr>
        <w:t>位。因此，就目前而言，政府提供特别支持的种类和力度受到很大限制。在现有的能力范围内，政府做出了积极努力，以系统解决妇女所面临的固有不利条件，并有针对性地为退伍战斗人员和其他有迫切需求的弱势人群（包括儿童、残疾人和老人）提供援助。下文将简要介绍政府所采取的某些平权措施。</w:t>
      </w:r>
    </w:p>
    <w:p w:rsidR="00692915" w:rsidRDefault="00692915">
      <w:pPr>
        <w:pStyle w:val="Header"/>
        <w:tabs>
          <w:tab w:val="clear" w:pos="992"/>
          <w:tab w:val="clear" w:pos="5772"/>
          <w:tab w:val="clear" w:pos="6634"/>
          <w:tab w:val="clear" w:pos="7144"/>
          <w:tab w:val="clear" w:pos="7655"/>
          <w:tab w:val="clear" w:pos="8165"/>
          <w:tab w:val="left" w:pos="1170"/>
        </w:tabs>
        <w:spacing w:after="240" w:line="336" w:lineRule="auto"/>
        <w:ind w:firstLineChars="0" w:firstLine="0"/>
        <w:rPr>
          <w:rFonts w:hint="eastAsia"/>
          <w:color w:val="000000"/>
          <w:lang w:eastAsia="zh-CN"/>
        </w:rPr>
      </w:pPr>
      <w:r>
        <w:rPr>
          <w:rFonts w:hint="eastAsia"/>
          <w:color w:val="000000"/>
          <w:lang w:eastAsia="zh-CN"/>
        </w:rPr>
        <w:t>为妇女采取的临时特别措施</w:t>
      </w:r>
    </w:p>
    <w:p w:rsidR="00692915" w:rsidRDefault="00692915" w:rsidP="009A1C1B">
      <w:pPr>
        <w:tabs>
          <w:tab w:val="left" w:pos="1170"/>
        </w:tabs>
        <w:ind w:firstLine="31680"/>
        <w:rPr>
          <w:rFonts w:hint="eastAsia"/>
          <w:color w:val="000000"/>
        </w:rPr>
      </w:pPr>
      <w:r>
        <w:rPr>
          <w:color w:val="000000"/>
        </w:rPr>
        <w:t>419.</w:t>
      </w:r>
      <w:r>
        <w:rPr>
          <w:color w:val="000000"/>
        </w:rPr>
        <w:tab/>
      </w:r>
      <w:r>
        <w:rPr>
          <w:rFonts w:hint="eastAsia"/>
          <w:color w:val="000000"/>
        </w:rPr>
        <w:t>到目前为止，为进一步促进妇女平等，已专门起草或通过了几项临时法律或措施。这方面的一项典型举措，就是</w:t>
      </w:r>
      <w:r>
        <w:rPr>
          <w:color w:val="000000"/>
        </w:rPr>
        <w:t>东帝汶过渡当局</w:t>
      </w:r>
      <w:r>
        <w:rPr>
          <w:rFonts w:hint="eastAsia"/>
          <w:color w:val="000000"/>
        </w:rPr>
        <w:t>第</w:t>
      </w:r>
      <w:r>
        <w:rPr>
          <w:color w:val="000000"/>
        </w:rPr>
        <w:t>2002/5</w:t>
      </w:r>
      <w:r>
        <w:rPr>
          <w:rFonts w:hint="eastAsia"/>
          <w:color w:val="000000"/>
        </w:rPr>
        <w:t>号条例第</w:t>
      </w:r>
      <w:r>
        <w:rPr>
          <w:color w:val="000000"/>
        </w:rPr>
        <w:t>11.18</w:t>
      </w:r>
      <w:r>
        <w:rPr>
          <w:rFonts w:hint="eastAsia"/>
          <w:color w:val="000000"/>
        </w:rPr>
        <w:t>条关于制定东帝汶《劳工法典》的规定。根据该条规定，劳动与社会安置部可采取“特别措施”，</w:t>
      </w:r>
      <w:r>
        <w:rPr>
          <w:rFonts w:hint="eastAsia"/>
          <w:color w:val="000000"/>
        </w:rPr>
        <w:t xml:space="preserve"> </w:t>
      </w:r>
      <w:r>
        <w:rPr>
          <w:rFonts w:hint="eastAsia"/>
          <w:color w:val="000000"/>
        </w:rPr>
        <w:t>以便针对女性工作者和</w:t>
      </w:r>
      <w:r>
        <w:rPr>
          <w:rFonts w:hint="eastAsia"/>
          <w:color w:val="000000"/>
        </w:rPr>
        <w:t>/</w:t>
      </w:r>
      <w:r>
        <w:rPr>
          <w:rFonts w:hint="eastAsia"/>
          <w:color w:val="000000"/>
        </w:rPr>
        <w:t>或怀孕和哺乳期女性工作者以及其他人员，“在培训……工作和就业条件方面，克服各种妨碍机会和待遇平等的歧视性做法及观念”。该条进一步指出，这类措施将不视为歧视性措施。</w:t>
      </w:r>
    </w:p>
    <w:p w:rsidR="00692915" w:rsidRDefault="00692915" w:rsidP="009A1C1B">
      <w:pPr>
        <w:tabs>
          <w:tab w:val="left" w:pos="1170"/>
        </w:tabs>
        <w:ind w:firstLine="31680"/>
        <w:rPr>
          <w:rFonts w:hint="eastAsia"/>
          <w:color w:val="000000"/>
        </w:rPr>
      </w:pPr>
      <w:r>
        <w:rPr>
          <w:color w:val="000000"/>
        </w:rPr>
        <w:t>420.</w:t>
      </w:r>
      <w:r>
        <w:rPr>
          <w:color w:val="000000"/>
        </w:rPr>
        <w:tab/>
      </w:r>
      <w:r>
        <w:rPr>
          <w:rFonts w:hint="eastAsia"/>
          <w:color w:val="000000"/>
        </w:rPr>
        <w:t>在过渡期间，</w:t>
      </w:r>
      <w:r>
        <w:rPr>
          <w:color w:val="000000"/>
        </w:rPr>
        <w:t>东帝汶过渡当局</w:t>
      </w:r>
      <w:r>
        <w:rPr>
          <w:rFonts w:hint="eastAsia"/>
          <w:color w:val="000000"/>
        </w:rPr>
        <w:t>采取了各种非正式措施，包括建立国家委员会，以进一步促进妇女公开参政的水平。秘书长的特别代表发出指令，要求为委员会提名的四名候选人中至少有两名为妇女</w:t>
      </w:r>
      <w:r>
        <w:rPr>
          <w:rFonts w:ascii="SimHei" w:eastAsia="SimHei" w:hint="eastAsia"/>
          <w:color w:val="000000"/>
          <w:spacing w:val="0"/>
        </w:rPr>
        <w:t>——</w:t>
      </w:r>
      <w:r>
        <w:rPr>
          <w:rFonts w:hint="eastAsia"/>
          <w:color w:val="000000"/>
        </w:rPr>
        <w:t>这些候选人来自</w:t>
      </w:r>
      <w:r>
        <w:rPr>
          <w:rFonts w:hint="eastAsia"/>
          <w:color w:val="000000"/>
        </w:rPr>
        <w:t>13</w:t>
      </w:r>
      <w:r>
        <w:rPr>
          <w:rFonts w:hint="eastAsia"/>
          <w:color w:val="000000"/>
        </w:rPr>
        <w:t>个地区和民间组织。由于采取了这些措施，所以国家委员会的</w:t>
      </w:r>
      <w:r>
        <w:rPr>
          <w:rFonts w:hint="eastAsia"/>
          <w:color w:val="000000"/>
        </w:rPr>
        <w:t>33</w:t>
      </w:r>
      <w:r>
        <w:rPr>
          <w:rFonts w:hint="eastAsia"/>
          <w:color w:val="000000"/>
        </w:rPr>
        <w:t>个职位中有</w:t>
      </w:r>
      <w:r>
        <w:rPr>
          <w:rFonts w:hint="eastAsia"/>
          <w:color w:val="000000"/>
        </w:rPr>
        <w:t>13</w:t>
      </w:r>
      <w:r>
        <w:rPr>
          <w:rFonts w:hint="eastAsia"/>
          <w:color w:val="000000"/>
        </w:rPr>
        <w:t>名为妇女。</w:t>
      </w:r>
    </w:p>
    <w:p w:rsidR="00692915" w:rsidRDefault="00692915" w:rsidP="009A1C1B">
      <w:pPr>
        <w:tabs>
          <w:tab w:val="left" w:pos="1170"/>
        </w:tabs>
        <w:ind w:firstLine="31680"/>
        <w:rPr>
          <w:rFonts w:hint="eastAsia"/>
          <w:color w:val="000000"/>
        </w:rPr>
      </w:pPr>
      <w:r>
        <w:rPr>
          <w:color w:val="000000"/>
        </w:rPr>
        <w:t>421.</w:t>
      </w:r>
      <w:r>
        <w:rPr>
          <w:color w:val="000000"/>
        </w:rPr>
        <w:tab/>
      </w:r>
      <w:r>
        <w:rPr>
          <w:rFonts w:hint="eastAsia"/>
          <w:color w:val="000000"/>
        </w:rPr>
        <w:t>根据</w:t>
      </w:r>
      <w:r>
        <w:rPr>
          <w:rFonts w:hint="eastAsia"/>
          <w:color w:val="000000"/>
        </w:rPr>
        <w:t>2000</w:t>
      </w:r>
      <w:r>
        <w:rPr>
          <w:rFonts w:hint="eastAsia"/>
          <w:color w:val="000000"/>
        </w:rPr>
        <w:t>年第一次全国妇女大会的建议，秘书长特别代表于</w:t>
      </w:r>
      <w:r>
        <w:rPr>
          <w:rFonts w:hint="eastAsia"/>
          <w:color w:val="000000"/>
        </w:rPr>
        <w:t>2001</w:t>
      </w:r>
      <w:r>
        <w:rPr>
          <w:rFonts w:hint="eastAsia"/>
          <w:color w:val="000000"/>
        </w:rPr>
        <w:t>年通过了一项决定，要求公共管理机构中妇女的比率至少为</w:t>
      </w:r>
      <w:r>
        <w:rPr>
          <w:rFonts w:hint="eastAsia"/>
          <w:color w:val="000000"/>
        </w:rPr>
        <w:t>30%</w:t>
      </w:r>
      <w:r>
        <w:rPr>
          <w:rFonts w:hint="eastAsia"/>
          <w:color w:val="000000"/>
        </w:rPr>
        <w:t>，这项决定产生了立竿见影的积极效果：行政职位的招聘中妇女比率略超过</w:t>
      </w:r>
      <w:r>
        <w:rPr>
          <w:rFonts w:hint="eastAsia"/>
          <w:color w:val="000000"/>
        </w:rPr>
        <w:t>18%</w:t>
      </w:r>
      <w:r>
        <w:rPr>
          <w:rFonts w:hint="eastAsia"/>
          <w:color w:val="000000"/>
        </w:rPr>
        <w:t>。同样，在过渡期间，</w:t>
      </w:r>
      <w:r>
        <w:rPr>
          <w:color w:val="000000"/>
        </w:rPr>
        <w:t>东帝汶过渡当局</w:t>
      </w:r>
      <w:r>
        <w:rPr>
          <w:rFonts w:hint="eastAsia"/>
          <w:color w:val="000000"/>
        </w:rPr>
        <w:t>采取了特别措施，以便在设立</w:t>
      </w:r>
      <w:r>
        <w:rPr>
          <w:color w:val="000000"/>
        </w:rPr>
        <w:t>东帝汶国家警察</w:t>
      </w:r>
      <w:r>
        <w:rPr>
          <w:rFonts w:hint="eastAsia"/>
          <w:color w:val="000000"/>
        </w:rPr>
        <w:t>的过程中，确保妇女占有适当的比率，在第一轮招聘的新人中，妇女占了</w:t>
      </w:r>
      <w:r>
        <w:rPr>
          <w:rFonts w:hint="eastAsia"/>
          <w:color w:val="000000"/>
        </w:rPr>
        <w:t>40%</w:t>
      </w:r>
      <w:r>
        <w:rPr>
          <w:rFonts w:hint="eastAsia"/>
          <w:color w:val="000000"/>
        </w:rPr>
        <w:t>。但在撰写本报告之时，这一比率一直在逐渐下降，在警察机关中，女性比例不到五分之一。</w:t>
      </w:r>
    </w:p>
    <w:p w:rsidR="00692915" w:rsidRDefault="00692915" w:rsidP="009A1C1B">
      <w:pPr>
        <w:tabs>
          <w:tab w:val="left" w:pos="1170"/>
        </w:tabs>
        <w:ind w:firstLine="31680"/>
        <w:rPr>
          <w:rFonts w:hint="eastAsia"/>
          <w:color w:val="000000"/>
        </w:rPr>
      </w:pPr>
      <w:r>
        <w:rPr>
          <w:color w:val="000000"/>
        </w:rPr>
        <w:t>422.</w:t>
      </w:r>
      <w:r>
        <w:rPr>
          <w:color w:val="000000"/>
        </w:rPr>
        <w:tab/>
      </w:r>
      <w:r>
        <w:rPr>
          <w:rFonts w:hint="eastAsia"/>
          <w:color w:val="000000"/>
        </w:rPr>
        <w:t>之后，妇女组织进行了大力游说，要求</w:t>
      </w:r>
      <w:r>
        <w:rPr>
          <w:rFonts w:hint="eastAsia"/>
          <w:color w:val="000000"/>
        </w:rPr>
        <w:t>2001</w:t>
      </w:r>
      <w:r>
        <w:rPr>
          <w:rFonts w:hint="eastAsia"/>
          <w:color w:val="000000"/>
        </w:rPr>
        <w:t>年制宪议会中妇女的席位占</w:t>
      </w:r>
      <w:r>
        <w:rPr>
          <w:rFonts w:hint="eastAsia"/>
          <w:color w:val="000000"/>
        </w:rPr>
        <w:t>30%</w:t>
      </w:r>
      <w:r>
        <w:rPr>
          <w:rFonts w:hint="eastAsia"/>
          <w:color w:val="000000"/>
        </w:rPr>
        <w:t>，自此，配额问题又再次浮出水面。行政当局否决了有关妇女候选人配额的请求，但是采取了很多非正式的平等权利措施，以促进妇女参与选举活动。其中包括为近</w:t>
      </w:r>
      <w:r>
        <w:rPr>
          <w:rFonts w:hint="eastAsia"/>
          <w:color w:val="000000"/>
        </w:rPr>
        <w:t>200</w:t>
      </w:r>
      <w:r>
        <w:rPr>
          <w:rFonts w:hint="eastAsia"/>
          <w:color w:val="000000"/>
        </w:rPr>
        <w:t>名潜在女候选人的培训提供支持，并为那些要求女候选人至少占</w:t>
      </w:r>
      <w:r>
        <w:rPr>
          <w:rFonts w:hint="eastAsia"/>
          <w:color w:val="000000"/>
        </w:rPr>
        <w:t>30%</w:t>
      </w:r>
      <w:r>
        <w:rPr>
          <w:rFonts w:hint="eastAsia"/>
          <w:color w:val="000000"/>
        </w:rPr>
        <w:t>的党派提供专门的电视和电台广播时间。另外，还鼓励各党派将妇女问题纳入其议程。结果，在大会（之后成了东帝汶第一届议会）的</w:t>
      </w:r>
      <w:r>
        <w:rPr>
          <w:rFonts w:hint="eastAsia"/>
          <w:color w:val="000000"/>
        </w:rPr>
        <w:t>88</w:t>
      </w:r>
      <w:r>
        <w:rPr>
          <w:rFonts w:hint="eastAsia"/>
          <w:color w:val="000000"/>
        </w:rPr>
        <w:t>名入选成员中，有</w:t>
      </w:r>
      <w:r>
        <w:rPr>
          <w:rFonts w:hint="eastAsia"/>
          <w:color w:val="000000"/>
        </w:rPr>
        <w:t>23</w:t>
      </w:r>
      <w:r>
        <w:rPr>
          <w:rFonts w:hint="eastAsia"/>
          <w:color w:val="000000"/>
        </w:rPr>
        <w:t>名为妇女。</w:t>
      </w:r>
    </w:p>
    <w:p w:rsidR="00692915" w:rsidRDefault="00692915" w:rsidP="009A1C1B">
      <w:pPr>
        <w:tabs>
          <w:tab w:val="left" w:pos="1170"/>
        </w:tabs>
        <w:ind w:firstLine="31680"/>
        <w:rPr>
          <w:rFonts w:hint="eastAsia"/>
          <w:color w:val="000000"/>
        </w:rPr>
      </w:pPr>
      <w:r>
        <w:rPr>
          <w:color w:val="000000"/>
        </w:rPr>
        <w:t>423.</w:t>
      </w:r>
      <w:r>
        <w:rPr>
          <w:color w:val="000000"/>
        </w:rPr>
        <w:tab/>
      </w:r>
      <w:r>
        <w:rPr>
          <w:rFonts w:hint="eastAsia"/>
          <w:color w:val="000000"/>
        </w:rPr>
        <w:t>为确定女代表最低比率做出的这些努力在政治舞台上引起了强烈反响，并最终于</w:t>
      </w:r>
      <w:r>
        <w:rPr>
          <w:rFonts w:hint="eastAsia"/>
          <w:color w:val="000000"/>
        </w:rPr>
        <w:t>2004</w:t>
      </w:r>
      <w:r>
        <w:rPr>
          <w:rFonts w:hint="eastAsia"/>
          <w:color w:val="000000"/>
        </w:rPr>
        <w:t>年制定了《乡选举法》和《乡</w:t>
      </w:r>
      <w:r>
        <w:rPr>
          <w:rFonts w:eastAsia="KaiTi_GB2312" w:hint="eastAsia"/>
          <w:color w:val="000000"/>
        </w:rPr>
        <w:t>委会法》</w:t>
      </w:r>
      <w:r>
        <w:rPr>
          <w:rStyle w:val="FootnoteReference"/>
          <w:color w:val="000000"/>
        </w:rPr>
        <w:footnoteReference w:id="201"/>
      </w:r>
      <w:r>
        <w:rPr>
          <w:rFonts w:ascii="SimHei" w:eastAsia="SimHei" w:hint="eastAsia"/>
          <w:color w:val="000000"/>
          <w:spacing w:val="0"/>
        </w:rPr>
        <w:t>——</w:t>
      </w:r>
      <w:r>
        <w:rPr>
          <w:rFonts w:hint="eastAsia"/>
          <w:color w:val="000000"/>
        </w:rPr>
        <w:t>这些为妇女当选乡长或入选乡委会的权利提供了保障。下文有关政治参与的部分将进一步讨论该问题。</w:t>
      </w:r>
    </w:p>
    <w:p w:rsidR="00692915" w:rsidRDefault="00692915" w:rsidP="009A1C1B">
      <w:pPr>
        <w:tabs>
          <w:tab w:val="left" w:pos="1170"/>
        </w:tabs>
        <w:ind w:firstLine="31680"/>
        <w:rPr>
          <w:rFonts w:hint="eastAsia"/>
          <w:color w:val="000000"/>
        </w:rPr>
      </w:pPr>
      <w:r>
        <w:rPr>
          <w:color w:val="000000"/>
        </w:rPr>
        <w:t>424.</w:t>
      </w:r>
      <w:r>
        <w:rPr>
          <w:color w:val="000000"/>
        </w:rPr>
        <w:tab/>
      </w:r>
      <w:r>
        <w:rPr>
          <w:rFonts w:hint="eastAsia"/>
          <w:color w:val="000000"/>
        </w:rPr>
        <w:t>在教育领域，劳动与社会安置部正在通过国家社会服务司与地方非政府组织和</w:t>
      </w:r>
      <w:r>
        <w:rPr>
          <w:color w:val="000000"/>
        </w:rPr>
        <w:t>阿洛拉基金会</w:t>
      </w:r>
      <w:r>
        <w:rPr>
          <w:rFonts w:hint="eastAsia"/>
          <w:color w:val="000000"/>
        </w:rPr>
        <w:t>一起合作，为那些需要支持才能上学的少女提供奖学金。目前，基金会为年轻妇女分配了约</w:t>
      </w:r>
      <w:r>
        <w:rPr>
          <w:rFonts w:hint="eastAsia"/>
          <w:color w:val="000000"/>
        </w:rPr>
        <w:t>700</w:t>
      </w:r>
      <w:r>
        <w:rPr>
          <w:rFonts w:hint="eastAsia"/>
          <w:color w:val="000000"/>
        </w:rPr>
        <w:t>名的奖学金和助学金名额。从</w:t>
      </w:r>
      <w:r>
        <w:rPr>
          <w:rFonts w:hint="eastAsia"/>
          <w:color w:val="000000"/>
        </w:rPr>
        <w:t>2004</w:t>
      </w:r>
      <w:r>
        <w:rPr>
          <w:rFonts w:hint="eastAsia"/>
          <w:color w:val="000000"/>
        </w:rPr>
        <w:t>年到</w:t>
      </w:r>
      <w:r>
        <w:rPr>
          <w:rFonts w:hint="eastAsia"/>
          <w:color w:val="000000"/>
        </w:rPr>
        <w:t>2005</w:t>
      </w:r>
      <w:r>
        <w:rPr>
          <w:rFonts w:hint="eastAsia"/>
          <w:color w:val="000000"/>
        </w:rPr>
        <w:t>年期间，已经为</w:t>
      </w:r>
      <w:r>
        <w:rPr>
          <w:rFonts w:hint="eastAsia"/>
          <w:color w:val="000000"/>
        </w:rPr>
        <w:t>470</w:t>
      </w:r>
      <w:r>
        <w:rPr>
          <w:rFonts w:hint="eastAsia"/>
          <w:color w:val="000000"/>
        </w:rPr>
        <w:t>名年轻女孩授予了奖学金，帮助她们完成了中等教育。</w:t>
      </w:r>
    </w:p>
    <w:p w:rsidR="00692915" w:rsidRDefault="00692915" w:rsidP="009A1C1B">
      <w:pPr>
        <w:tabs>
          <w:tab w:val="left" w:pos="1170"/>
        </w:tabs>
        <w:ind w:firstLine="31680"/>
        <w:rPr>
          <w:rFonts w:hint="eastAsia"/>
          <w:color w:val="000000"/>
        </w:rPr>
      </w:pPr>
      <w:r>
        <w:rPr>
          <w:color w:val="000000"/>
        </w:rPr>
        <w:t>425.</w:t>
      </w:r>
      <w:r>
        <w:rPr>
          <w:color w:val="000000"/>
        </w:rPr>
        <w:tab/>
      </w:r>
      <w:r>
        <w:rPr>
          <w:rFonts w:hint="eastAsia"/>
          <w:color w:val="000000"/>
        </w:rPr>
        <w:t>另外，需要采取措施解决妇女和女孩受暴力的问题，以及分居和离婚妇女受歧视的问题，同时还需要为儿童提供支持，这些一直是政府的首要优先事项。还将颁布一项维护性法律，这是整套《反家庭暴力法》的一部分，旨在为暴力受害人及其子女提供支持。</w:t>
      </w:r>
    </w:p>
    <w:p w:rsidR="00692915" w:rsidRDefault="00692915" w:rsidP="009A1C1B">
      <w:pPr>
        <w:tabs>
          <w:tab w:val="left" w:pos="1170"/>
        </w:tabs>
        <w:spacing w:after="240"/>
        <w:ind w:firstLine="31680"/>
        <w:rPr>
          <w:rFonts w:hint="eastAsia"/>
          <w:color w:val="000000"/>
        </w:rPr>
      </w:pPr>
      <w:r>
        <w:rPr>
          <w:color w:val="000000"/>
        </w:rPr>
        <w:t>426.</w:t>
      </w:r>
      <w:r>
        <w:rPr>
          <w:color w:val="000000"/>
        </w:rPr>
        <w:tab/>
      </w:r>
      <w:r>
        <w:rPr>
          <w:rFonts w:hint="eastAsia"/>
          <w:color w:val="000000"/>
        </w:rPr>
        <w:t>一些妇女非政府组织提供了各种基本的支持服务，例如：为性别暴力的受害妇女和儿童提供庇护所，这些支持服务必须覆盖整个国家，但却受到诸如：资金有限等很多因素的限制。另外，其中很多非政府组织完全要靠国际援助机构的资助，从长远来说，这缺乏保障。在首都以外，各种服务和支持系统很少，而且资源也很匮乏。有关</w:t>
      </w:r>
      <w:r>
        <w:rPr>
          <w:color w:val="000000"/>
        </w:rPr>
        <w:t>《儿童权利公约》</w:t>
      </w:r>
      <w:r>
        <w:rPr>
          <w:rFonts w:hint="eastAsia"/>
          <w:color w:val="000000"/>
        </w:rPr>
        <w:t>和</w:t>
      </w:r>
      <w:r>
        <w:rPr>
          <w:color w:val="000000"/>
        </w:rPr>
        <w:t>《消除对妇女一切形式歧视公约》</w:t>
      </w:r>
      <w:r>
        <w:rPr>
          <w:rFonts w:hint="eastAsia"/>
          <w:color w:val="000000"/>
        </w:rPr>
        <w:t>的专门文件将进一步讨论这一问题。</w:t>
      </w:r>
    </w:p>
    <w:p w:rsidR="00692915" w:rsidRDefault="00692915">
      <w:pPr>
        <w:pStyle w:val="Heading3"/>
        <w:tabs>
          <w:tab w:val="left" w:pos="1170"/>
        </w:tabs>
        <w:jc w:val="both"/>
        <w:rPr>
          <w:rFonts w:eastAsia="KaiTi_GB2312" w:hint="eastAsia"/>
          <w:color w:val="000000"/>
          <w:u w:val="none"/>
        </w:rPr>
      </w:pPr>
      <w:r>
        <w:rPr>
          <w:rFonts w:eastAsia="KaiTi_GB2312" w:hint="eastAsia"/>
          <w:color w:val="000000"/>
          <w:u w:val="none"/>
        </w:rPr>
        <w:t>退伍战斗人员</w:t>
      </w:r>
    </w:p>
    <w:p w:rsidR="00692915" w:rsidRDefault="00692915" w:rsidP="009A1C1B">
      <w:pPr>
        <w:tabs>
          <w:tab w:val="left" w:pos="1170"/>
        </w:tabs>
        <w:ind w:firstLine="31680"/>
        <w:rPr>
          <w:rFonts w:hint="eastAsia"/>
          <w:color w:val="000000"/>
        </w:rPr>
      </w:pPr>
      <w:r>
        <w:rPr>
          <w:color w:val="000000"/>
        </w:rPr>
        <w:t>427.</w:t>
      </w:r>
      <w:r>
        <w:rPr>
          <w:color w:val="000000"/>
        </w:rPr>
        <w:tab/>
      </w:r>
      <w:r>
        <w:rPr>
          <w:rFonts w:hint="eastAsia"/>
          <w:color w:val="000000"/>
        </w:rPr>
        <w:t>退伍军人作为一个群体是国家继承的重要财富。《宪法》第</w:t>
      </w:r>
      <w:r>
        <w:rPr>
          <w:rFonts w:hint="eastAsia"/>
          <w:color w:val="000000"/>
        </w:rPr>
        <w:t>11</w:t>
      </w:r>
      <w:r>
        <w:rPr>
          <w:rFonts w:hint="eastAsia"/>
          <w:color w:val="000000"/>
        </w:rPr>
        <w:t>条承认，东帝汶为抵抗外国占领进行了长期努力，在对这种努力做出评价时，“将特别保护战争伤残者、孤儿或在争取独立和国家主权斗争中捐躯者的其他遗属，保护那些参与抵抗外国占领活动的人士”。</w:t>
      </w:r>
    </w:p>
    <w:p w:rsidR="00692915" w:rsidRDefault="00692915" w:rsidP="009A1C1B">
      <w:pPr>
        <w:tabs>
          <w:tab w:val="left" w:pos="1170"/>
        </w:tabs>
        <w:ind w:firstLine="31680"/>
        <w:rPr>
          <w:rFonts w:hint="eastAsia"/>
          <w:color w:val="000000"/>
        </w:rPr>
      </w:pPr>
      <w:r>
        <w:rPr>
          <w:color w:val="000000"/>
        </w:rPr>
        <w:t>428.</w:t>
      </w:r>
      <w:r>
        <w:rPr>
          <w:color w:val="000000"/>
        </w:rPr>
        <w:tab/>
      </w:r>
      <w:r>
        <w:rPr>
          <w:rFonts w:hint="eastAsia"/>
          <w:color w:val="000000"/>
        </w:rPr>
        <w:t>尽管有些退伍军人可能属于危险人群之列，可能在残疾和年龄方面受到质疑，或者可能成为不稳定的一个来源，但是作为一个群体，他们有着独特的历史地位和身份。在东帝汶社会中，所有抵抗占领的退伍军人都是活生生的国家财富，其形象是赢得国家荣誉的来源之一。</w:t>
      </w:r>
    </w:p>
    <w:p w:rsidR="00692915" w:rsidRDefault="00692915" w:rsidP="009A1C1B">
      <w:pPr>
        <w:tabs>
          <w:tab w:val="left" w:pos="1170"/>
        </w:tabs>
        <w:ind w:firstLine="31680"/>
        <w:rPr>
          <w:rFonts w:hint="eastAsia"/>
          <w:color w:val="000000"/>
        </w:rPr>
      </w:pPr>
      <w:r>
        <w:rPr>
          <w:color w:val="000000"/>
        </w:rPr>
        <w:t>429.</w:t>
      </w:r>
      <w:r>
        <w:rPr>
          <w:color w:val="000000"/>
        </w:rPr>
        <w:tab/>
      </w:r>
      <w:r>
        <w:rPr>
          <w:rFonts w:hint="eastAsia"/>
          <w:color w:val="000000"/>
        </w:rPr>
        <w:t>退伍军人和前战斗人员国务秘书处（</w:t>
      </w:r>
      <w:r>
        <w:rPr>
          <w:color w:val="000000"/>
        </w:rPr>
        <w:t>SEAVAC</w:t>
      </w:r>
      <w:r>
        <w:rPr>
          <w:rFonts w:hint="eastAsia"/>
          <w:color w:val="000000"/>
        </w:rPr>
        <w:t>）设在劳动与社会安置部内部，负责实施各种旨在肯定退伍军人价值的方案。到目前为止所开展的这类方案包括：在梅迪纳罗建立抵抗战士公墓。</w:t>
      </w:r>
    </w:p>
    <w:p w:rsidR="00692915" w:rsidRDefault="00692915" w:rsidP="009A1C1B">
      <w:pPr>
        <w:tabs>
          <w:tab w:val="left" w:pos="1170"/>
        </w:tabs>
        <w:ind w:firstLine="31680"/>
        <w:rPr>
          <w:rFonts w:hint="eastAsia"/>
          <w:color w:val="000000"/>
        </w:rPr>
      </w:pPr>
      <w:r>
        <w:rPr>
          <w:color w:val="000000"/>
        </w:rPr>
        <w:t>430.</w:t>
      </w:r>
      <w:r>
        <w:rPr>
          <w:color w:val="000000"/>
        </w:rPr>
        <w:tab/>
      </w:r>
      <w:r>
        <w:rPr>
          <w:rFonts w:hint="eastAsia"/>
          <w:color w:val="000000"/>
        </w:rPr>
        <w:t>在各种旨在肯定退伍军人价值的方案中，其中之一就是由总理发起了两个委员会</w:t>
      </w:r>
      <w:r>
        <w:rPr>
          <w:rFonts w:eastAsia="SimHei" w:hint="eastAsia"/>
          <w:color w:val="000000"/>
          <w:spacing w:val="0"/>
        </w:rPr>
        <w:t>——</w:t>
      </w:r>
      <w:r>
        <w:rPr>
          <w:rFonts w:hint="eastAsia"/>
          <w:color w:val="000000"/>
        </w:rPr>
        <w:t>前战斗人员事务委员会（</w:t>
      </w:r>
      <w:r>
        <w:rPr>
          <w:color w:val="000000"/>
        </w:rPr>
        <w:t>CAAC</w:t>
      </w:r>
      <w:r>
        <w:rPr>
          <w:rFonts w:hint="eastAsia"/>
          <w:color w:val="000000"/>
        </w:rPr>
        <w:t>）和东帝汶民族解放组织武装部队退伍人员事务委员会（</w:t>
      </w:r>
      <w:r>
        <w:rPr>
          <w:color w:val="000000"/>
        </w:rPr>
        <w:t>CAVF</w:t>
      </w:r>
      <w:r>
        <w:rPr>
          <w:rFonts w:hint="eastAsia"/>
          <w:color w:val="000000"/>
        </w:rPr>
        <w:t>），这两个委员会对全国的退伍军人进行确认和登记，并将根据服役期限将这些人员确认为</w:t>
      </w:r>
      <w:r>
        <w:rPr>
          <w:rFonts w:eastAsia="KaiTi_GB2312" w:hint="eastAsia"/>
          <w:color w:val="000000"/>
        </w:rPr>
        <w:t>东帝汶民族解放组织武装部队老战斗人员</w:t>
      </w:r>
      <w:r>
        <w:rPr>
          <w:rFonts w:hint="eastAsia"/>
          <w:color w:val="000000"/>
        </w:rPr>
        <w:t>或</w:t>
      </w:r>
      <w:r>
        <w:rPr>
          <w:rFonts w:eastAsia="KaiTi_GB2312" w:hint="eastAsia"/>
          <w:color w:val="000000"/>
        </w:rPr>
        <w:t>东帝汶民族解放组织武装部队退伍军人</w:t>
      </w:r>
      <w:r>
        <w:rPr>
          <w:rFonts w:hint="eastAsia"/>
          <w:color w:val="000000"/>
        </w:rPr>
        <w:t>。这些委员会在世界银行的帮助下建立了数据库，数据库中登记的人数大约为</w:t>
      </w:r>
      <w:r>
        <w:rPr>
          <w:color w:val="000000"/>
        </w:rPr>
        <w:t>37,000</w:t>
      </w:r>
      <w:r>
        <w:rPr>
          <w:rFonts w:hint="eastAsia"/>
          <w:color w:val="000000"/>
        </w:rPr>
        <w:t>人，其最终报告已于</w:t>
      </w:r>
      <w:r>
        <w:rPr>
          <w:rFonts w:hint="eastAsia"/>
          <w:color w:val="000000"/>
        </w:rPr>
        <w:t>2004</w:t>
      </w:r>
      <w:r>
        <w:rPr>
          <w:rFonts w:hint="eastAsia"/>
          <w:color w:val="000000"/>
        </w:rPr>
        <w:t>年</w:t>
      </w:r>
      <w:r>
        <w:rPr>
          <w:rFonts w:hint="eastAsia"/>
          <w:color w:val="000000"/>
        </w:rPr>
        <w:t>6</w:t>
      </w:r>
      <w:r>
        <w:rPr>
          <w:rFonts w:hint="eastAsia"/>
          <w:color w:val="000000"/>
        </w:rPr>
        <w:t>月完成，报告建议对那些在不同程度上为战争做出贡献的退伍军人表示敬意。根据这些建议，议会最近通过了旨在确认退伍军人价值的立法，规定向前战斗人员发放拨款。值得一提的是，将进一步建立一个非军事抵抗委员会（</w:t>
      </w:r>
      <w:r>
        <w:rPr>
          <w:color w:val="000000"/>
        </w:rPr>
        <w:t>CAQR</w:t>
      </w:r>
      <w:r>
        <w:rPr>
          <w:rFonts w:hint="eastAsia"/>
          <w:color w:val="000000"/>
        </w:rPr>
        <w:t>），以便对秘密组织或民间组织在争取独立过程中所做出的贡献予以承认。该委员会在其职权范围书中规定妇女在地区和县成员中的比率应为</w:t>
      </w:r>
      <w:r>
        <w:rPr>
          <w:rFonts w:hint="eastAsia"/>
          <w:color w:val="000000"/>
        </w:rPr>
        <w:t>40%</w:t>
      </w:r>
      <w:r>
        <w:rPr>
          <w:rFonts w:hint="eastAsia"/>
          <w:color w:val="000000"/>
        </w:rPr>
        <w:t>。</w:t>
      </w:r>
    </w:p>
    <w:p w:rsidR="00692915" w:rsidRDefault="00692915" w:rsidP="009A1C1B">
      <w:pPr>
        <w:tabs>
          <w:tab w:val="left" w:pos="1170"/>
        </w:tabs>
        <w:spacing w:after="240"/>
        <w:ind w:firstLine="31680"/>
        <w:rPr>
          <w:rFonts w:hint="eastAsia"/>
          <w:color w:val="000000"/>
        </w:rPr>
      </w:pPr>
      <w:r>
        <w:rPr>
          <w:color w:val="000000"/>
        </w:rPr>
        <w:t xml:space="preserve">431. </w:t>
      </w:r>
      <w:r>
        <w:rPr>
          <w:rFonts w:hint="eastAsia"/>
          <w:color w:val="000000"/>
        </w:rPr>
        <w:t>在具体通过一项旨在肯定退伍军人价值的法律之前，政府还为那些参与了</w:t>
      </w:r>
      <w:r>
        <w:rPr>
          <w:rFonts w:hint="eastAsia"/>
          <w:color w:val="000000"/>
        </w:rPr>
        <w:t>24</w:t>
      </w:r>
      <w:r>
        <w:rPr>
          <w:rFonts w:hint="eastAsia"/>
          <w:color w:val="000000"/>
        </w:rPr>
        <w:t>年武装斗争的退伍战斗人员启动了一个旨在提供社会支持的方案。符合要求的退伍军人每月可以获得</w:t>
      </w:r>
      <w:r>
        <w:rPr>
          <w:rFonts w:hint="eastAsia"/>
          <w:color w:val="000000"/>
        </w:rPr>
        <w:t>100-135</w:t>
      </w:r>
      <w:r>
        <w:rPr>
          <w:rFonts w:hint="eastAsia"/>
          <w:color w:val="000000"/>
        </w:rPr>
        <w:t>美元的社会补助，这些工作由劳动与社会安置部负责。目前，有</w:t>
      </w:r>
      <w:r>
        <w:rPr>
          <w:rFonts w:hint="eastAsia"/>
          <w:color w:val="000000"/>
        </w:rPr>
        <w:t>36</w:t>
      </w:r>
      <w:r>
        <w:rPr>
          <w:rFonts w:hint="eastAsia"/>
          <w:color w:val="000000"/>
        </w:rPr>
        <w:t>名军人符合这一要求，当然，还必须对女战斗人员予以更特别的关注，以确定她们从政府支持中获益的方式。</w:t>
      </w:r>
    </w:p>
    <w:p w:rsidR="00692915" w:rsidRDefault="00692915">
      <w:pPr>
        <w:pStyle w:val="Heading3"/>
        <w:tabs>
          <w:tab w:val="left" w:pos="1170"/>
        </w:tabs>
        <w:jc w:val="both"/>
        <w:rPr>
          <w:rFonts w:eastAsia="KaiTi_GB2312" w:hint="eastAsia"/>
          <w:color w:val="000000"/>
          <w:u w:val="none"/>
        </w:rPr>
      </w:pPr>
      <w:r>
        <w:rPr>
          <w:rFonts w:eastAsia="KaiTi_GB2312" w:hint="eastAsia"/>
          <w:color w:val="000000"/>
          <w:u w:val="none"/>
        </w:rPr>
        <w:t>对弱势人群的紧急援助</w:t>
      </w:r>
    </w:p>
    <w:p w:rsidR="00692915" w:rsidRDefault="00692915" w:rsidP="009A1C1B">
      <w:pPr>
        <w:tabs>
          <w:tab w:val="left" w:pos="1170"/>
        </w:tabs>
        <w:spacing w:after="240"/>
        <w:ind w:firstLine="31680"/>
        <w:rPr>
          <w:rFonts w:hint="eastAsia"/>
          <w:i/>
          <w:color w:val="000000"/>
        </w:rPr>
      </w:pPr>
      <w:r>
        <w:rPr>
          <w:color w:val="000000"/>
        </w:rPr>
        <w:t xml:space="preserve">432. </w:t>
      </w:r>
      <w:r>
        <w:rPr>
          <w:rFonts w:hint="eastAsia"/>
          <w:color w:val="000000"/>
        </w:rPr>
        <w:t>劳动与社会安置部已采取措施建立一个社会团结基金，以便采取行动为那些处于特殊情况或具有特殊需要的社会群体提供援助，从而（</w:t>
      </w:r>
      <w:r>
        <w:rPr>
          <w:rFonts w:hint="eastAsia"/>
          <w:color w:val="000000"/>
        </w:rPr>
        <w:t>a</w:t>
      </w:r>
      <w:r>
        <w:rPr>
          <w:rFonts w:hint="eastAsia"/>
          <w:color w:val="000000"/>
        </w:rPr>
        <w:t>）使他们能够获取紧急援助，（</w:t>
      </w:r>
      <w:r>
        <w:rPr>
          <w:rFonts w:hint="eastAsia"/>
          <w:color w:val="000000"/>
        </w:rPr>
        <w:t>b</w:t>
      </w:r>
      <w:r>
        <w:rPr>
          <w:rFonts w:hint="eastAsia"/>
          <w:color w:val="000000"/>
        </w:rPr>
        <w:t>）协助采取各种措施改善他们的福利，使他们能够在平等基础上在开放市场上获取可持续的谋生手段。</w:t>
      </w:r>
      <w:r>
        <w:rPr>
          <w:rFonts w:hint="eastAsia"/>
          <w:color w:val="000000"/>
        </w:rPr>
        <w:t>2004</w:t>
      </w:r>
      <w:r>
        <w:rPr>
          <w:rFonts w:hint="eastAsia"/>
          <w:color w:val="000000"/>
        </w:rPr>
        <w:t>年</w:t>
      </w:r>
      <w:r>
        <w:rPr>
          <w:rFonts w:hint="eastAsia"/>
          <w:color w:val="000000"/>
        </w:rPr>
        <w:t>7</w:t>
      </w:r>
      <w:r>
        <w:rPr>
          <w:rFonts w:hint="eastAsia"/>
          <w:color w:val="000000"/>
        </w:rPr>
        <w:t>月至</w:t>
      </w:r>
      <w:r>
        <w:rPr>
          <w:rFonts w:hint="eastAsia"/>
          <w:color w:val="000000"/>
        </w:rPr>
        <w:t>2005</w:t>
      </w:r>
      <w:r>
        <w:rPr>
          <w:rFonts w:hint="eastAsia"/>
          <w:color w:val="000000"/>
        </w:rPr>
        <w:t>年</w:t>
      </w:r>
      <w:r>
        <w:rPr>
          <w:rFonts w:hint="eastAsia"/>
          <w:color w:val="000000"/>
        </w:rPr>
        <w:t>6</w:t>
      </w:r>
      <w:r>
        <w:rPr>
          <w:rFonts w:hint="eastAsia"/>
          <w:color w:val="000000"/>
        </w:rPr>
        <w:t>月期间，获得这种社会援助的包括：</w:t>
      </w:r>
      <w:r>
        <w:rPr>
          <w:rFonts w:hint="eastAsia"/>
          <w:color w:val="000000"/>
        </w:rPr>
        <w:t>524</w:t>
      </w:r>
      <w:r>
        <w:rPr>
          <w:rFonts w:hint="eastAsia"/>
          <w:color w:val="000000"/>
        </w:rPr>
        <w:t>个有弱势儿童的家庭、</w:t>
      </w:r>
      <w:r>
        <w:rPr>
          <w:rFonts w:hint="eastAsia"/>
          <w:color w:val="000000"/>
        </w:rPr>
        <w:t>513</w:t>
      </w:r>
      <w:r>
        <w:rPr>
          <w:rFonts w:hint="eastAsia"/>
          <w:color w:val="000000"/>
        </w:rPr>
        <w:t>个有残疾人的家庭和</w:t>
      </w:r>
      <w:r>
        <w:rPr>
          <w:rFonts w:hint="eastAsia"/>
          <w:color w:val="000000"/>
        </w:rPr>
        <w:t>228</w:t>
      </w:r>
      <w:r>
        <w:rPr>
          <w:rFonts w:hint="eastAsia"/>
          <w:color w:val="000000"/>
        </w:rPr>
        <w:t>个有退伍军人的家庭。</w:t>
      </w:r>
      <w:r>
        <w:rPr>
          <w:rStyle w:val="FootnoteReference"/>
          <w:color w:val="000000"/>
        </w:rPr>
        <w:footnoteReference w:id="202"/>
      </w:r>
      <w:r>
        <w:rPr>
          <w:rFonts w:hint="eastAsia"/>
          <w:color w:val="000000"/>
        </w:rPr>
        <w:t>援助直接给予户主，以减轻这些弱势人群所面临的饥饿问题。</w:t>
      </w:r>
    </w:p>
    <w:p w:rsidR="00692915" w:rsidRDefault="00692915">
      <w:pPr>
        <w:pStyle w:val="Heading3"/>
        <w:tabs>
          <w:tab w:val="left" w:pos="1170"/>
        </w:tabs>
        <w:jc w:val="both"/>
        <w:rPr>
          <w:rFonts w:eastAsia="KaiTi_GB2312" w:hint="eastAsia"/>
          <w:color w:val="000000"/>
          <w:u w:val="none"/>
        </w:rPr>
      </w:pPr>
      <w:r>
        <w:rPr>
          <w:rFonts w:eastAsia="KaiTi_GB2312" w:hint="eastAsia"/>
          <w:color w:val="000000"/>
          <w:u w:val="none"/>
        </w:rPr>
        <w:t>有关残疾人的战略</w:t>
      </w:r>
    </w:p>
    <w:p w:rsidR="00692915" w:rsidRDefault="00692915" w:rsidP="009A1C1B">
      <w:pPr>
        <w:tabs>
          <w:tab w:val="left" w:pos="1170"/>
        </w:tabs>
        <w:ind w:firstLine="31680"/>
        <w:rPr>
          <w:rFonts w:hint="eastAsia"/>
          <w:color w:val="000000"/>
        </w:rPr>
      </w:pPr>
      <w:r>
        <w:rPr>
          <w:color w:val="000000"/>
        </w:rPr>
        <w:t xml:space="preserve">433. </w:t>
      </w:r>
      <w:r>
        <w:rPr>
          <w:rFonts w:hint="eastAsia"/>
          <w:color w:val="000000"/>
        </w:rPr>
        <w:t>为努力解决身体和智力残疾人群被边缘化的问题，政府鼓励开展各种方案，以减少那些促使这些人群无法独立生活的社会和物质障碍，包括让他们有效地参与体面的生产工作、娱乐、培训和教育。</w:t>
      </w:r>
    </w:p>
    <w:p w:rsidR="00692915" w:rsidRDefault="00692915" w:rsidP="009A1C1B">
      <w:pPr>
        <w:tabs>
          <w:tab w:val="left" w:pos="1170"/>
        </w:tabs>
        <w:ind w:firstLine="31680"/>
        <w:rPr>
          <w:rFonts w:hint="eastAsia"/>
          <w:color w:val="000000"/>
        </w:rPr>
      </w:pPr>
      <w:r>
        <w:rPr>
          <w:color w:val="000000"/>
        </w:rPr>
        <w:t>434.</w:t>
      </w:r>
      <w:r>
        <w:rPr>
          <w:rFonts w:hint="eastAsia"/>
          <w:color w:val="000000"/>
        </w:rPr>
        <w:tab/>
      </w:r>
      <w:r>
        <w:rPr>
          <w:rFonts w:hint="eastAsia"/>
          <w:color w:val="000000"/>
        </w:rPr>
        <w:t>《劳工法典》（第</w:t>
      </w:r>
      <w:r>
        <w:rPr>
          <w:color w:val="000000"/>
        </w:rPr>
        <w:t>8.4.1</w:t>
      </w:r>
      <w:r>
        <w:rPr>
          <w:rFonts w:hint="eastAsia"/>
          <w:color w:val="000000"/>
        </w:rPr>
        <w:t>条）规定，由劳动与社会安置部通过国家社会服务司负责“残疾人的工作与福利”。</w:t>
      </w:r>
    </w:p>
    <w:p w:rsidR="00692915" w:rsidRDefault="00692915" w:rsidP="009A1C1B">
      <w:pPr>
        <w:tabs>
          <w:tab w:val="left" w:pos="1170"/>
        </w:tabs>
        <w:ind w:firstLine="31680"/>
        <w:rPr>
          <w:rFonts w:hint="eastAsia"/>
          <w:color w:val="000000"/>
        </w:rPr>
      </w:pPr>
      <w:r>
        <w:rPr>
          <w:color w:val="000000"/>
        </w:rPr>
        <w:t xml:space="preserve">435. </w:t>
      </w:r>
      <w:r>
        <w:rPr>
          <w:rFonts w:hint="eastAsia"/>
          <w:color w:val="000000"/>
        </w:rPr>
        <w:tab/>
        <w:t>2005</w:t>
      </w:r>
      <w:r>
        <w:rPr>
          <w:rFonts w:hint="eastAsia"/>
          <w:color w:val="000000"/>
        </w:rPr>
        <w:t>年初，劳工与团结国务秘书处主办了一个旨在为残疾人制定一项国家政策的项目。</w:t>
      </w:r>
      <w:r>
        <w:rPr>
          <w:rFonts w:hint="eastAsia"/>
          <w:color w:val="000000"/>
        </w:rPr>
        <w:t>2005</w:t>
      </w:r>
      <w:r>
        <w:rPr>
          <w:rFonts w:hint="eastAsia"/>
          <w:color w:val="000000"/>
        </w:rPr>
        <w:t>年</w:t>
      </w:r>
      <w:r>
        <w:rPr>
          <w:rFonts w:hint="eastAsia"/>
          <w:color w:val="000000"/>
        </w:rPr>
        <w:t>4/5</w:t>
      </w:r>
      <w:r>
        <w:rPr>
          <w:rFonts w:hint="eastAsia"/>
          <w:color w:val="000000"/>
        </w:rPr>
        <w:t>月期间在所有地区举行的地方协商会议显示，社会对残疾人问题非常关心，这些会议产生了两个共同主题：就业以及促进就业机会的必要性；与生活质量有关的问题（包括获取医疗和教育服务的机会、社会支持、住宿与交通问题）。另外，还强调首先需要为主流学校提供更训练有素的教师，同时要以社区为基础，对康复需求做出反应。</w:t>
      </w:r>
    </w:p>
    <w:p w:rsidR="00692915" w:rsidRDefault="00692915" w:rsidP="009A1C1B">
      <w:pPr>
        <w:tabs>
          <w:tab w:val="left" w:pos="1170"/>
        </w:tabs>
        <w:ind w:firstLine="31680"/>
        <w:rPr>
          <w:rFonts w:hint="eastAsia"/>
          <w:color w:val="000000"/>
        </w:rPr>
      </w:pPr>
      <w:r>
        <w:rPr>
          <w:color w:val="000000"/>
        </w:rPr>
        <w:t>436.</w:t>
      </w:r>
      <w:r>
        <w:rPr>
          <w:color w:val="000000"/>
        </w:rPr>
        <w:tab/>
      </w:r>
      <w:r>
        <w:rPr>
          <w:rFonts w:hint="eastAsia"/>
          <w:color w:val="000000"/>
        </w:rPr>
        <w:t>劳动与社会安置部协同卫生部一起制定了一项有关国家残疾政策的草案纲要，该草案由劳动与社会安置部牵头设立的残疾问题工作组于</w:t>
      </w:r>
      <w:r>
        <w:rPr>
          <w:rFonts w:hint="eastAsia"/>
          <w:color w:val="000000"/>
        </w:rPr>
        <w:t>2005</w:t>
      </w:r>
      <w:r>
        <w:rPr>
          <w:rFonts w:hint="eastAsia"/>
          <w:color w:val="000000"/>
        </w:rPr>
        <w:t>年</w:t>
      </w:r>
      <w:r>
        <w:rPr>
          <w:rFonts w:hint="eastAsia"/>
          <w:color w:val="000000"/>
        </w:rPr>
        <w:t>6</w:t>
      </w:r>
      <w:r>
        <w:rPr>
          <w:rFonts w:hint="eastAsia"/>
          <w:color w:val="000000"/>
        </w:rPr>
        <w:t>月进行了审查，其目的是为了借鉴国际社会的相关经验，对具体的国家情况、需求和重点问题做出反应。这项工作以基本的人权原则为指导，包括：在所有发展领域采取非歧视和具有包容性的原则、赋予残疾人权利，使残疾人成为所有发展领域的主体和受益人。</w:t>
      </w:r>
    </w:p>
    <w:p w:rsidR="00692915" w:rsidRDefault="00692915" w:rsidP="009A1C1B">
      <w:pPr>
        <w:tabs>
          <w:tab w:val="left" w:pos="1170"/>
        </w:tabs>
        <w:ind w:firstLine="31680"/>
        <w:rPr>
          <w:rFonts w:hint="eastAsia"/>
          <w:color w:val="000000"/>
        </w:rPr>
      </w:pPr>
      <w:r>
        <w:rPr>
          <w:color w:val="000000"/>
        </w:rPr>
        <w:t xml:space="preserve">437. </w:t>
      </w:r>
      <w:r>
        <w:rPr>
          <w:rFonts w:hint="eastAsia"/>
          <w:color w:val="000000"/>
        </w:rPr>
        <w:t>国家政策的目标包括：一般社会系统的可获得性；社会保障与社会安全网；在开放市场中促进就业和确保可持续的生计；公民与政治参与；信息、通讯与言论自由。为了支持这些目标的实施，将出台有关残疾问题的法律，建立国家咨询和协调机制，并就政策中各项措施的实施情况及结果向议会做出年度报告。</w:t>
      </w:r>
    </w:p>
    <w:p w:rsidR="00692915" w:rsidRDefault="00692915" w:rsidP="009A1C1B">
      <w:pPr>
        <w:tabs>
          <w:tab w:val="left" w:pos="1170"/>
        </w:tabs>
        <w:spacing w:after="240"/>
        <w:ind w:firstLine="31680"/>
        <w:rPr>
          <w:rFonts w:hint="eastAsia"/>
          <w:color w:val="000000"/>
        </w:rPr>
      </w:pPr>
      <w:r>
        <w:rPr>
          <w:color w:val="000000"/>
        </w:rPr>
        <w:t xml:space="preserve">438. </w:t>
      </w:r>
      <w:r>
        <w:rPr>
          <w:rFonts w:hint="eastAsia"/>
          <w:color w:val="000000"/>
        </w:rPr>
        <w:t>诸如小儿麻痹症和麻风病之类的疾病治疗由卫生部负责，但尽管如此，地方非政府组织</w:t>
      </w:r>
      <w:r>
        <w:rPr>
          <w:rFonts w:ascii="SimHei" w:eastAsia="SimHei" w:hint="eastAsia"/>
          <w:color w:val="000000"/>
          <w:spacing w:val="0"/>
        </w:rPr>
        <w:t>——</w:t>
      </w:r>
      <w:r>
        <w:rPr>
          <w:rFonts w:hint="eastAsia"/>
          <w:color w:val="000000"/>
        </w:rPr>
        <w:t>例如：由柬埔寨信托会资助的“</w:t>
      </w:r>
      <w:r>
        <w:rPr>
          <w:rFonts w:ascii="Arial" w:hAnsi="Arial" w:cs="Arial" w:hint="eastAsia"/>
          <w:color w:val="000000"/>
        </w:rPr>
        <w:t>帝汶残疾人地位及平等促进协会”（</w:t>
      </w:r>
      <w:r>
        <w:rPr>
          <w:color w:val="000000"/>
        </w:rPr>
        <w:t>ASSERT</w:t>
      </w:r>
      <w:r>
        <w:rPr>
          <w:rFonts w:ascii="Arial" w:hAnsi="Arial" w:cs="Arial" w:hint="eastAsia"/>
          <w:color w:val="000000"/>
        </w:rPr>
        <w:t>）正在采取行动，以便通过矫形与假肢服务，减少残疾受害人和需要运动辅助装置的其他人被社会排斥的情况。未来，该项目将最终移交给政府实施。</w:t>
      </w:r>
      <w:r>
        <w:rPr>
          <w:rStyle w:val="FootnoteReference"/>
          <w:color w:val="000000"/>
        </w:rPr>
        <w:footnoteReference w:id="203"/>
      </w:r>
    </w:p>
    <w:p w:rsidR="00692915" w:rsidRDefault="00692915">
      <w:pPr>
        <w:pStyle w:val="Heading2"/>
        <w:tabs>
          <w:tab w:val="left" w:pos="1170"/>
        </w:tabs>
        <w:rPr>
          <w:bCs/>
          <w:color w:val="000000"/>
          <w:sz w:val="24"/>
        </w:rPr>
      </w:pPr>
      <w:bookmarkStart w:id="80" w:name="_Toc150514981"/>
      <w:bookmarkStart w:id="81" w:name="_Toc150684884"/>
      <w:r>
        <w:rPr>
          <w:color w:val="000000"/>
          <w:sz w:val="24"/>
        </w:rPr>
        <w:t xml:space="preserve">B. </w:t>
      </w:r>
      <w:r>
        <w:rPr>
          <w:rFonts w:hint="eastAsia"/>
          <w:color w:val="000000"/>
          <w:sz w:val="24"/>
          <w:u w:val="single"/>
        </w:rPr>
        <w:t>程序保障措施</w:t>
      </w:r>
      <w:r>
        <w:rPr>
          <w:rFonts w:hint="eastAsia"/>
          <w:color w:val="000000"/>
          <w:sz w:val="24"/>
        </w:rPr>
        <w:t xml:space="preserve"> </w:t>
      </w:r>
      <w:r>
        <w:rPr>
          <w:rStyle w:val="FootnoteReference"/>
          <w:bCs/>
          <w:color w:val="000000"/>
        </w:rPr>
        <w:footnoteReference w:id="204"/>
      </w:r>
      <w:bookmarkEnd w:id="80"/>
      <w:bookmarkEnd w:id="81"/>
    </w:p>
    <w:p w:rsidR="00692915" w:rsidRDefault="00692915">
      <w:pPr>
        <w:pStyle w:val="Heading2"/>
        <w:tabs>
          <w:tab w:val="left" w:pos="520"/>
        </w:tabs>
        <w:jc w:val="both"/>
        <w:rPr>
          <w:rFonts w:hint="eastAsia"/>
          <w:color w:val="000000"/>
          <w:sz w:val="24"/>
        </w:rPr>
      </w:pPr>
      <w:r>
        <w:rPr>
          <w:color w:val="000000"/>
          <w:sz w:val="24"/>
        </w:rPr>
        <w:t>1.</w:t>
      </w:r>
      <w:r>
        <w:rPr>
          <w:color w:val="000000"/>
          <w:sz w:val="24"/>
        </w:rPr>
        <w:tab/>
      </w:r>
      <w:r>
        <w:rPr>
          <w:rFonts w:hint="eastAsia"/>
          <w:color w:val="000000"/>
          <w:sz w:val="24"/>
          <w:u w:val="single"/>
        </w:rPr>
        <w:t>逮捕与拘留</w:t>
      </w:r>
    </w:p>
    <w:p w:rsidR="00692915" w:rsidRDefault="00692915" w:rsidP="009A1C1B">
      <w:pPr>
        <w:tabs>
          <w:tab w:val="left" w:pos="1170"/>
        </w:tabs>
        <w:ind w:firstLine="31680"/>
        <w:rPr>
          <w:rFonts w:hint="eastAsia"/>
          <w:color w:val="000000"/>
        </w:rPr>
      </w:pPr>
      <w:r>
        <w:rPr>
          <w:color w:val="000000"/>
        </w:rPr>
        <w:t>439.</w:t>
      </w:r>
      <w:r>
        <w:rPr>
          <w:color w:val="000000"/>
        </w:rPr>
        <w:tab/>
      </w:r>
      <w:r>
        <w:rPr>
          <w:rFonts w:hint="eastAsia"/>
          <w:color w:val="000000"/>
        </w:rPr>
        <w:t>在东帝汶，维护法律与秩序、逮捕和拘留个人的权力主要由</w:t>
      </w:r>
      <w:r>
        <w:rPr>
          <w:color w:val="000000"/>
        </w:rPr>
        <w:t>东帝汶国家警察</w:t>
      </w:r>
      <w:r>
        <w:rPr>
          <w:rFonts w:hint="eastAsia"/>
          <w:color w:val="000000"/>
        </w:rPr>
        <w:t>掌握。</w:t>
      </w:r>
      <w:r>
        <w:rPr>
          <w:rStyle w:val="FootnoteReference"/>
          <w:color w:val="000000"/>
        </w:rPr>
        <w:footnoteReference w:id="205"/>
      </w:r>
      <w:r>
        <w:rPr>
          <w:rFonts w:hint="eastAsia"/>
          <w:color w:val="000000"/>
        </w:rPr>
        <w:t>但海关总署</w:t>
      </w:r>
      <w:r>
        <w:rPr>
          <w:rStyle w:val="FootnoteReference"/>
          <w:color w:val="000000"/>
        </w:rPr>
        <w:footnoteReference w:id="206"/>
      </w:r>
      <w:r>
        <w:rPr>
          <w:rFonts w:hint="eastAsia"/>
          <w:color w:val="000000"/>
        </w:rPr>
        <w:t>和目击犯罪的任何个人</w:t>
      </w:r>
      <w:r>
        <w:rPr>
          <w:rStyle w:val="FootnoteReference"/>
          <w:color w:val="000000"/>
        </w:rPr>
        <w:footnoteReference w:id="207"/>
      </w:r>
      <w:r>
        <w:rPr>
          <w:rFonts w:hint="eastAsia"/>
          <w:color w:val="000000"/>
        </w:rPr>
        <w:t>也拥有逮捕个人的权力。</w:t>
      </w:r>
    </w:p>
    <w:p w:rsidR="00692915" w:rsidRDefault="00692915" w:rsidP="009A1C1B">
      <w:pPr>
        <w:tabs>
          <w:tab w:val="left" w:pos="1170"/>
        </w:tabs>
        <w:ind w:firstLine="31680"/>
        <w:rPr>
          <w:rFonts w:hint="eastAsia"/>
          <w:color w:val="000000"/>
        </w:rPr>
      </w:pPr>
      <w:r>
        <w:rPr>
          <w:color w:val="000000"/>
        </w:rPr>
        <w:t>440.</w:t>
      </w:r>
      <w:r>
        <w:rPr>
          <w:color w:val="000000"/>
        </w:rPr>
        <w:tab/>
      </w:r>
      <w:r>
        <w:rPr>
          <w:rFonts w:hint="eastAsia"/>
          <w:color w:val="000000"/>
        </w:rPr>
        <w:t>对个人的拘留权主要由国家警察掌握，通常用以拘留犯罪嫌疑人。但是，警察还有权拘留非法移民。</w:t>
      </w:r>
      <w:r>
        <w:rPr>
          <w:rStyle w:val="FootnoteReference"/>
          <w:color w:val="000000"/>
        </w:rPr>
        <w:footnoteReference w:id="208"/>
      </w:r>
    </w:p>
    <w:p w:rsidR="00692915" w:rsidRDefault="00692915" w:rsidP="009A1C1B">
      <w:pPr>
        <w:tabs>
          <w:tab w:val="left" w:pos="1170"/>
        </w:tabs>
        <w:ind w:firstLine="31680"/>
        <w:rPr>
          <w:rFonts w:hint="eastAsia"/>
          <w:color w:val="000000"/>
          <w:lang w:bidi="th-TH"/>
        </w:rPr>
      </w:pPr>
      <w:r>
        <w:rPr>
          <w:color w:val="000000"/>
        </w:rPr>
        <w:t>441.</w:t>
      </w:r>
      <w:r>
        <w:rPr>
          <w:color w:val="000000"/>
        </w:rPr>
        <w:tab/>
      </w:r>
      <w:r>
        <w:rPr>
          <w:rFonts w:hint="eastAsia"/>
          <w:color w:val="000000"/>
        </w:rPr>
        <w:t>如果有明显证据表明已经犯罪或正在犯罪，或者如果嫌疑人在犯罪之后被立刻跟踪，而且携有嫌疑物品或证据，则警察可在作案现场进行逮捕。在法官签发逮捕令后，也可以对一个人进行逮捕。</w:t>
      </w:r>
      <w:r>
        <w:rPr>
          <w:rStyle w:val="FootnoteReference"/>
          <w:color w:val="000000"/>
        </w:rPr>
        <w:footnoteReference w:id="209"/>
      </w:r>
    </w:p>
    <w:p w:rsidR="00692915" w:rsidRDefault="00692915" w:rsidP="009A1C1B">
      <w:pPr>
        <w:tabs>
          <w:tab w:val="left" w:pos="1170"/>
        </w:tabs>
        <w:ind w:firstLine="31680"/>
        <w:rPr>
          <w:rFonts w:hint="eastAsia"/>
          <w:color w:val="000000"/>
          <w:lang w:bidi="th-TH"/>
        </w:rPr>
      </w:pPr>
      <w:r>
        <w:rPr>
          <w:color w:val="000000"/>
          <w:lang w:bidi="th-TH"/>
        </w:rPr>
        <w:t>442.</w:t>
      </w:r>
      <w:r>
        <w:rPr>
          <w:rFonts w:hint="eastAsia"/>
          <w:color w:val="000000"/>
          <w:lang w:bidi="th-TH"/>
        </w:rPr>
        <w:t xml:space="preserve"> </w:t>
      </w:r>
      <w:r>
        <w:rPr>
          <w:rFonts w:hint="eastAsia"/>
          <w:color w:val="000000"/>
          <w:lang w:bidi="th-TH"/>
        </w:rPr>
        <w:t>由于逮捕与拘留直接对个人权利和自由进行了很大限制，所以法律规定了严格的保障措施，以防止滥用这种权力。《宪法》第</w:t>
      </w:r>
      <w:r>
        <w:rPr>
          <w:color w:val="000000"/>
          <w:lang w:bidi="th-TH"/>
        </w:rPr>
        <w:t>34</w:t>
      </w:r>
      <w:r>
        <w:rPr>
          <w:rFonts w:hint="eastAsia"/>
          <w:color w:val="000000"/>
          <w:lang w:bidi="th-TH"/>
        </w:rPr>
        <w:t>.</w:t>
      </w:r>
      <w:r>
        <w:rPr>
          <w:color w:val="000000"/>
          <w:lang w:bidi="th-TH"/>
        </w:rPr>
        <w:t>1</w:t>
      </w:r>
      <w:r>
        <w:rPr>
          <w:rFonts w:hint="eastAsia"/>
          <w:color w:val="000000"/>
          <w:lang w:bidi="th-TH"/>
        </w:rPr>
        <w:t>条和《刑事诉讼法典》第</w:t>
      </w:r>
      <w:r>
        <w:rPr>
          <w:rFonts w:hint="eastAsia"/>
          <w:color w:val="000000"/>
          <w:lang w:bidi="th-TH"/>
        </w:rPr>
        <w:t>60</w:t>
      </w:r>
      <w:r>
        <w:rPr>
          <w:rFonts w:hint="eastAsia"/>
          <w:color w:val="000000"/>
          <w:lang w:bidi="th-TH"/>
        </w:rPr>
        <w:t>条</w:t>
      </w:r>
      <w:r>
        <w:rPr>
          <w:rStyle w:val="FootnoteReference"/>
          <w:color w:val="000000"/>
          <w:lang w:bidi="th-TH"/>
        </w:rPr>
        <w:footnoteReference w:id="210"/>
      </w:r>
      <w:r>
        <w:rPr>
          <w:rFonts w:hint="eastAsia"/>
          <w:color w:val="000000"/>
          <w:lang w:bidi="th-TH"/>
        </w:rPr>
        <w:t>规定，在有确凿犯罪证据之前，应将嫌疑犯视作无罪，必须以明确方式告知其权利和受到的指控。必须由一名法官在不开庭审理的情况下，于逮捕后的</w:t>
      </w:r>
      <w:r>
        <w:rPr>
          <w:rFonts w:hint="eastAsia"/>
          <w:color w:val="000000"/>
          <w:lang w:bidi="th-TH"/>
        </w:rPr>
        <w:t>72</w:t>
      </w:r>
      <w:r>
        <w:rPr>
          <w:rFonts w:hint="eastAsia"/>
          <w:color w:val="000000"/>
          <w:lang w:bidi="th-TH"/>
        </w:rPr>
        <w:t>小时内对逮捕和拘留的合法性进行审查，并在其后的每六个月进行一次检查，以确定拘留的有效性。</w:t>
      </w:r>
      <w:r>
        <w:rPr>
          <w:rStyle w:val="FootnoteReference"/>
          <w:color w:val="000000"/>
          <w:lang w:bidi="th-TH"/>
        </w:rPr>
        <w:footnoteReference w:id="211"/>
      </w:r>
      <w:r>
        <w:rPr>
          <w:rFonts w:hint="eastAsia"/>
          <w:color w:val="000000"/>
          <w:lang w:bidi="th-TH"/>
        </w:rPr>
        <w:t>在没有起诉书的情况下，审判前羁押期限不得超过一年；在没有初审判决书的情况下，不得超过两年；在没有终审判决书的情况下，不得超过三年。如果案件极其复杂，上述时限可以延长</w:t>
      </w:r>
      <w:r>
        <w:rPr>
          <w:rFonts w:hint="eastAsia"/>
          <w:color w:val="000000"/>
          <w:lang w:bidi="th-TH"/>
        </w:rPr>
        <w:t>6</w:t>
      </w:r>
      <w:r>
        <w:rPr>
          <w:rFonts w:hint="eastAsia"/>
          <w:color w:val="000000"/>
          <w:lang w:bidi="th-TH"/>
        </w:rPr>
        <w:t>个月。</w:t>
      </w:r>
      <w:r>
        <w:rPr>
          <w:rStyle w:val="FootnoteReference"/>
          <w:color w:val="000000"/>
          <w:lang w:bidi="th-TH"/>
        </w:rPr>
        <w:footnoteReference w:id="212"/>
      </w:r>
    </w:p>
    <w:p w:rsidR="00692915" w:rsidRDefault="00692915" w:rsidP="009A1C1B">
      <w:pPr>
        <w:tabs>
          <w:tab w:val="left" w:pos="1170"/>
        </w:tabs>
        <w:ind w:firstLine="31680"/>
        <w:rPr>
          <w:rFonts w:hint="eastAsia"/>
          <w:color w:val="000000"/>
        </w:rPr>
      </w:pPr>
      <w:r>
        <w:rPr>
          <w:color w:val="000000"/>
          <w:lang w:bidi="th-TH"/>
        </w:rPr>
        <w:t>443.</w:t>
      </w:r>
      <w:r>
        <w:rPr>
          <w:color w:val="000000"/>
          <w:lang w:bidi="th-TH"/>
        </w:rPr>
        <w:tab/>
      </w:r>
      <w:r>
        <w:rPr>
          <w:rFonts w:hint="eastAsia"/>
          <w:color w:val="000000"/>
        </w:rPr>
        <w:t>《宪法》与《刑事诉讼法典》允许个人向最高法院申请人身保护权，以对逮捕或拘留提出质疑。</w:t>
      </w:r>
      <w:r>
        <w:rPr>
          <w:rStyle w:val="FootnoteReference"/>
          <w:color w:val="000000"/>
          <w:lang w:bidi="th-TH"/>
        </w:rPr>
        <w:footnoteReference w:id="213"/>
      </w:r>
      <w:r>
        <w:rPr>
          <w:rFonts w:hint="eastAsia"/>
          <w:color w:val="000000"/>
        </w:rPr>
        <w:t>F</w:t>
      </w:r>
      <w:r>
        <w:rPr>
          <w:rFonts w:hint="eastAsia"/>
          <w:color w:val="000000"/>
        </w:rPr>
        <w:t>部分将对有效的救济措施进行介绍，正如该部分所述，在</w:t>
      </w:r>
      <w:r>
        <w:rPr>
          <w:rFonts w:hint="eastAsia"/>
          <w:color w:val="000000"/>
        </w:rPr>
        <w:t>2002-2005</w:t>
      </w:r>
      <w:r>
        <w:rPr>
          <w:rFonts w:hint="eastAsia"/>
          <w:color w:val="000000"/>
        </w:rPr>
        <w:t>年期间，已向法院成功递交了约五份人身保护权申请。《法典》明确规定，如果进行审判前羁押，必须在可行的情况下，对被告进行事先或事后审理，让被告有机会对羁押的先决条件提出质疑。审判前羁押的先决条件包括：</w:t>
      </w:r>
    </w:p>
    <w:p w:rsidR="00692915" w:rsidRDefault="00692915" w:rsidP="009A1C1B">
      <w:pPr>
        <w:numPr>
          <w:ilvl w:val="0"/>
          <w:numId w:val="6"/>
        </w:numPr>
        <w:tabs>
          <w:tab w:val="clear" w:pos="927"/>
          <w:tab w:val="left" w:pos="1690"/>
        </w:tabs>
        <w:ind w:leftChars="450" w:left="31680" w:hangingChars="200" w:firstLine="31680"/>
        <w:rPr>
          <w:color w:val="000000"/>
          <w:spacing w:val="6"/>
          <w:lang w:bidi="th-TH"/>
        </w:rPr>
      </w:pPr>
      <w:r>
        <w:rPr>
          <w:rFonts w:hint="eastAsia"/>
          <w:color w:val="000000"/>
          <w:spacing w:val="6"/>
        </w:rPr>
        <w:t>有合理的理由担心被告逃跑，调查可能被中断或可能会有犯罪活动；</w:t>
      </w:r>
      <w:r>
        <w:rPr>
          <w:rStyle w:val="FootnoteReference"/>
          <w:color w:val="000000"/>
          <w:spacing w:val="6"/>
        </w:rPr>
        <w:footnoteReference w:id="214"/>
      </w:r>
    </w:p>
    <w:p w:rsidR="00692915" w:rsidRDefault="00692915" w:rsidP="009A1C1B">
      <w:pPr>
        <w:numPr>
          <w:ilvl w:val="0"/>
          <w:numId w:val="6"/>
        </w:numPr>
        <w:tabs>
          <w:tab w:val="clear" w:pos="927"/>
          <w:tab w:val="left" w:pos="1690"/>
        </w:tabs>
        <w:ind w:leftChars="450" w:left="31680" w:hangingChars="200" w:firstLine="31680"/>
        <w:rPr>
          <w:color w:val="000000"/>
          <w:lang w:bidi="th-TH"/>
        </w:rPr>
      </w:pPr>
      <w:r>
        <w:rPr>
          <w:rFonts w:hint="eastAsia"/>
          <w:color w:val="000000"/>
        </w:rPr>
        <w:t>有明显迹象表明可能要对所犯罪行处以三年以上的徒刑；以及</w:t>
      </w:r>
    </w:p>
    <w:p w:rsidR="00692915" w:rsidRDefault="00692915" w:rsidP="009A1C1B">
      <w:pPr>
        <w:numPr>
          <w:ilvl w:val="0"/>
          <w:numId w:val="6"/>
        </w:numPr>
        <w:tabs>
          <w:tab w:val="clear" w:pos="927"/>
          <w:tab w:val="left" w:pos="1690"/>
        </w:tabs>
        <w:spacing w:after="240"/>
        <w:ind w:leftChars="450" w:left="31680" w:hangingChars="200" w:firstLine="31680"/>
        <w:rPr>
          <w:color w:val="000000"/>
          <w:lang w:bidi="th-TH"/>
        </w:rPr>
      </w:pPr>
      <w:r>
        <w:rPr>
          <w:rFonts w:hint="eastAsia"/>
          <w:color w:val="000000"/>
        </w:rPr>
        <w:t>其他限制性措施不足。</w:t>
      </w:r>
      <w:r>
        <w:rPr>
          <w:rStyle w:val="FootnoteReference"/>
          <w:color w:val="000000"/>
          <w:lang w:bidi="th-TH"/>
        </w:rPr>
        <w:footnoteReference w:id="215"/>
      </w:r>
    </w:p>
    <w:p w:rsidR="00692915" w:rsidRDefault="00692915" w:rsidP="009A1C1B">
      <w:pPr>
        <w:tabs>
          <w:tab w:val="left" w:pos="1170"/>
        </w:tabs>
        <w:ind w:firstLine="31680"/>
        <w:rPr>
          <w:rFonts w:hint="eastAsia"/>
          <w:color w:val="000000"/>
          <w:lang w:bidi="th-TH"/>
        </w:rPr>
      </w:pPr>
      <w:r>
        <w:rPr>
          <w:color w:val="000000"/>
          <w:lang w:bidi="th-TH"/>
        </w:rPr>
        <w:t>444.</w:t>
      </w:r>
      <w:r>
        <w:rPr>
          <w:color w:val="000000"/>
          <w:lang w:bidi="th-TH"/>
        </w:rPr>
        <w:tab/>
      </w:r>
      <w:r>
        <w:rPr>
          <w:rFonts w:hint="eastAsia"/>
          <w:color w:val="000000"/>
          <w:spacing w:val="8"/>
          <w:lang w:bidi="th-TH"/>
        </w:rPr>
        <w:t>如果符合审判前羁押的先决条件，那么在采取预防措施的情况下，可以允许精神障碍患者在一段必要的时间内到精神病医院或其他合适的机构进行治疗。</w:t>
      </w:r>
      <w:r>
        <w:rPr>
          <w:rStyle w:val="FootnoteReference"/>
          <w:color w:val="000000"/>
          <w:spacing w:val="8"/>
          <w:lang w:bidi="th-TH"/>
        </w:rPr>
        <w:footnoteReference w:id="216"/>
      </w:r>
    </w:p>
    <w:p w:rsidR="00692915" w:rsidRDefault="00692915" w:rsidP="009A1C1B">
      <w:pPr>
        <w:tabs>
          <w:tab w:val="left" w:pos="1170"/>
        </w:tabs>
        <w:ind w:firstLine="31680"/>
        <w:rPr>
          <w:rFonts w:hint="eastAsia"/>
          <w:color w:val="000000"/>
        </w:rPr>
      </w:pPr>
      <w:r>
        <w:rPr>
          <w:color w:val="000000"/>
          <w:lang w:bidi="th-TH"/>
        </w:rPr>
        <w:t xml:space="preserve">445. </w:t>
      </w:r>
      <w:r>
        <w:rPr>
          <w:rFonts w:hint="eastAsia"/>
          <w:color w:val="000000"/>
          <w:lang w:bidi="th-TH"/>
        </w:rPr>
        <w:t>如上所述，监察员负责对拘留所进行调查，以对拘留所的条件进行检查，并对被拘留人员进行秘密访谈。</w:t>
      </w:r>
    </w:p>
    <w:p w:rsidR="00692915" w:rsidRDefault="00692915" w:rsidP="009A1C1B">
      <w:pPr>
        <w:tabs>
          <w:tab w:val="left" w:pos="1170"/>
        </w:tabs>
        <w:ind w:firstLine="31680"/>
        <w:rPr>
          <w:rFonts w:hint="eastAsia"/>
          <w:color w:val="000000"/>
        </w:rPr>
      </w:pPr>
      <w:r>
        <w:rPr>
          <w:color w:val="000000"/>
        </w:rPr>
        <w:t>446.</w:t>
      </w:r>
      <w:r>
        <w:rPr>
          <w:color w:val="000000"/>
        </w:rPr>
        <w:tab/>
      </w:r>
      <w:r>
        <w:rPr>
          <w:rFonts w:hint="eastAsia"/>
          <w:color w:val="000000"/>
        </w:rPr>
        <w:t>尽管逮捕与拘留的规定和程序很全面，但并不总能得到遵守，其原因有几个。</w:t>
      </w:r>
    </w:p>
    <w:p w:rsidR="00692915" w:rsidRDefault="00692915" w:rsidP="009A1C1B">
      <w:pPr>
        <w:tabs>
          <w:tab w:val="left" w:pos="1170"/>
        </w:tabs>
        <w:ind w:firstLine="31680"/>
        <w:rPr>
          <w:rFonts w:hint="eastAsia"/>
          <w:color w:val="000000"/>
        </w:rPr>
      </w:pPr>
      <w:r>
        <w:rPr>
          <w:color w:val="000000"/>
        </w:rPr>
        <w:t>447.</w:t>
      </w:r>
      <w:r>
        <w:rPr>
          <w:color w:val="000000"/>
        </w:rPr>
        <w:tab/>
      </w:r>
      <w:r>
        <w:rPr>
          <w:rFonts w:hint="eastAsia"/>
          <w:color w:val="000000"/>
        </w:rPr>
        <w:t>法律制度在经过不断演变之后，给东帝汶适用的逮捕与拘留法律及程序带来了某种混乱。拟议的《刑法典》、新的《刑事诉讼法典》以及《检察官办公室及公诉辩护人办公室组织法》将有望解决其中某些不一致的问题。当然，还需要对警察部门进行广泛的培训，以加深他们对新法律框架的了解。</w:t>
      </w:r>
    </w:p>
    <w:p w:rsidR="00692915" w:rsidRDefault="00692915" w:rsidP="009A1C1B">
      <w:pPr>
        <w:tabs>
          <w:tab w:val="left" w:pos="1170"/>
        </w:tabs>
        <w:ind w:firstLine="31680"/>
        <w:rPr>
          <w:rFonts w:hint="eastAsia"/>
          <w:color w:val="000000"/>
        </w:rPr>
      </w:pPr>
      <w:r>
        <w:rPr>
          <w:color w:val="000000"/>
        </w:rPr>
        <w:t xml:space="preserve">448. </w:t>
      </w:r>
      <w:r>
        <w:rPr>
          <w:color w:val="000000"/>
        </w:rPr>
        <w:t>东帝汶国家警察</w:t>
      </w:r>
      <w:r>
        <w:rPr>
          <w:rFonts w:hint="eastAsia"/>
          <w:color w:val="000000"/>
        </w:rPr>
        <w:t>大约有</w:t>
      </w:r>
      <w:r>
        <w:rPr>
          <w:color w:val="000000"/>
        </w:rPr>
        <w:t> 2,980</w:t>
      </w:r>
      <w:r>
        <w:rPr>
          <w:rFonts w:hint="eastAsia"/>
          <w:color w:val="000000"/>
        </w:rPr>
        <w:t>名人员，是一个非常年轻的组织，比较缺乏经验。正是由于缺乏经验，因此有时会表现出不良行为。</w:t>
      </w:r>
    </w:p>
    <w:p w:rsidR="00692915" w:rsidRDefault="00692915" w:rsidP="009A1C1B">
      <w:pPr>
        <w:tabs>
          <w:tab w:val="left" w:pos="1170"/>
        </w:tabs>
        <w:ind w:firstLine="31680"/>
        <w:rPr>
          <w:rFonts w:hint="eastAsia"/>
          <w:color w:val="000000"/>
        </w:rPr>
      </w:pPr>
      <w:r>
        <w:rPr>
          <w:color w:val="000000"/>
        </w:rPr>
        <w:t>449.</w:t>
      </w:r>
      <w:r>
        <w:rPr>
          <w:rFonts w:hint="eastAsia"/>
          <w:color w:val="000000"/>
        </w:rPr>
        <w:t xml:space="preserve"> </w:t>
      </w:r>
      <w:r>
        <w:rPr>
          <w:rFonts w:hint="eastAsia"/>
          <w:color w:val="000000"/>
        </w:rPr>
        <w:t>纪律案件被分为轻微违纪和严重违纪，侵犯人权属于严重违纪。</w:t>
      </w:r>
      <w:r>
        <w:rPr>
          <w:rStyle w:val="FootnoteReference"/>
          <w:color w:val="000000"/>
        </w:rPr>
        <w:footnoteReference w:id="217"/>
      </w:r>
      <w:r>
        <w:rPr>
          <w:rFonts w:hint="eastAsia"/>
          <w:color w:val="000000"/>
        </w:rPr>
        <w:t>可能侵犯人权的严重违纪包括：</w:t>
      </w:r>
    </w:p>
    <w:p w:rsidR="00692915" w:rsidRDefault="00692915" w:rsidP="009A1C1B">
      <w:pPr>
        <w:numPr>
          <w:ilvl w:val="0"/>
          <w:numId w:val="6"/>
        </w:numPr>
        <w:tabs>
          <w:tab w:val="clear" w:pos="927"/>
          <w:tab w:val="left" w:pos="1690"/>
        </w:tabs>
        <w:ind w:leftChars="450" w:left="31680" w:hangingChars="200" w:firstLine="31680"/>
        <w:rPr>
          <w:color w:val="000000"/>
        </w:rPr>
      </w:pPr>
      <w:r>
        <w:rPr>
          <w:rFonts w:hint="eastAsia"/>
          <w:color w:val="000000"/>
        </w:rPr>
        <w:t>被判犯有刑事罪（这种犯罪对他人构成了伤害）；</w:t>
      </w:r>
    </w:p>
    <w:p w:rsidR="00692915" w:rsidRDefault="00692915" w:rsidP="009A1C1B">
      <w:pPr>
        <w:numPr>
          <w:ilvl w:val="0"/>
          <w:numId w:val="6"/>
        </w:numPr>
        <w:tabs>
          <w:tab w:val="clear" w:pos="927"/>
          <w:tab w:val="left" w:pos="1690"/>
        </w:tabs>
        <w:ind w:leftChars="450" w:left="31680" w:hangingChars="200" w:firstLine="31680"/>
        <w:rPr>
          <w:color w:val="000000"/>
        </w:rPr>
      </w:pPr>
      <w:r>
        <w:rPr>
          <w:rFonts w:hint="eastAsia"/>
          <w:color w:val="000000"/>
        </w:rPr>
        <w:t>非法或不必要地行使权力（行使这种权力给他人造成了身体或心理上的伤害）；</w:t>
      </w:r>
    </w:p>
    <w:p w:rsidR="00692915" w:rsidRDefault="00692915" w:rsidP="009A1C1B">
      <w:pPr>
        <w:numPr>
          <w:ilvl w:val="0"/>
          <w:numId w:val="6"/>
        </w:numPr>
        <w:tabs>
          <w:tab w:val="clear" w:pos="927"/>
          <w:tab w:val="left" w:pos="1690"/>
        </w:tabs>
        <w:ind w:leftChars="450" w:left="31680" w:hangingChars="200" w:firstLine="31680"/>
        <w:rPr>
          <w:color w:val="000000"/>
        </w:rPr>
      </w:pPr>
      <w:r>
        <w:rPr>
          <w:rFonts w:hint="eastAsia"/>
          <w:color w:val="000000"/>
        </w:rPr>
        <w:t>性骚扰；</w:t>
      </w:r>
    </w:p>
    <w:p w:rsidR="00692915" w:rsidRDefault="00692915" w:rsidP="009A1C1B">
      <w:pPr>
        <w:numPr>
          <w:ilvl w:val="0"/>
          <w:numId w:val="6"/>
        </w:numPr>
        <w:tabs>
          <w:tab w:val="clear" w:pos="927"/>
          <w:tab w:val="left" w:pos="1690"/>
        </w:tabs>
        <w:ind w:leftChars="450" w:left="31680" w:hangingChars="200" w:firstLine="31680"/>
        <w:rPr>
          <w:color w:val="000000"/>
        </w:rPr>
      </w:pPr>
      <w:r>
        <w:rPr>
          <w:rFonts w:hint="eastAsia"/>
          <w:color w:val="000000"/>
        </w:rPr>
        <w:t>贩卖并促使妇女儿童从事卖淫活动；</w:t>
      </w:r>
    </w:p>
    <w:p w:rsidR="00692915" w:rsidRDefault="00692915" w:rsidP="009A1C1B">
      <w:pPr>
        <w:numPr>
          <w:ilvl w:val="0"/>
          <w:numId w:val="6"/>
        </w:numPr>
        <w:tabs>
          <w:tab w:val="clear" w:pos="927"/>
          <w:tab w:val="left" w:pos="1690"/>
        </w:tabs>
        <w:spacing w:after="240"/>
        <w:ind w:leftChars="450" w:left="31680" w:hangingChars="200" w:firstLine="31680"/>
        <w:rPr>
          <w:color w:val="000000"/>
        </w:rPr>
      </w:pPr>
      <w:r>
        <w:rPr>
          <w:rFonts w:hint="eastAsia"/>
          <w:color w:val="000000"/>
        </w:rPr>
        <w:t>歧视行为。</w:t>
      </w:r>
    </w:p>
    <w:p w:rsidR="00692915" w:rsidRDefault="00692915" w:rsidP="009A1C1B">
      <w:pPr>
        <w:tabs>
          <w:tab w:val="left" w:pos="1170"/>
        </w:tabs>
        <w:ind w:firstLine="31680"/>
        <w:rPr>
          <w:rFonts w:hint="eastAsia"/>
          <w:color w:val="000000"/>
        </w:rPr>
      </w:pPr>
      <w:r>
        <w:rPr>
          <w:color w:val="000000"/>
        </w:rPr>
        <w:t xml:space="preserve">450. </w:t>
      </w:r>
      <w:r>
        <w:rPr>
          <w:rFonts w:hint="eastAsia"/>
          <w:color w:val="000000"/>
          <w:spacing w:val="8"/>
        </w:rPr>
        <w:t>从总体上来说，尽管警察违纪的案件没有大幅上升，但是仍有警察违纪的报道。</w:t>
      </w:r>
      <w:r>
        <w:rPr>
          <w:rFonts w:hint="eastAsia"/>
          <w:color w:val="000000"/>
          <w:spacing w:val="8"/>
        </w:rPr>
        <w:t>2004</w:t>
      </w:r>
      <w:r>
        <w:rPr>
          <w:rFonts w:hint="eastAsia"/>
          <w:color w:val="000000"/>
          <w:spacing w:val="8"/>
        </w:rPr>
        <w:t>年，对</w:t>
      </w:r>
      <w:r>
        <w:rPr>
          <w:rFonts w:hint="eastAsia"/>
          <w:color w:val="000000"/>
          <w:spacing w:val="8"/>
        </w:rPr>
        <w:t>6.8%</w:t>
      </w:r>
      <w:r>
        <w:rPr>
          <w:rFonts w:hint="eastAsia"/>
          <w:color w:val="000000"/>
          <w:spacing w:val="8"/>
        </w:rPr>
        <w:t>的警员提起了违纪控告（其中有</w:t>
      </w:r>
      <w:r>
        <w:rPr>
          <w:rFonts w:hint="eastAsia"/>
          <w:color w:val="000000"/>
          <w:spacing w:val="8"/>
        </w:rPr>
        <w:t>38%</w:t>
      </w:r>
      <w:r>
        <w:rPr>
          <w:rFonts w:hint="eastAsia"/>
          <w:color w:val="000000"/>
          <w:spacing w:val="8"/>
        </w:rPr>
        <w:t>的属于轻微违纪），但并非所有案件均与侵犯人权有关。有</w:t>
      </w:r>
      <w:r>
        <w:rPr>
          <w:rFonts w:hint="eastAsia"/>
          <w:color w:val="000000"/>
          <w:spacing w:val="8"/>
        </w:rPr>
        <w:t>7</w:t>
      </w:r>
      <w:r>
        <w:rPr>
          <w:rFonts w:hint="eastAsia"/>
          <w:color w:val="000000"/>
          <w:spacing w:val="8"/>
        </w:rPr>
        <w:t>名警员因有严重不当行为而被开除。截止</w:t>
      </w:r>
      <w:r>
        <w:rPr>
          <w:rFonts w:hint="eastAsia"/>
          <w:color w:val="000000"/>
          <w:spacing w:val="8"/>
        </w:rPr>
        <w:t>2005</w:t>
      </w:r>
      <w:r>
        <w:rPr>
          <w:rFonts w:hint="eastAsia"/>
          <w:color w:val="000000"/>
          <w:spacing w:val="8"/>
        </w:rPr>
        <w:t>年</w:t>
      </w:r>
      <w:r>
        <w:rPr>
          <w:rFonts w:hint="eastAsia"/>
          <w:color w:val="000000"/>
          <w:spacing w:val="8"/>
        </w:rPr>
        <w:t>4</w:t>
      </w:r>
      <w:r>
        <w:rPr>
          <w:rFonts w:hint="eastAsia"/>
          <w:color w:val="000000"/>
          <w:spacing w:val="8"/>
        </w:rPr>
        <w:t>月，又有三名被开除。警察还因暴力殴打行为而被判罪</w:t>
      </w:r>
      <w:r>
        <w:rPr>
          <w:rFonts w:ascii="SimHei" w:eastAsia="SimHei" w:hint="eastAsia"/>
          <w:color w:val="000000"/>
          <w:spacing w:val="0"/>
        </w:rPr>
        <w:t>——</w:t>
      </w:r>
      <w:r>
        <w:rPr>
          <w:rFonts w:hint="eastAsia"/>
          <w:color w:val="000000"/>
          <w:spacing w:val="8"/>
        </w:rPr>
        <w:t>通常为虐待。</w:t>
      </w:r>
      <w:r>
        <w:rPr>
          <w:rStyle w:val="FootnoteReference"/>
          <w:color w:val="000000"/>
          <w:spacing w:val="8"/>
        </w:rPr>
        <w:footnoteReference w:id="218"/>
      </w:r>
    </w:p>
    <w:p w:rsidR="00692915" w:rsidRDefault="00692915" w:rsidP="009A1C1B">
      <w:pPr>
        <w:tabs>
          <w:tab w:val="left" w:pos="1170"/>
        </w:tabs>
        <w:ind w:firstLine="31680"/>
        <w:rPr>
          <w:rFonts w:hint="eastAsia"/>
          <w:color w:val="000000"/>
        </w:rPr>
      </w:pPr>
      <w:r>
        <w:rPr>
          <w:color w:val="000000"/>
        </w:rPr>
        <w:t>451.</w:t>
      </w:r>
      <w:r>
        <w:rPr>
          <w:color w:val="000000"/>
        </w:rPr>
        <w:tab/>
      </w:r>
      <w:r>
        <w:rPr>
          <w:rFonts w:hint="eastAsia"/>
          <w:color w:val="000000"/>
        </w:rPr>
        <w:t>自</w:t>
      </w:r>
      <w:r>
        <w:rPr>
          <w:rFonts w:hint="eastAsia"/>
          <w:color w:val="000000"/>
        </w:rPr>
        <w:t>2005</w:t>
      </w:r>
      <w:r>
        <w:rPr>
          <w:rFonts w:hint="eastAsia"/>
          <w:color w:val="000000"/>
        </w:rPr>
        <w:t>年</w:t>
      </w:r>
      <w:r>
        <w:rPr>
          <w:rFonts w:hint="eastAsia"/>
          <w:color w:val="000000"/>
        </w:rPr>
        <w:t>1</w:t>
      </w:r>
      <w:r>
        <w:rPr>
          <w:rFonts w:hint="eastAsia"/>
          <w:color w:val="000000"/>
        </w:rPr>
        <w:t>月</w:t>
      </w:r>
      <w:r>
        <w:rPr>
          <w:rFonts w:hint="eastAsia"/>
          <w:color w:val="000000"/>
        </w:rPr>
        <w:t>1</w:t>
      </w:r>
      <w:r>
        <w:rPr>
          <w:rFonts w:hint="eastAsia"/>
          <w:color w:val="000000"/>
        </w:rPr>
        <w:t>日至</w:t>
      </w:r>
      <w:r>
        <w:rPr>
          <w:rFonts w:hint="eastAsia"/>
          <w:color w:val="000000"/>
        </w:rPr>
        <w:t>2005</w:t>
      </w:r>
      <w:r>
        <w:rPr>
          <w:rFonts w:hint="eastAsia"/>
          <w:color w:val="000000"/>
        </w:rPr>
        <w:t>年</w:t>
      </w:r>
      <w:r>
        <w:rPr>
          <w:rFonts w:hint="eastAsia"/>
          <w:color w:val="000000"/>
        </w:rPr>
        <w:t>3</w:t>
      </w:r>
      <w:r>
        <w:rPr>
          <w:rFonts w:hint="eastAsia"/>
          <w:color w:val="000000"/>
        </w:rPr>
        <w:t>月</w:t>
      </w:r>
      <w:r>
        <w:rPr>
          <w:rFonts w:hint="eastAsia"/>
          <w:color w:val="000000"/>
        </w:rPr>
        <w:t>31</w:t>
      </w:r>
      <w:r>
        <w:rPr>
          <w:rFonts w:hint="eastAsia"/>
          <w:color w:val="000000"/>
        </w:rPr>
        <w:t>日期间，在重大违纪案件中，有</w:t>
      </w:r>
      <w:r>
        <w:rPr>
          <w:rFonts w:hint="eastAsia"/>
          <w:color w:val="000000"/>
        </w:rPr>
        <w:t>13</w:t>
      </w:r>
      <w:r>
        <w:rPr>
          <w:rFonts w:hint="eastAsia"/>
          <w:color w:val="000000"/>
        </w:rPr>
        <w:t>例被判犯有暴力殴打罪，</w:t>
      </w:r>
      <w:r>
        <w:rPr>
          <w:rFonts w:hint="eastAsia"/>
          <w:color w:val="000000"/>
        </w:rPr>
        <w:t>7</w:t>
      </w:r>
      <w:r>
        <w:rPr>
          <w:rFonts w:hint="eastAsia"/>
          <w:color w:val="000000"/>
        </w:rPr>
        <w:t>例与非法行使权力有关，两例与性攻击或性骚扰有关。截止</w:t>
      </w:r>
      <w:r>
        <w:rPr>
          <w:rFonts w:hint="eastAsia"/>
          <w:color w:val="000000"/>
        </w:rPr>
        <w:t>2005</w:t>
      </w:r>
      <w:r>
        <w:rPr>
          <w:rFonts w:hint="eastAsia"/>
          <w:color w:val="000000"/>
        </w:rPr>
        <w:t>年</w:t>
      </w:r>
      <w:r>
        <w:rPr>
          <w:rFonts w:hint="eastAsia"/>
          <w:color w:val="000000"/>
        </w:rPr>
        <w:t>11</w:t>
      </w:r>
      <w:r>
        <w:rPr>
          <w:rFonts w:hint="eastAsia"/>
          <w:color w:val="000000"/>
        </w:rPr>
        <w:t>月，职业道德操守办公室对</w:t>
      </w:r>
      <w:r>
        <w:rPr>
          <w:rFonts w:hint="eastAsia"/>
          <w:color w:val="000000"/>
        </w:rPr>
        <w:t>175</w:t>
      </w:r>
      <w:r>
        <w:rPr>
          <w:rFonts w:hint="eastAsia"/>
          <w:color w:val="000000"/>
        </w:rPr>
        <w:t>例警察违纪案件进行了审查。据说，其中有</w:t>
      </w:r>
      <w:r>
        <w:rPr>
          <w:rFonts w:hint="eastAsia"/>
          <w:color w:val="000000"/>
        </w:rPr>
        <w:t>63</w:t>
      </w:r>
      <w:r>
        <w:rPr>
          <w:rFonts w:hint="eastAsia"/>
          <w:color w:val="000000"/>
        </w:rPr>
        <w:t>例与侵犯人权有关。</w:t>
      </w:r>
      <w:r>
        <w:rPr>
          <w:rStyle w:val="FootnoteReference"/>
          <w:color w:val="000000"/>
        </w:rPr>
        <w:footnoteReference w:id="219"/>
      </w:r>
    </w:p>
    <w:p w:rsidR="00692915" w:rsidRDefault="00692915" w:rsidP="009A1C1B">
      <w:pPr>
        <w:tabs>
          <w:tab w:val="left" w:pos="1170"/>
        </w:tabs>
        <w:ind w:firstLine="31680"/>
        <w:rPr>
          <w:rFonts w:hint="eastAsia"/>
          <w:color w:val="000000"/>
        </w:rPr>
      </w:pPr>
      <w:r>
        <w:rPr>
          <w:color w:val="000000"/>
        </w:rPr>
        <w:t>452.</w:t>
      </w:r>
      <w:r>
        <w:rPr>
          <w:color w:val="000000"/>
        </w:rPr>
        <w:tab/>
      </w:r>
      <w:r>
        <w:rPr>
          <w:rFonts w:hint="eastAsia"/>
          <w:color w:val="000000"/>
        </w:rPr>
        <w:t>这些案件说明还需要进一步对警员进行培训，培训内容包括：逮捕、讯问、被拘留者的处理以及警员的职责，</w:t>
      </w:r>
      <w:r>
        <w:rPr>
          <w:rStyle w:val="FootnoteReference"/>
          <w:color w:val="000000"/>
        </w:rPr>
        <w:footnoteReference w:id="220"/>
      </w:r>
      <w:r>
        <w:rPr>
          <w:rFonts w:hint="eastAsia"/>
          <w:color w:val="000000"/>
        </w:rPr>
        <w:t>但培训不能解决更恶劣的性骚扰问题，在这种情况下，刑事诉讼是唯一合适的解决途径。</w:t>
      </w:r>
    </w:p>
    <w:p w:rsidR="00692915" w:rsidRDefault="00692915" w:rsidP="009A1C1B">
      <w:pPr>
        <w:tabs>
          <w:tab w:val="left" w:pos="1170"/>
        </w:tabs>
        <w:ind w:firstLine="31680"/>
        <w:rPr>
          <w:rFonts w:hint="eastAsia"/>
          <w:color w:val="000000"/>
        </w:rPr>
      </w:pPr>
      <w:r>
        <w:rPr>
          <w:color w:val="000000"/>
        </w:rPr>
        <w:t>453.</w:t>
      </w:r>
      <w:r>
        <w:rPr>
          <w:color w:val="000000"/>
        </w:rPr>
        <w:tab/>
      </w:r>
      <w:r>
        <w:rPr>
          <w:rFonts w:hint="eastAsia"/>
          <w:color w:val="000000"/>
        </w:rPr>
        <w:t>新《警察纪律条例》</w:t>
      </w:r>
      <w:r>
        <w:rPr>
          <w:rStyle w:val="FootnoteReference"/>
          <w:color w:val="000000"/>
        </w:rPr>
        <w:footnoteReference w:id="221"/>
      </w:r>
      <w:r>
        <w:rPr>
          <w:rFonts w:hint="eastAsia"/>
          <w:color w:val="000000"/>
        </w:rPr>
        <w:t>做出了一项旨在加强警察责任制的严谨规定，以有效解决警察违纪案件。但还没有出台配套的程序规定，以使这些条例更具实效。</w:t>
      </w:r>
    </w:p>
    <w:p w:rsidR="00692915" w:rsidRDefault="00692915" w:rsidP="009A1C1B">
      <w:pPr>
        <w:tabs>
          <w:tab w:val="left" w:pos="1170"/>
        </w:tabs>
        <w:ind w:firstLine="31680"/>
        <w:rPr>
          <w:rFonts w:hint="eastAsia"/>
          <w:color w:val="000000"/>
        </w:rPr>
      </w:pPr>
      <w:r>
        <w:rPr>
          <w:color w:val="000000"/>
        </w:rPr>
        <w:t>454.</w:t>
      </w:r>
      <w:r>
        <w:rPr>
          <w:rFonts w:hint="eastAsia"/>
          <w:color w:val="000000"/>
        </w:rPr>
        <w:t xml:space="preserve"> </w:t>
      </w:r>
      <w:r>
        <w:rPr>
          <w:rFonts w:hint="eastAsia"/>
          <w:color w:val="000000"/>
        </w:rPr>
        <w:t>内政部正在考虑建立相应的机制，以对报告的所有案件进行审查，从而确定是否存在侵犯人权问题。同时，还建立了相应的报告制度，要求每月向部长报告这些案件。这将有助于为内政部提供足够的信息，以对侵犯权利案件的性质和程度进行全面评估，以及采取更有针对性的措施解决所发生的案件。</w:t>
      </w:r>
    </w:p>
    <w:p w:rsidR="00692915" w:rsidRDefault="00692915" w:rsidP="009A1C1B">
      <w:pPr>
        <w:tabs>
          <w:tab w:val="left" w:pos="1170"/>
        </w:tabs>
        <w:ind w:firstLine="31680"/>
        <w:rPr>
          <w:rFonts w:hint="eastAsia"/>
          <w:color w:val="000000"/>
        </w:rPr>
      </w:pPr>
      <w:r>
        <w:rPr>
          <w:color w:val="000000"/>
        </w:rPr>
        <w:t>455.</w:t>
      </w:r>
      <w:r>
        <w:rPr>
          <w:color w:val="000000"/>
        </w:rPr>
        <w:tab/>
      </w:r>
      <w:r>
        <w:rPr>
          <w:rFonts w:hint="eastAsia"/>
          <w:color w:val="000000"/>
        </w:rPr>
        <w:t>除了在法律与制度方面所面临的问题外，有限的资源妨碍了根本保障措施的实施</w:t>
      </w:r>
      <w:r>
        <w:rPr>
          <w:rFonts w:ascii="KaiTi_GB2312" w:hint="eastAsia"/>
          <w:color w:val="000000"/>
        </w:rPr>
        <w:t>——</w:t>
      </w:r>
      <w:r>
        <w:rPr>
          <w:rFonts w:hint="eastAsia"/>
          <w:color w:val="000000"/>
        </w:rPr>
        <w:t>这些保障措施包括：在拘留所期间，被拘留者有权要求提供充分的拘留条件、寻求合法代表的帮助、要求及时进行审前听证会、获得翻译</w:t>
      </w:r>
      <w:r>
        <w:rPr>
          <w:rFonts w:hint="eastAsia"/>
          <w:color w:val="000000"/>
        </w:rPr>
        <w:t>/</w:t>
      </w:r>
      <w:r>
        <w:rPr>
          <w:rFonts w:hint="eastAsia"/>
          <w:color w:val="000000"/>
        </w:rPr>
        <w:t>解说方面的支持。</w:t>
      </w:r>
    </w:p>
    <w:p w:rsidR="00692915" w:rsidRDefault="00692915" w:rsidP="009A1C1B">
      <w:pPr>
        <w:tabs>
          <w:tab w:val="left" w:pos="1170"/>
        </w:tabs>
        <w:ind w:firstLine="31680"/>
        <w:rPr>
          <w:rFonts w:hint="eastAsia"/>
          <w:color w:val="000000"/>
        </w:rPr>
      </w:pPr>
      <w:r>
        <w:rPr>
          <w:color w:val="000000"/>
        </w:rPr>
        <w:t>456.</w:t>
      </w:r>
      <w:r>
        <w:rPr>
          <w:rFonts w:hint="eastAsia"/>
          <w:color w:val="000000"/>
        </w:rPr>
        <w:t>《宪法》规定，在羁押期间，无论男性还是女性，都享有人权，但由于依法被剥夺自由而丧失的权利除外。</w:t>
      </w:r>
      <w:r>
        <w:rPr>
          <w:rStyle w:val="FootnoteReference"/>
          <w:color w:val="000000"/>
        </w:rPr>
        <w:footnoteReference w:id="222"/>
      </w:r>
      <w:r>
        <w:rPr>
          <w:rFonts w:hint="eastAsia"/>
          <w:color w:val="000000"/>
        </w:rPr>
        <w:t>从总体上来说，监狱条件是好的，但目前还需要进行修复，拘留所的条件可能各不相同。这些条件绝没有恶劣到严重侵犯人权的程度。但是在有些情况下，由于资源有限，警察不得不用自己微薄的收入为被拘留人员提供适当的衣食和睡眠用的毯子</w:t>
      </w:r>
      <w:r>
        <w:rPr>
          <w:rFonts w:ascii="SimHei" w:eastAsia="SimHei" w:hint="eastAsia"/>
          <w:color w:val="000000"/>
          <w:spacing w:val="0"/>
        </w:rPr>
        <w:t>——</w:t>
      </w:r>
      <w:r>
        <w:rPr>
          <w:rFonts w:hint="eastAsia"/>
          <w:color w:val="000000"/>
        </w:rPr>
        <w:t>政府希望在短期内解决这一问题，但却远远不能圆满解决这一问题。</w:t>
      </w:r>
    </w:p>
    <w:p w:rsidR="00692915" w:rsidRDefault="00692915" w:rsidP="009A1C1B">
      <w:pPr>
        <w:tabs>
          <w:tab w:val="left" w:pos="1170"/>
        </w:tabs>
        <w:ind w:firstLine="31680"/>
        <w:rPr>
          <w:rFonts w:hint="eastAsia"/>
          <w:color w:val="000000"/>
        </w:rPr>
      </w:pPr>
      <w:r>
        <w:rPr>
          <w:color w:val="000000"/>
        </w:rPr>
        <w:t xml:space="preserve">457. </w:t>
      </w:r>
      <w:r>
        <w:rPr>
          <w:rFonts w:hint="eastAsia"/>
          <w:color w:val="000000"/>
        </w:rPr>
        <w:t>尽管有很多私人机构提供法律服务，但在很长一段时间内，只有</w:t>
      </w:r>
      <w:r>
        <w:rPr>
          <w:rFonts w:hint="eastAsia"/>
          <w:color w:val="000000"/>
        </w:rPr>
        <w:t>10</w:t>
      </w:r>
      <w:r>
        <w:rPr>
          <w:rFonts w:hint="eastAsia"/>
          <w:color w:val="000000"/>
        </w:rPr>
        <w:t>名公诉辩护人免费为卷入刑事调查或刑事诉讼中的个人提供法律援助。</w:t>
      </w:r>
      <w:r>
        <w:rPr>
          <w:rStyle w:val="FootnoteReference"/>
          <w:color w:val="000000"/>
        </w:rPr>
        <w:footnoteReference w:id="223"/>
      </w:r>
      <w:r>
        <w:rPr>
          <w:rFonts w:hint="eastAsia"/>
          <w:color w:val="000000"/>
        </w:rPr>
        <w:t>目前，由于公诉辩护人没有通过国家考试，这一情况进一步恶化了。如今，只有</w:t>
      </w:r>
      <w:r>
        <w:rPr>
          <w:rFonts w:hint="eastAsia"/>
          <w:color w:val="000000"/>
        </w:rPr>
        <w:t>7</w:t>
      </w:r>
      <w:r>
        <w:rPr>
          <w:rFonts w:hint="eastAsia"/>
          <w:color w:val="000000"/>
        </w:rPr>
        <w:t>名国际公诉辩护人提供这类服务。警察建议，在有些情况下，如果有理由认为嫌疑犯对公共安全构成了威胁，例如：嫌疑犯持有枪支、弹药或爆炸物，则可暂停嫌疑犯联系律师的权利。</w:t>
      </w:r>
      <w:r>
        <w:rPr>
          <w:rStyle w:val="FootnoteReference"/>
          <w:color w:val="000000"/>
        </w:rPr>
        <w:footnoteReference w:id="224"/>
      </w:r>
    </w:p>
    <w:p w:rsidR="00692915" w:rsidRDefault="00692915" w:rsidP="009A1C1B">
      <w:pPr>
        <w:tabs>
          <w:tab w:val="left" w:pos="1170"/>
        </w:tabs>
        <w:ind w:firstLine="31680"/>
        <w:rPr>
          <w:rFonts w:hint="eastAsia"/>
          <w:color w:val="000000"/>
        </w:rPr>
      </w:pPr>
      <w:r>
        <w:rPr>
          <w:color w:val="000000"/>
        </w:rPr>
        <w:t>458.</w:t>
      </w:r>
      <w:r>
        <w:rPr>
          <w:color w:val="000000"/>
        </w:rPr>
        <w:tab/>
      </w:r>
      <w:r>
        <w:rPr>
          <w:rFonts w:hint="eastAsia"/>
          <w:color w:val="000000"/>
        </w:rPr>
        <w:t>在警察羁押方面，违反</w:t>
      </w:r>
      <w:r>
        <w:rPr>
          <w:rFonts w:hint="eastAsia"/>
          <w:color w:val="000000"/>
        </w:rPr>
        <w:t>72</w:t>
      </w:r>
      <w:r>
        <w:rPr>
          <w:rFonts w:hint="eastAsia"/>
          <w:color w:val="000000"/>
        </w:rPr>
        <w:t>小时限制性规定的情况也有发生，这在农村地区尤其突出：由于缺乏交通、汽油或道路条件很差，不能及时将嫌疑犯提交法院审理。在报告期间的很长一段时期内，一直正常办公的只有帝力地区法院。其他地区法院只是不定期地在各自地区内办公，这些法院一般在帝力区法院所在地办公。因此，更远的地区更加难以将嫌疑犯提交法院进行审理。</w:t>
      </w:r>
      <w:r>
        <w:rPr>
          <w:rStyle w:val="FootnoteReference"/>
          <w:color w:val="000000"/>
        </w:rPr>
        <w:footnoteReference w:id="225"/>
      </w:r>
      <w:r>
        <w:rPr>
          <w:rFonts w:hint="eastAsia"/>
          <w:color w:val="000000"/>
        </w:rPr>
        <w:t>最近几个月，国际和国家法官和检察官的到来提高了法院的办公效率，但是问题仍然没有得到解决。地区协商会议显示，警察对</w:t>
      </w:r>
      <w:r>
        <w:rPr>
          <w:rFonts w:hint="eastAsia"/>
          <w:color w:val="000000"/>
        </w:rPr>
        <w:t>72</w:t>
      </w:r>
      <w:r>
        <w:rPr>
          <w:rFonts w:hint="eastAsia"/>
          <w:color w:val="000000"/>
        </w:rPr>
        <w:t>小时限制性规定的理解有偏差，有些人错误地将这种规定理解为：在将嫌疑犯交给调查法官之前，至少需要将嫌疑犯拘留</w:t>
      </w:r>
      <w:r>
        <w:rPr>
          <w:rFonts w:hint="eastAsia"/>
          <w:color w:val="000000"/>
        </w:rPr>
        <w:t>72</w:t>
      </w:r>
      <w:r>
        <w:rPr>
          <w:rFonts w:hint="eastAsia"/>
          <w:color w:val="000000"/>
        </w:rPr>
        <w:t>小时。</w:t>
      </w:r>
      <w:r>
        <w:rPr>
          <w:rStyle w:val="FootnoteReference"/>
          <w:color w:val="000000"/>
        </w:rPr>
        <w:footnoteReference w:id="226"/>
      </w:r>
      <w:r>
        <w:rPr>
          <w:rFonts w:hint="eastAsia"/>
          <w:color w:val="000000"/>
        </w:rPr>
        <w:t>据称，有关拘留的</w:t>
      </w:r>
      <w:r>
        <w:rPr>
          <w:rFonts w:hint="eastAsia"/>
          <w:color w:val="000000"/>
        </w:rPr>
        <w:t>72</w:t>
      </w:r>
      <w:r>
        <w:rPr>
          <w:rFonts w:hint="eastAsia"/>
          <w:color w:val="000000"/>
        </w:rPr>
        <w:t>小时限制性规定被作为一种处罚形式，在没有指控的情况下，往往以此为依据对个人进行短期拘留。</w:t>
      </w:r>
    </w:p>
    <w:p w:rsidR="00692915" w:rsidRDefault="00692915" w:rsidP="009A1C1B">
      <w:pPr>
        <w:tabs>
          <w:tab w:val="left" w:pos="1170"/>
        </w:tabs>
        <w:ind w:firstLine="31680"/>
        <w:rPr>
          <w:rFonts w:hint="eastAsia"/>
          <w:color w:val="000000"/>
        </w:rPr>
      </w:pPr>
      <w:r>
        <w:rPr>
          <w:color w:val="000000"/>
        </w:rPr>
        <w:t>459.</w:t>
      </w:r>
      <w:r>
        <w:rPr>
          <w:rFonts w:hint="eastAsia"/>
          <w:color w:val="000000"/>
        </w:rPr>
        <w:t xml:space="preserve"> </w:t>
      </w:r>
      <w:r>
        <w:rPr>
          <w:rFonts w:hint="eastAsia"/>
          <w:color w:val="000000"/>
        </w:rPr>
        <w:t>警官知道在逮捕嫌疑犯时，应明确准确地告知嫌疑犯所受到的指控。但是由于复杂的语言问题，以及缺乏相应的翻译人员协助</w:t>
      </w:r>
      <w:r>
        <w:rPr>
          <w:rFonts w:hint="eastAsia"/>
          <w:color w:val="000000"/>
        </w:rPr>
        <w:t>13</w:t>
      </w:r>
      <w:r>
        <w:rPr>
          <w:rFonts w:hint="eastAsia"/>
          <w:color w:val="000000"/>
        </w:rPr>
        <w:t>个地区警察局的审理工作，所以在所有案件中都难以将这一保障措施付诸实施。</w:t>
      </w:r>
    </w:p>
    <w:p w:rsidR="00692915" w:rsidRDefault="00692915" w:rsidP="009A1C1B">
      <w:pPr>
        <w:tabs>
          <w:tab w:val="left" w:pos="1170"/>
        </w:tabs>
        <w:ind w:firstLine="31680"/>
        <w:rPr>
          <w:rFonts w:hint="eastAsia"/>
          <w:color w:val="000000"/>
        </w:rPr>
      </w:pPr>
      <w:r>
        <w:rPr>
          <w:color w:val="000000"/>
        </w:rPr>
        <w:t xml:space="preserve">460. </w:t>
      </w:r>
      <w:r>
        <w:rPr>
          <w:rFonts w:hint="eastAsia"/>
          <w:color w:val="000000"/>
        </w:rPr>
        <w:t>以上有关警察侵犯人权或违反正当程序的情况大多都是一些逸闻。主管</w:t>
      </w:r>
      <w:r>
        <w:rPr>
          <w:color w:val="000000"/>
        </w:rPr>
        <w:t>东帝汶国家警察</w:t>
      </w:r>
      <w:r>
        <w:rPr>
          <w:rFonts w:hint="eastAsia"/>
          <w:color w:val="000000"/>
        </w:rPr>
        <w:t>的内政部承认，违反人权的案件确实发生过。该部强调指出，目前其本身还没有机会建立相应的机制，以确定人权侵犯案件的性质或程度，或记录相关的数据。因此，目前还不能就这一问题提供结论性的数据。不过，随着《</w:t>
      </w:r>
      <w:r>
        <w:rPr>
          <w:rFonts w:hint="eastAsia"/>
          <w:color w:val="000000"/>
        </w:rPr>
        <w:t>2004</w:t>
      </w:r>
      <w:r>
        <w:rPr>
          <w:rFonts w:hint="eastAsia"/>
          <w:color w:val="000000"/>
        </w:rPr>
        <w:t>年纪律条例》的全面实施，再加上数据整理水平的提高，检察长办公室、职业道德操守办公室与监察员办公室之间移送和投诉处理机制的改善，以及警察培训期间的延长，将会产生积极的效果，这包括：警察的责任制将得到加强，逮捕和拘留工作中侵犯人权的案件将减少。</w:t>
      </w:r>
    </w:p>
    <w:p w:rsidR="00692915" w:rsidRDefault="00692915" w:rsidP="009A1C1B">
      <w:pPr>
        <w:tabs>
          <w:tab w:val="left" w:pos="1170"/>
        </w:tabs>
        <w:spacing w:after="240"/>
        <w:ind w:firstLine="31680"/>
        <w:rPr>
          <w:rFonts w:hint="eastAsia"/>
          <w:color w:val="000000"/>
        </w:rPr>
      </w:pPr>
      <w:r>
        <w:rPr>
          <w:color w:val="000000"/>
        </w:rPr>
        <w:t>461.</w:t>
      </w:r>
      <w:r>
        <w:rPr>
          <w:color w:val="000000"/>
        </w:rPr>
        <w:tab/>
      </w:r>
      <w:r>
        <w:rPr>
          <w:color w:val="000000"/>
        </w:rPr>
        <w:t>东帝汶过渡当局</w:t>
      </w:r>
      <w:r>
        <w:rPr>
          <w:rFonts w:hint="eastAsia"/>
          <w:color w:val="000000"/>
        </w:rPr>
        <w:t>第</w:t>
      </w:r>
      <w:r>
        <w:rPr>
          <w:color w:val="000000"/>
        </w:rPr>
        <w:t>2001/23</w:t>
      </w:r>
      <w:r>
        <w:rPr>
          <w:rFonts w:hint="eastAsia"/>
          <w:color w:val="000000"/>
        </w:rPr>
        <w:t>号条例第</w:t>
      </w:r>
      <w:r>
        <w:rPr>
          <w:rFonts w:hint="eastAsia"/>
          <w:color w:val="000000"/>
        </w:rPr>
        <w:t>2. 1</w:t>
      </w:r>
      <w:r>
        <w:rPr>
          <w:rFonts w:hint="eastAsia"/>
          <w:color w:val="000000"/>
        </w:rPr>
        <w:t>（</w:t>
      </w:r>
      <w:r>
        <w:rPr>
          <w:rFonts w:hint="eastAsia"/>
          <w:color w:val="000000"/>
        </w:rPr>
        <w:t>c</w:t>
      </w:r>
      <w:r>
        <w:rPr>
          <w:rFonts w:hint="eastAsia"/>
          <w:color w:val="000000"/>
        </w:rPr>
        <w:t>）条规定，将通过监狱制度努力改造犯人和使犯人重返社会。实际上，东帝汶的刑事制度是为了确保囚犯不会完全脱离广大的社会，尤其是其家庭和亲属。亲戚和家属可以定期探望囚犯。在其他情况下，探望囚犯需要经过内政部和外交部的批准。司法部与开发计划署一起建立了一个囚犯援助方案，其中包括对那些犯有性别暴力罪的囚犯进行职业培训和愤怒管理培训。此外，在</w:t>
      </w:r>
      <w:r>
        <w:rPr>
          <w:color w:val="000000"/>
        </w:rPr>
        <w:t>人口基金</w:t>
      </w:r>
      <w:r>
        <w:rPr>
          <w:rFonts w:hint="eastAsia"/>
          <w:color w:val="000000"/>
        </w:rPr>
        <w:t>的支持下，</w:t>
      </w:r>
      <w:r>
        <w:rPr>
          <w:color w:val="000000"/>
        </w:rPr>
        <w:t>促进平等事务总理顾问办公室</w:t>
      </w:r>
      <w:r>
        <w:rPr>
          <w:rFonts w:hint="eastAsia"/>
          <w:color w:val="000000"/>
        </w:rPr>
        <w:t>目前正在尝试实施“帮助暴力罪犯控制暴力行为的培训方案”。在撰写本报告之时，有</w:t>
      </w:r>
      <w:r>
        <w:rPr>
          <w:rFonts w:hint="eastAsia"/>
          <w:color w:val="000000"/>
        </w:rPr>
        <w:t>12</w:t>
      </w:r>
      <w:r>
        <w:rPr>
          <w:rFonts w:hint="eastAsia"/>
          <w:color w:val="000000"/>
        </w:rPr>
        <w:t>名狱警成功完成了该方案第一阶段的“训练培训员”。在利益攸关方的协助下，已经编制了一份培训手册，之后将对三名狱警（协同的帮教人员）进行强化的“训练培训员”，然后进入最后阶段以实施各种针对囚犯人群的培训模块。另外，还设计了其他社会和教育方案，以便囚犯返回社会以后能够立即步入正常生活。</w:t>
      </w:r>
    </w:p>
    <w:p w:rsidR="00692915" w:rsidRDefault="00692915">
      <w:pPr>
        <w:pStyle w:val="Heading2"/>
        <w:tabs>
          <w:tab w:val="left" w:pos="520"/>
        </w:tabs>
        <w:jc w:val="both"/>
        <w:rPr>
          <w:rFonts w:hint="eastAsia"/>
          <w:color w:val="000000"/>
          <w:sz w:val="24"/>
        </w:rPr>
      </w:pPr>
      <w:bookmarkStart w:id="82" w:name="_Toc150514983"/>
      <w:bookmarkStart w:id="83" w:name="_Toc150684886"/>
      <w:r>
        <w:rPr>
          <w:color w:val="000000"/>
          <w:sz w:val="24"/>
        </w:rPr>
        <w:t xml:space="preserve">2.  </w:t>
      </w:r>
      <w:bookmarkEnd w:id="82"/>
      <w:bookmarkEnd w:id="83"/>
      <w:r>
        <w:rPr>
          <w:rFonts w:hint="eastAsia"/>
          <w:color w:val="000000"/>
          <w:sz w:val="24"/>
          <w:u w:val="single"/>
        </w:rPr>
        <w:t>刑事诉讼</w:t>
      </w:r>
    </w:p>
    <w:p w:rsidR="00692915" w:rsidRDefault="00692915" w:rsidP="009A1C1B">
      <w:pPr>
        <w:tabs>
          <w:tab w:val="left" w:pos="1170"/>
        </w:tabs>
        <w:ind w:firstLine="31680"/>
        <w:rPr>
          <w:rFonts w:hint="eastAsia"/>
          <w:color w:val="000000"/>
        </w:rPr>
      </w:pPr>
      <w:r>
        <w:rPr>
          <w:color w:val="000000"/>
        </w:rPr>
        <w:t>462.</w:t>
      </w:r>
      <w:r>
        <w:rPr>
          <w:color w:val="000000"/>
        </w:rPr>
        <w:tab/>
      </w:r>
      <w:r>
        <w:rPr>
          <w:rFonts w:hint="eastAsia"/>
          <w:color w:val="000000"/>
        </w:rPr>
        <w:t>在东帝汶，《宪法》和《刑事诉讼法典》都确定了相应的国内法律基础，以确保审理公正和程序正当。</w:t>
      </w:r>
    </w:p>
    <w:p w:rsidR="00692915" w:rsidRDefault="00692915" w:rsidP="009A1C1B">
      <w:pPr>
        <w:tabs>
          <w:tab w:val="left" w:pos="1170"/>
        </w:tabs>
        <w:ind w:firstLine="31680"/>
        <w:rPr>
          <w:rFonts w:hint="eastAsia"/>
          <w:color w:val="000000"/>
        </w:rPr>
      </w:pPr>
      <w:r>
        <w:rPr>
          <w:color w:val="000000"/>
        </w:rPr>
        <w:t>463.</w:t>
      </w:r>
      <w:r>
        <w:rPr>
          <w:rFonts w:hint="eastAsia"/>
          <w:color w:val="000000"/>
        </w:rPr>
        <w:t xml:space="preserve"> </w:t>
      </w:r>
      <w:r>
        <w:rPr>
          <w:rFonts w:hint="eastAsia"/>
          <w:color w:val="000000"/>
          <w:lang w:bidi="th-TH"/>
        </w:rPr>
        <w:t>在有确凿犯罪证据之前，应将嫌疑犯视为无罪，这项权利将受《宪法》第</w:t>
      </w:r>
      <w:r>
        <w:rPr>
          <w:color w:val="000000"/>
          <w:lang w:bidi="th-TH"/>
        </w:rPr>
        <w:t>34</w:t>
      </w:r>
      <w:r>
        <w:rPr>
          <w:rFonts w:hint="eastAsia"/>
          <w:color w:val="000000"/>
          <w:lang w:bidi="th-TH"/>
        </w:rPr>
        <w:t>（</w:t>
      </w:r>
      <w:r>
        <w:rPr>
          <w:rFonts w:hint="eastAsia"/>
          <w:color w:val="000000"/>
          <w:lang w:bidi="th-TH"/>
        </w:rPr>
        <w:t>1</w:t>
      </w:r>
      <w:r>
        <w:rPr>
          <w:rFonts w:hint="eastAsia"/>
          <w:color w:val="000000"/>
          <w:lang w:bidi="th-TH"/>
        </w:rPr>
        <w:t>）条的保护，检察官有责任取得犯罪证据。</w:t>
      </w:r>
      <w:r>
        <w:rPr>
          <w:rStyle w:val="FootnoteReference"/>
          <w:color w:val="000000"/>
        </w:rPr>
        <w:footnoteReference w:id="227"/>
      </w:r>
      <w:r>
        <w:rPr>
          <w:rFonts w:hint="eastAsia"/>
          <w:color w:val="000000"/>
          <w:lang w:bidi="th-TH"/>
        </w:rPr>
        <w:t>《宪法》第</w:t>
      </w:r>
      <w:r>
        <w:rPr>
          <w:rFonts w:hint="eastAsia"/>
          <w:color w:val="000000"/>
          <w:lang w:bidi="th-TH"/>
        </w:rPr>
        <w:t>35.4</w:t>
      </w:r>
      <w:r>
        <w:rPr>
          <w:rFonts w:hint="eastAsia"/>
          <w:color w:val="000000"/>
          <w:lang w:bidi="th-TH"/>
        </w:rPr>
        <w:t>条还明确规定，不得强迫任何证人对嫌疑人进行指控。目前，还没有这方面的立法，但是不得强迫嫌疑人承认或否认受害人和证人所提供的犯罪信息。检察官有责任进一步进行调查，并为案件收集相关的证据。辩护律师可有机会对检举的证据进行质证。</w:t>
      </w:r>
    </w:p>
    <w:p w:rsidR="00692915" w:rsidRDefault="00692915" w:rsidP="009A1C1B">
      <w:pPr>
        <w:tabs>
          <w:tab w:val="left" w:pos="1170"/>
        </w:tabs>
        <w:ind w:firstLine="31680"/>
        <w:rPr>
          <w:rFonts w:hint="eastAsia"/>
          <w:bCs/>
          <w:color w:val="000000"/>
        </w:rPr>
      </w:pPr>
      <w:r>
        <w:rPr>
          <w:color w:val="000000"/>
        </w:rPr>
        <w:t>464.</w:t>
      </w:r>
      <w:r>
        <w:rPr>
          <w:rFonts w:hint="eastAsia"/>
          <w:bCs/>
          <w:color w:val="000000"/>
        </w:rPr>
        <w:t>《刑事诉讼法典》明确规定，法院不得通过非法手段取证，如：不得通过酷刑、胁迫或有关道德品行和人身安全的威胁来取证。</w:t>
      </w:r>
      <w:r>
        <w:rPr>
          <w:rStyle w:val="FootnoteReference"/>
          <w:color w:val="000000"/>
        </w:rPr>
        <w:footnoteReference w:id="228"/>
      </w:r>
      <w:r>
        <w:rPr>
          <w:rFonts w:hint="eastAsia"/>
          <w:bCs/>
          <w:color w:val="000000"/>
        </w:rPr>
        <w:t>任何官员，如果通过非法手段获取这类证据，最多可能被处以</w:t>
      </w:r>
      <w:r>
        <w:rPr>
          <w:rFonts w:hint="eastAsia"/>
          <w:bCs/>
          <w:color w:val="000000"/>
        </w:rPr>
        <w:t>4</w:t>
      </w:r>
      <w:r>
        <w:rPr>
          <w:rFonts w:hint="eastAsia"/>
          <w:bCs/>
          <w:color w:val="000000"/>
        </w:rPr>
        <w:t>年的徒刑。</w:t>
      </w:r>
      <w:r>
        <w:rPr>
          <w:rStyle w:val="FootnoteReference"/>
          <w:bCs/>
          <w:color w:val="000000"/>
        </w:rPr>
        <w:footnoteReference w:id="229"/>
      </w:r>
      <w:r>
        <w:rPr>
          <w:rFonts w:hint="eastAsia"/>
          <w:bCs/>
          <w:color w:val="000000"/>
        </w:rPr>
        <w:t>目前，在提交给法院的证据中，政府还尚未发现通过酷刑、胁迫或威胁手段获得的证据。</w:t>
      </w:r>
    </w:p>
    <w:p w:rsidR="00692915" w:rsidRDefault="00692915" w:rsidP="009A1C1B">
      <w:pPr>
        <w:tabs>
          <w:tab w:val="left" w:pos="1170"/>
        </w:tabs>
        <w:autoSpaceDE w:val="0"/>
        <w:autoSpaceDN w:val="0"/>
        <w:ind w:firstLine="31680"/>
        <w:rPr>
          <w:rFonts w:hint="eastAsia"/>
          <w:bCs/>
          <w:color w:val="000000"/>
          <w:lang w:bidi="th-TH"/>
        </w:rPr>
      </w:pPr>
      <w:r>
        <w:rPr>
          <w:bCs/>
          <w:color w:val="000000"/>
          <w:lang w:bidi="th-TH"/>
        </w:rPr>
        <w:t>465.</w:t>
      </w:r>
      <w:r>
        <w:rPr>
          <w:rFonts w:hint="eastAsia"/>
          <w:bCs/>
          <w:color w:val="000000"/>
          <w:lang w:bidi="th-TH"/>
        </w:rPr>
        <w:t>《宪法》第</w:t>
      </w:r>
      <w:r>
        <w:rPr>
          <w:rFonts w:hint="eastAsia"/>
          <w:bCs/>
          <w:color w:val="000000"/>
          <w:lang w:bidi="th-TH"/>
        </w:rPr>
        <w:t>34. 2</w:t>
      </w:r>
      <w:r>
        <w:rPr>
          <w:rFonts w:hint="eastAsia"/>
          <w:bCs/>
          <w:color w:val="000000"/>
          <w:lang w:bidi="th-TH"/>
        </w:rPr>
        <w:t>条以及《刑事诉讼法典》</w:t>
      </w:r>
      <w:r>
        <w:rPr>
          <w:rStyle w:val="FootnoteReference"/>
          <w:bCs/>
          <w:color w:val="000000"/>
          <w:lang w:bidi="th-TH"/>
        </w:rPr>
        <w:footnoteReference w:id="230"/>
      </w:r>
      <w:r>
        <w:rPr>
          <w:rFonts w:hint="eastAsia"/>
          <w:bCs/>
          <w:color w:val="000000"/>
          <w:lang w:bidi="th-TH"/>
        </w:rPr>
        <w:t>规定，被指控人员有权在刑事诉讼的所有阶段寻求律师帮助，人们可以从公诉辩护人办公室</w:t>
      </w:r>
      <w:r>
        <w:rPr>
          <w:rStyle w:val="FootnoteReference"/>
          <w:bCs/>
          <w:color w:val="000000"/>
          <w:lang w:bidi="th-TH"/>
        </w:rPr>
        <w:footnoteReference w:id="231"/>
      </w:r>
      <w:r>
        <w:rPr>
          <w:rFonts w:hint="eastAsia"/>
          <w:bCs/>
          <w:color w:val="000000"/>
          <w:lang w:bidi="th-TH"/>
        </w:rPr>
        <w:t>免费获得法律援助，这是免费获取法律援助的主要途径。除此以外，其他机构也提供商业性的或无偿的法律援助。《宪法》第</w:t>
      </w:r>
      <w:r>
        <w:rPr>
          <w:rFonts w:hint="eastAsia"/>
          <w:bCs/>
          <w:color w:val="000000"/>
          <w:lang w:bidi="th-TH"/>
        </w:rPr>
        <w:t>135</w:t>
      </w:r>
      <w:r>
        <w:rPr>
          <w:rFonts w:hint="eastAsia"/>
          <w:bCs/>
          <w:color w:val="000000"/>
          <w:lang w:bidi="th-TH"/>
        </w:rPr>
        <w:t>条规定，东帝汶的法律和司法援助是为社会利益服务的，应从社会利益出发提供援助。</w:t>
      </w:r>
      <w:r>
        <w:rPr>
          <w:rStyle w:val="FootnoteReference"/>
          <w:bCs/>
          <w:color w:val="000000"/>
          <w:lang w:bidi="th-TH"/>
        </w:rPr>
        <w:footnoteReference w:id="232"/>
      </w:r>
      <w:r>
        <w:rPr>
          <w:rFonts w:hint="eastAsia"/>
          <w:bCs/>
          <w:color w:val="000000"/>
          <w:lang w:bidi="th-TH"/>
        </w:rPr>
        <w:t>在东帝汶，至少有</w:t>
      </w:r>
      <w:r>
        <w:rPr>
          <w:rFonts w:hint="eastAsia"/>
          <w:bCs/>
          <w:color w:val="000000"/>
          <w:lang w:bidi="th-TH"/>
        </w:rPr>
        <w:t>8</w:t>
      </w:r>
      <w:r>
        <w:rPr>
          <w:rFonts w:hint="eastAsia"/>
          <w:bCs/>
          <w:color w:val="000000"/>
          <w:lang w:bidi="th-TH"/>
        </w:rPr>
        <w:t>家提供法律援助的非政府组织，这些组织由亚洲基金会提供资助。不过，东帝汶目前的法定代理人还非常缺乏，这妨碍了嫌疑人寻求合格法定代理人的权利，通常不利于对案件做出及时裁决。</w:t>
      </w:r>
      <w:r>
        <w:rPr>
          <w:rFonts w:hint="eastAsia"/>
          <w:bCs/>
          <w:color w:val="000000"/>
          <w:lang w:bidi="th-TH"/>
        </w:rPr>
        <w:t>2005</w:t>
      </w:r>
      <w:r>
        <w:rPr>
          <w:rFonts w:hint="eastAsia"/>
          <w:bCs/>
          <w:color w:val="000000"/>
          <w:lang w:bidi="th-TH"/>
        </w:rPr>
        <w:t>年初，公诉辩护人未能通过法律考试，这进一步加剧了问题的严重性。为使公诉辩护人办公室能继续运作，东帝汶要在很大程度上依靠国际顾问和捐赠方的支持。</w:t>
      </w:r>
    </w:p>
    <w:p w:rsidR="00692915" w:rsidRDefault="00692915" w:rsidP="009A1C1B">
      <w:pPr>
        <w:tabs>
          <w:tab w:val="left" w:pos="1170"/>
        </w:tabs>
        <w:autoSpaceDE w:val="0"/>
        <w:autoSpaceDN w:val="0"/>
        <w:ind w:firstLine="31680"/>
        <w:rPr>
          <w:rFonts w:hint="eastAsia"/>
          <w:bCs/>
          <w:color w:val="000000"/>
          <w:lang w:bidi="th-TH"/>
        </w:rPr>
      </w:pPr>
      <w:r>
        <w:rPr>
          <w:bCs/>
          <w:color w:val="000000"/>
        </w:rPr>
        <w:t>466.</w:t>
      </w:r>
      <w:r>
        <w:rPr>
          <w:bCs/>
          <w:color w:val="000000"/>
        </w:rPr>
        <w:tab/>
      </w:r>
      <w:r>
        <w:rPr>
          <w:rFonts w:hint="eastAsia"/>
          <w:bCs/>
          <w:color w:val="000000"/>
          <w:lang w:bidi="th-TH"/>
        </w:rPr>
        <w:t>《宪法》和法律规定将向公众公开审理情况，实践中大多能遵守这一做法。</w:t>
      </w:r>
      <w:r>
        <w:rPr>
          <w:rStyle w:val="FootnoteReference"/>
          <w:bCs/>
          <w:color w:val="000000"/>
        </w:rPr>
        <w:footnoteReference w:id="233"/>
      </w:r>
      <w:r>
        <w:rPr>
          <w:rFonts w:hint="eastAsia"/>
          <w:bCs/>
          <w:color w:val="000000"/>
          <w:lang w:bidi="th-TH"/>
        </w:rPr>
        <w:t>但由于某些案件的特殊性，可能要全面或部分禁止审理的公开，以维护公德或尊严，</w:t>
      </w:r>
      <w:r>
        <w:rPr>
          <w:rStyle w:val="FootnoteReference"/>
          <w:bCs/>
          <w:color w:val="000000"/>
          <w:lang w:bidi="th-TH"/>
        </w:rPr>
        <w:footnoteReference w:id="234"/>
      </w:r>
      <w:r>
        <w:rPr>
          <w:rFonts w:hint="eastAsia"/>
          <w:bCs/>
          <w:color w:val="000000"/>
          <w:lang w:bidi="th-TH"/>
        </w:rPr>
        <w:t>其中可能包括有关性犯罪的案件。事实上，对</w:t>
      </w:r>
      <w:r>
        <w:rPr>
          <w:rFonts w:hint="eastAsia"/>
          <w:bCs/>
          <w:color w:val="000000"/>
          <w:lang w:bidi="th-TH"/>
        </w:rPr>
        <w:t>18</w:t>
      </w:r>
      <w:r>
        <w:rPr>
          <w:rFonts w:hint="eastAsia"/>
          <w:bCs/>
          <w:color w:val="000000"/>
          <w:lang w:bidi="th-TH"/>
        </w:rPr>
        <w:t>岁以下性犯罪人的审理一直不向公众公开。</w:t>
      </w:r>
    </w:p>
    <w:p w:rsidR="00692915" w:rsidRDefault="00692915" w:rsidP="009A1C1B">
      <w:pPr>
        <w:tabs>
          <w:tab w:val="left" w:pos="1170"/>
        </w:tabs>
        <w:autoSpaceDE w:val="0"/>
        <w:autoSpaceDN w:val="0"/>
        <w:ind w:firstLine="31680"/>
        <w:rPr>
          <w:rFonts w:hint="eastAsia"/>
          <w:bCs/>
          <w:color w:val="000000"/>
          <w:lang w:bidi="th-TH"/>
        </w:rPr>
      </w:pPr>
      <w:r>
        <w:rPr>
          <w:bCs/>
          <w:color w:val="000000"/>
          <w:lang w:bidi="th-TH"/>
        </w:rPr>
        <w:t>467.</w:t>
      </w:r>
      <w:r>
        <w:rPr>
          <w:bCs/>
          <w:color w:val="000000"/>
          <w:lang w:bidi="th-TH"/>
        </w:rPr>
        <w:tab/>
      </w:r>
      <w:r>
        <w:rPr>
          <w:rFonts w:hint="eastAsia"/>
          <w:bCs/>
          <w:color w:val="000000"/>
          <w:lang w:bidi="th-TH"/>
        </w:rPr>
        <w:t>被告要求对证人进行质证的权利，以及弱势证人免受胁迫的权利受到法律保护，而且在刑事诉讼中一般能够得到法官的遵守。</w:t>
      </w:r>
      <w:r>
        <w:rPr>
          <w:rStyle w:val="FootnoteReference"/>
          <w:bCs/>
          <w:color w:val="000000"/>
          <w:lang w:bidi="th-TH"/>
        </w:rPr>
        <w:footnoteReference w:id="235"/>
      </w:r>
      <w:r>
        <w:rPr>
          <w:rFonts w:hint="eastAsia"/>
          <w:bCs/>
          <w:color w:val="000000"/>
          <w:lang w:bidi="th-TH"/>
        </w:rPr>
        <w:t>到目前为止，诉讼案件拖延严重，案件大量积压是法院诉讼中较为严重的问题，导致这些问题的原因包括：法官缺乏经验和准备不足、对法院的支持力度不够、案件缺乏明确和统一的管理。在审理时不得有不当的延误，这是被告享有的一项权利，但在有些情况下，由于案件的延误，被告的这种权利受到了不利影响。</w:t>
      </w:r>
    </w:p>
    <w:p w:rsidR="00692915" w:rsidRDefault="00692915" w:rsidP="009A1C1B">
      <w:pPr>
        <w:tabs>
          <w:tab w:val="left" w:pos="1170"/>
        </w:tabs>
        <w:autoSpaceDE w:val="0"/>
        <w:autoSpaceDN w:val="0"/>
        <w:ind w:firstLine="31680"/>
        <w:rPr>
          <w:rFonts w:hint="eastAsia"/>
          <w:bCs/>
          <w:color w:val="000000"/>
          <w:lang w:bidi="th-TH"/>
        </w:rPr>
      </w:pPr>
      <w:r>
        <w:rPr>
          <w:bCs/>
          <w:color w:val="000000"/>
          <w:lang w:bidi="th-TH"/>
        </w:rPr>
        <w:t>468.</w:t>
      </w:r>
      <w:r>
        <w:rPr>
          <w:rFonts w:hint="eastAsia"/>
          <w:bCs/>
          <w:color w:val="000000"/>
          <w:lang w:bidi="th-TH"/>
        </w:rPr>
        <w:t xml:space="preserve"> </w:t>
      </w:r>
      <w:r>
        <w:rPr>
          <w:rFonts w:hint="eastAsia"/>
          <w:bCs/>
          <w:color w:val="000000"/>
        </w:rPr>
        <w:t>根据总检察长办公室收集的数据，自</w:t>
      </w:r>
      <w:r>
        <w:rPr>
          <w:rFonts w:hint="eastAsia"/>
          <w:bCs/>
          <w:color w:val="000000"/>
        </w:rPr>
        <w:t>2001</w:t>
      </w:r>
      <w:r>
        <w:rPr>
          <w:rFonts w:hint="eastAsia"/>
          <w:bCs/>
          <w:color w:val="000000"/>
        </w:rPr>
        <w:t>年以来，积压案件大增。不过，在国际法院到来之后，情况略有好转。截止</w:t>
      </w:r>
      <w:r>
        <w:rPr>
          <w:rFonts w:hint="eastAsia"/>
          <w:bCs/>
          <w:color w:val="000000"/>
        </w:rPr>
        <w:t>2004</w:t>
      </w:r>
      <w:r>
        <w:rPr>
          <w:rFonts w:hint="eastAsia"/>
          <w:bCs/>
          <w:color w:val="000000"/>
        </w:rPr>
        <w:t>年末，该系统收到的案件为</w:t>
      </w:r>
      <w:r>
        <w:rPr>
          <w:rFonts w:hint="eastAsia"/>
          <w:bCs/>
          <w:color w:val="000000"/>
        </w:rPr>
        <w:t>1 091</w:t>
      </w:r>
      <w:r>
        <w:rPr>
          <w:rFonts w:hint="eastAsia"/>
          <w:bCs/>
          <w:color w:val="000000"/>
        </w:rPr>
        <w:t>起（</w:t>
      </w:r>
      <w:r>
        <w:rPr>
          <w:rFonts w:hint="eastAsia"/>
          <w:bCs/>
          <w:color w:val="000000"/>
        </w:rPr>
        <w:t>2004</w:t>
      </w:r>
      <w:r>
        <w:rPr>
          <w:rFonts w:hint="eastAsia"/>
          <w:bCs/>
          <w:color w:val="000000"/>
        </w:rPr>
        <w:t>年为</w:t>
      </w:r>
      <w:r>
        <w:rPr>
          <w:rFonts w:hint="eastAsia"/>
          <w:bCs/>
          <w:color w:val="000000"/>
        </w:rPr>
        <w:t>174</w:t>
      </w:r>
      <w:r>
        <w:rPr>
          <w:rFonts w:hint="eastAsia"/>
          <w:bCs/>
          <w:color w:val="000000"/>
        </w:rPr>
        <w:t>起），其中</w:t>
      </w:r>
      <w:r>
        <w:rPr>
          <w:rFonts w:hint="eastAsia"/>
          <w:bCs/>
          <w:color w:val="000000"/>
        </w:rPr>
        <w:t>440</w:t>
      </w:r>
      <w:r>
        <w:rPr>
          <w:rFonts w:hint="eastAsia"/>
          <w:bCs/>
          <w:color w:val="000000"/>
        </w:rPr>
        <w:t>起案件仍未处理。</w:t>
      </w:r>
      <w:r>
        <w:rPr>
          <w:rStyle w:val="FootnoteReference"/>
          <w:bCs/>
          <w:color w:val="000000"/>
          <w:lang w:bidi="th-TH"/>
        </w:rPr>
        <w:footnoteReference w:id="236"/>
      </w:r>
      <w:r>
        <w:rPr>
          <w:rFonts w:hint="eastAsia"/>
          <w:bCs/>
          <w:color w:val="000000"/>
        </w:rPr>
        <w:t>新《刑事诉讼法典》做出了一系列规定，以解决不当延误的问题，自独立以来，这些问题一直不利于司法系统有效发挥其职能。新法律框架的出台，以及司法部门工作人员能力的提高将有望提高案件的处理效率。</w:t>
      </w:r>
    </w:p>
    <w:p w:rsidR="00692915" w:rsidRDefault="00692915" w:rsidP="009A1C1B">
      <w:pPr>
        <w:tabs>
          <w:tab w:val="left" w:pos="1170"/>
        </w:tabs>
        <w:autoSpaceDE w:val="0"/>
        <w:autoSpaceDN w:val="0"/>
        <w:ind w:firstLine="31680"/>
        <w:rPr>
          <w:rFonts w:hint="eastAsia"/>
          <w:bCs/>
          <w:color w:val="000000"/>
          <w:lang w:bidi="th-TH"/>
        </w:rPr>
      </w:pPr>
      <w:r>
        <w:rPr>
          <w:bCs/>
          <w:color w:val="000000"/>
          <w:lang w:bidi="th-TH"/>
        </w:rPr>
        <w:t>469.</w:t>
      </w:r>
      <w:r>
        <w:rPr>
          <w:bCs/>
          <w:color w:val="000000"/>
          <w:lang w:bidi="th-TH"/>
        </w:rPr>
        <w:tab/>
      </w:r>
      <w:r>
        <w:rPr>
          <w:rFonts w:hint="eastAsia"/>
          <w:bCs/>
          <w:color w:val="000000"/>
          <w:lang w:bidi="th-TH"/>
        </w:rPr>
        <w:t>法庭裁决将通过律师通知给被告及其家庭，并尽可能通过印刷和电子媒体告知公众。</w:t>
      </w:r>
      <w:r>
        <w:rPr>
          <w:rStyle w:val="FootnoteReference"/>
          <w:bCs/>
          <w:color w:val="000000"/>
          <w:lang w:bidi="th-TH"/>
        </w:rPr>
        <w:footnoteReference w:id="237"/>
      </w:r>
      <w:r>
        <w:rPr>
          <w:rFonts w:hint="eastAsia"/>
          <w:bCs/>
          <w:color w:val="000000"/>
          <w:lang w:bidi="th-TH"/>
        </w:rPr>
        <w:t>2005</w:t>
      </w:r>
      <w:r>
        <w:rPr>
          <w:rFonts w:hint="eastAsia"/>
          <w:bCs/>
          <w:color w:val="000000"/>
          <w:lang w:bidi="th-TH"/>
        </w:rPr>
        <w:t>年，上诉法院院长签发了一项指令，对公众获知法院判决结果的问题做了正式规定。起初，有些人投诉说仍然无法获知某些法院裁决，</w:t>
      </w:r>
      <w:r>
        <w:rPr>
          <w:rStyle w:val="FootnoteReference"/>
          <w:bCs/>
          <w:color w:val="000000"/>
          <w:lang w:bidi="th-TH"/>
        </w:rPr>
        <w:footnoteReference w:id="238"/>
      </w:r>
      <w:r>
        <w:rPr>
          <w:rFonts w:hint="eastAsia"/>
          <w:bCs/>
          <w:color w:val="000000"/>
          <w:lang w:bidi="th-TH"/>
        </w:rPr>
        <w:t>但如今法院已开始更多地公布其判决结果，有关案件的信息流通更通畅了。</w:t>
      </w:r>
    </w:p>
    <w:p w:rsidR="00692915" w:rsidRDefault="00692915" w:rsidP="009A1C1B">
      <w:pPr>
        <w:tabs>
          <w:tab w:val="left" w:pos="1170"/>
        </w:tabs>
        <w:autoSpaceDE w:val="0"/>
        <w:autoSpaceDN w:val="0"/>
        <w:ind w:firstLine="31680"/>
        <w:rPr>
          <w:rFonts w:hint="eastAsia"/>
          <w:bCs/>
          <w:color w:val="000000"/>
        </w:rPr>
      </w:pPr>
      <w:r>
        <w:rPr>
          <w:bCs/>
          <w:color w:val="000000"/>
        </w:rPr>
        <w:t>470.</w:t>
      </w:r>
      <w:r>
        <w:rPr>
          <w:rFonts w:hint="eastAsia"/>
          <w:bCs/>
          <w:color w:val="000000"/>
        </w:rPr>
        <w:t>《宪法》未对“上诉权”做出特别规定，但《刑事诉讼法典》指出，“除非法律明文禁止，可以就事实与法律问题对法院指令、判决和裁决进行上诉”</w:t>
      </w:r>
      <w:r>
        <w:rPr>
          <w:rStyle w:val="FootnoteReference"/>
          <w:bCs/>
          <w:color w:val="000000"/>
        </w:rPr>
        <w:t xml:space="preserve"> </w:t>
      </w:r>
      <w:r>
        <w:rPr>
          <w:rFonts w:hint="eastAsia"/>
          <w:bCs/>
          <w:color w:val="000000"/>
        </w:rPr>
        <w:t>。</w:t>
      </w:r>
      <w:r>
        <w:rPr>
          <w:rStyle w:val="FootnoteReference"/>
          <w:bCs/>
          <w:color w:val="000000"/>
        </w:rPr>
        <w:footnoteReference w:id="239"/>
      </w:r>
      <w:r>
        <w:rPr>
          <w:rFonts w:hint="eastAsia"/>
          <w:bCs/>
          <w:color w:val="000000"/>
        </w:rPr>
        <w:t>对地区法院裁决的上诉将提交给最高法院</w:t>
      </w:r>
      <w:r>
        <w:rPr>
          <w:rFonts w:ascii="SimHei" w:eastAsia="SimHei" w:hint="eastAsia"/>
          <w:bCs/>
          <w:color w:val="000000"/>
          <w:spacing w:val="0"/>
        </w:rPr>
        <w:t>——</w:t>
      </w:r>
      <w:r>
        <w:rPr>
          <w:rFonts w:hint="eastAsia"/>
          <w:bCs/>
          <w:color w:val="000000"/>
        </w:rPr>
        <w:t>目前为上诉法院。</w:t>
      </w:r>
      <w:r>
        <w:rPr>
          <w:rStyle w:val="FootnoteReference"/>
          <w:bCs/>
          <w:color w:val="000000"/>
        </w:rPr>
        <w:footnoteReference w:id="240"/>
      </w:r>
    </w:p>
    <w:p w:rsidR="00692915" w:rsidRDefault="00692915" w:rsidP="009A1C1B">
      <w:pPr>
        <w:tabs>
          <w:tab w:val="left" w:pos="1170"/>
        </w:tabs>
        <w:autoSpaceDE w:val="0"/>
        <w:autoSpaceDN w:val="0"/>
        <w:ind w:firstLine="31680"/>
        <w:rPr>
          <w:rFonts w:hint="eastAsia"/>
          <w:bCs/>
          <w:color w:val="000000"/>
        </w:rPr>
      </w:pPr>
      <w:r>
        <w:rPr>
          <w:bCs/>
          <w:color w:val="000000"/>
        </w:rPr>
        <w:t>471.</w:t>
      </w:r>
      <w:r>
        <w:rPr>
          <w:bCs/>
          <w:color w:val="000000"/>
        </w:rPr>
        <w:tab/>
      </w:r>
      <w:r>
        <w:rPr>
          <w:rFonts w:hint="eastAsia"/>
          <w:bCs/>
          <w:color w:val="000000"/>
        </w:rPr>
        <w:t>根据《东帝汶宪法》规定，刑法的实施将采取</w:t>
      </w:r>
      <w:r>
        <w:rPr>
          <w:rFonts w:ascii="Arial" w:hAnsi="Arial" w:cs="Arial" w:hint="eastAsia"/>
          <w:color w:val="000000"/>
        </w:rPr>
        <w:t>不溯及既往的原则</w:t>
      </w:r>
      <w:r>
        <w:rPr>
          <w:rFonts w:hint="eastAsia"/>
          <w:bCs/>
          <w:color w:val="000000"/>
        </w:rPr>
        <w:t>。另外，《宪法》还禁止</w:t>
      </w:r>
      <w:r>
        <w:rPr>
          <w:rFonts w:ascii="Arial" w:hAnsi="Arial" w:cs="Arial" w:hint="eastAsia"/>
          <w:color w:val="000000"/>
        </w:rPr>
        <w:t>重复起诉同一罪行，这样，无论终审裁决如何，一旦对一个人进行了审理，那么就不得对同一罪行进行第二次审理。</w:t>
      </w:r>
      <w:r>
        <w:rPr>
          <w:rStyle w:val="FootnoteReference"/>
          <w:bCs/>
          <w:color w:val="000000"/>
        </w:rPr>
        <w:footnoteReference w:id="241"/>
      </w:r>
      <w:r>
        <w:rPr>
          <w:rFonts w:ascii="Arial" w:hAnsi="Arial" w:cs="Arial" w:hint="eastAsia"/>
          <w:color w:val="000000"/>
        </w:rPr>
        <w:t>至于就同一罪行对被告进行一次以上的审理问题，目前尚无这方面的报道。但是关于不溯及既往的原则，有两例这方面的情况。</w:t>
      </w:r>
    </w:p>
    <w:p w:rsidR="00692915" w:rsidRDefault="00692915" w:rsidP="009A1C1B">
      <w:pPr>
        <w:tabs>
          <w:tab w:val="left" w:pos="1170"/>
        </w:tabs>
        <w:autoSpaceDE w:val="0"/>
        <w:autoSpaceDN w:val="0"/>
        <w:ind w:firstLine="31680"/>
        <w:rPr>
          <w:rFonts w:hint="eastAsia"/>
          <w:bCs/>
          <w:color w:val="000000"/>
        </w:rPr>
      </w:pPr>
      <w:r>
        <w:rPr>
          <w:bCs/>
          <w:color w:val="000000"/>
        </w:rPr>
        <w:t>472.</w:t>
      </w:r>
      <w:r>
        <w:rPr>
          <w:bCs/>
          <w:color w:val="000000"/>
        </w:rPr>
        <w:tab/>
      </w:r>
      <w:r>
        <w:rPr>
          <w:rFonts w:hint="eastAsia"/>
          <w:bCs/>
          <w:color w:val="000000"/>
        </w:rPr>
        <w:t>第一例情况发生在上诉法院。</w:t>
      </w:r>
      <w:r>
        <w:rPr>
          <w:rFonts w:ascii="Arial" w:hAnsi="Arial" w:cs="Arial" w:hint="eastAsia"/>
          <w:color w:val="000000"/>
        </w:rPr>
        <w:t>重罪特别审理小组曾被特别授权对反人类罪案件进行审理，</w:t>
      </w:r>
      <w:r>
        <w:rPr>
          <w:rStyle w:val="FootnoteReference"/>
          <w:bCs/>
          <w:color w:val="000000"/>
        </w:rPr>
        <w:footnoteReference w:id="242"/>
      </w:r>
      <w:r>
        <w:rPr>
          <w:rFonts w:ascii="Arial" w:hAnsi="Arial" w:cs="Arial" w:hint="eastAsia"/>
          <w:color w:val="000000"/>
        </w:rPr>
        <w:t>但</w:t>
      </w:r>
      <w:r>
        <w:rPr>
          <w:rFonts w:hint="eastAsia"/>
          <w:bCs/>
          <w:color w:val="000000"/>
        </w:rPr>
        <w:t>上诉法院认为该审判小组无权对这些发生在其成立以前的反人类罪案件进行审理，因为在这种情况下，实施刑法所采取的是</w:t>
      </w:r>
      <w:r>
        <w:rPr>
          <w:rFonts w:ascii="Arial" w:hAnsi="Arial" w:cs="Arial" w:hint="eastAsia"/>
          <w:color w:val="000000"/>
        </w:rPr>
        <w:t>溯及既往的原则。但是重罪特别审判小组对上诉法院的裁决重新进行了审查，并决定不执行上诉法院的裁决</w:t>
      </w:r>
      <w:r>
        <w:rPr>
          <w:rFonts w:ascii="SimHei" w:eastAsia="SimHei" w:hAnsi="Arial" w:cs="Arial" w:hint="eastAsia"/>
          <w:color w:val="000000"/>
          <w:spacing w:val="0"/>
        </w:rPr>
        <w:t>——</w:t>
      </w:r>
      <w:r>
        <w:rPr>
          <w:rFonts w:ascii="Arial" w:hAnsi="Arial" w:cs="Arial" w:hint="eastAsia"/>
          <w:color w:val="000000"/>
        </w:rPr>
        <w:t>该审判小组认为反人类罪属于国际习惯法项下的罪行，而这种罪行在发生时是东帝汶法律构架中的一部分。因此，可以对发生在法院成立前所犯下的个人反人类罪进行审理，这没有违反溯及力的原则。</w:t>
      </w:r>
      <w:r>
        <w:rPr>
          <w:rStyle w:val="FootnoteReference"/>
          <w:bCs/>
          <w:color w:val="000000"/>
        </w:rPr>
        <w:footnoteReference w:id="243"/>
      </w:r>
    </w:p>
    <w:p w:rsidR="00692915" w:rsidRDefault="00692915" w:rsidP="009A1C1B">
      <w:pPr>
        <w:tabs>
          <w:tab w:val="left" w:pos="1170"/>
        </w:tabs>
        <w:autoSpaceDE w:val="0"/>
        <w:autoSpaceDN w:val="0"/>
        <w:ind w:firstLine="31680"/>
        <w:rPr>
          <w:rFonts w:hint="eastAsia"/>
          <w:bCs/>
          <w:color w:val="000000"/>
        </w:rPr>
      </w:pPr>
      <w:r>
        <w:rPr>
          <w:bCs/>
          <w:color w:val="000000"/>
        </w:rPr>
        <w:t>473.</w:t>
      </w:r>
      <w:r>
        <w:rPr>
          <w:bCs/>
          <w:color w:val="000000"/>
        </w:rPr>
        <w:tab/>
      </w:r>
      <w:r>
        <w:rPr>
          <w:rFonts w:hint="eastAsia"/>
          <w:bCs/>
          <w:color w:val="000000"/>
        </w:rPr>
        <w:t>其后，在“</w:t>
      </w:r>
      <w:r>
        <w:rPr>
          <w:rFonts w:eastAsia="KaiTi_GB2312" w:hint="eastAsia"/>
          <w:bCs/>
          <w:color w:val="000000"/>
        </w:rPr>
        <w:t>检察官诉保利诺·德·杰索斯</w:t>
      </w:r>
      <w:r>
        <w:rPr>
          <w:rFonts w:hint="eastAsia"/>
          <w:bCs/>
          <w:color w:val="000000"/>
        </w:rPr>
        <w:t>”案的裁决中，</w:t>
      </w:r>
      <w:r>
        <w:rPr>
          <w:rStyle w:val="FootnoteReference"/>
          <w:bCs/>
          <w:color w:val="000000"/>
        </w:rPr>
        <w:footnoteReference w:id="244"/>
      </w:r>
      <w:r>
        <w:rPr>
          <w:rFonts w:hint="eastAsia"/>
          <w:bCs/>
          <w:color w:val="000000"/>
        </w:rPr>
        <w:t>尽管被告行为发生时还没有被国内法律视为犯罪，但上诉法院还是裁定被告行为构成了“反人类罪”。这解决了在这一点上的模糊问题。</w:t>
      </w:r>
      <w:r>
        <w:rPr>
          <w:rFonts w:hint="eastAsia"/>
          <w:bCs/>
          <w:color w:val="000000"/>
        </w:rPr>
        <w:t xml:space="preserve"> </w:t>
      </w:r>
    </w:p>
    <w:p w:rsidR="00692915" w:rsidRDefault="00692915" w:rsidP="009A1C1B">
      <w:pPr>
        <w:tabs>
          <w:tab w:val="left" w:pos="1170"/>
        </w:tabs>
        <w:autoSpaceDE w:val="0"/>
        <w:autoSpaceDN w:val="0"/>
        <w:spacing w:after="240"/>
        <w:ind w:firstLine="31680"/>
        <w:rPr>
          <w:rFonts w:hint="eastAsia"/>
          <w:bCs/>
          <w:color w:val="000000"/>
          <w:lang w:bidi="th-TH"/>
        </w:rPr>
      </w:pPr>
      <w:r>
        <w:rPr>
          <w:bCs/>
          <w:color w:val="000000"/>
        </w:rPr>
        <w:t>474.</w:t>
      </w:r>
      <w:r>
        <w:rPr>
          <w:bCs/>
          <w:color w:val="000000"/>
        </w:rPr>
        <w:tab/>
      </w:r>
      <w:r>
        <w:rPr>
          <w:rFonts w:hint="eastAsia"/>
          <w:bCs/>
          <w:color w:val="000000"/>
          <w:lang w:bidi="th-TH"/>
        </w:rPr>
        <w:t>为了给性犯罪的受害人提供支持，已采取了特别措施，其中包括：在警察机构内部建立保护弱势人员股，以便为性虐待的受害人提供支持。此外，还建立了一个由政府机构和非政府组织组成的支持服务网。该网络不断提供创伤心理辅导和安全住所方面的援助，以帮助受害人全面康复。这些机构通常与警察进行密切合作，并在调查期间负责陪伴受害人。</w:t>
      </w:r>
      <w:r>
        <w:rPr>
          <w:rStyle w:val="FootnoteReference"/>
          <w:bCs/>
          <w:color w:val="000000"/>
          <w:lang w:bidi="th-TH"/>
        </w:rPr>
        <w:footnoteReference w:id="245"/>
      </w:r>
      <w:r>
        <w:rPr>
          <w:rFonts w:hint="eastAsia"/>
          <w:bCs/>
          <w:color w:val="000000"/>
          <w:lang w:bidi="th-TH"/>
        </w:rPr>
        <w:t>目前，</w:t>
      </w:r>
      <w:r>
        <w:rPr>
          <w:bCs/>
          <w:color w:val="000000"/>
          <w:lang w:bidi="th-TH"/>
        </w:rPr>
        <w:t>促进平等事务总理顾问办公室</w:t>
      </w:r>
      <w:r>
        <w:rPr>
          <w:rFonts w:hint="eastAsia"/>
          <w:bCs/>
          <w:color w:val="000000"/>
          <w:lang w:bidi="th-TH"/>
        </w:rPr>
        <w:t>正在</w:t>
      </w:r>
      <w:r>
        <w:rPr>
          <w:bCs/>
          <w:color w:val="000000"/>
          <w:lang w:bidi="th-TH"/>
        </w:rPr>
        <w:t>人口基金</w:t>
      </w:r>
      <w:r>
        <w:rPr>
          <w:rFonts w:hint="eastAsia"/>
          <w:bCs/>
          <w:color w:val="000000"/>
          <w:lang w:bidi="th-TH"/>
        </w:rPr>
        <w:t>支持下，协调这种咨询性的支持服务网。</w:t>
      </w:r>
    </w:p>
    <w:p w:rsidR="00692915" w:rsidRDefault="00692915">
      <w:pPr>
        <w:pStyle w:val="Heading2"/>
        <w:tabs>
          <w:tab w:val="left" w:pos="520"/>
        </w:tabs>
        <w:jc w:val="both"/>
        <w:rPr>
          <w:rFonts w:hint="eastAsia"/>
          <w:color w:val="000000"/>
          <w:sz w:val="24"/>
        </w:rPr>
      </w:pPr>
      <w:r>
        <w:rPr>
          <w:color w:val="000000"/>
          <w:sz w:val="24"/>
        </w:rPr>
        <w:t>3.</w:t>
      </w:r>
      <w:r>
        <w:rPr>
          <w:color w:val="000000"/>
          <w:sz w:val="24"/>
        </w:rPr>
        <w:tab/>
      </w:r>
      <w:r>
        <w:rPr>
          <w:rFonts w:hint="eastAsia"/>
          <w:color w:val="000000"/>
          <w:sz w:val="24"/>
          <w:u w:val="single"/>
        </w:rPr>
        <w:t>传统司法</w:t>
      </w:r>
    </w:p>
    <w:p w:rsidR="00692915" w:rsidRDefault="00692915" w:rsidP="009A1C1B">
      <w:pPr>
        <w:tabs>
          <w:tab w:val="left" w:pos="1170"/>
        </w:tabs>
        <w:autoSpaceDE w:val="0"/>
        <w:autoSpaceDN w:val="0"/>
        <w:ind w:firstLine="31680"/>
        <w:rPr>
          <w:rFonts w:hint="eastAsia"/>
          <w:bCs/>
          <w:color w:val="000000"/>
        </w:rPr>
      </w:pPr>
      <w:r>
        <w:rPr>
          <w:bCs/>
          <w:color w:val="000000"/>
          <w:spacing w:val="6"/>
        </w:rPr>
        <w:t>475.</w:t>
      </w:r>
      <w:r>
        <w:rPr>
          <w:bCs/>
          <w:color w:val="000000"/>
          <w:spacing w:val="6"/>
        </w:rPr>
        <w:tab/>
      </w:r>
      <w:r>
        <w:rPr>
          <w:rFonts w:hint="eastAsia"/>
          <w:bCs/>
          <w:color w:val="000000"/>
          <w:spacing w:val="6"/>
        </w:rPr>
        <w:t>对于将纠纷提交给地区法院的程序，公民尤其是各地区的公民并不熟悉。</w:t>
      </w:r>
      <w:r>
        <w:rPr>
          <w:rStyle w:val="FootnoteReference"/>
          <w:bCs/>
          <w:color w:val="000000"/>
          <w:spacing w:val="6"/>
        </w:rPr>
        <w:footnoteReference w:id="246"/>
      </w:r>
      <w:r>
        <w:rPr>
          <w:rFonts w:hint="eastAsia"/>
          <w:bCs/>
          <w:color w:val="000000"/>
        </w:rPr>
        <w:t>一般来说，人们对正规制度表示认可，但是大多数人都熟悉并愿意使用的是</w:t>
      </w:r>
      <w:r>
        <w:rPr>
          <w:rFonts w:eastAsia="KaiTi_GB2312" w:hint="eastAsia"/>
          <w:bCs/>
          <w:color w:val="000000"/>
        </w:rPr>
        <w:t>传统司法</w:t>
      </w:r>
      <w:r>
        <w:rPr>
          <w:rFonts w:hint="eastAsia"/>
          <w:bCs/>
          <w:color w:val="000000"/>
        </w:rPr>
        <w:t>（</w:t>
      </w:r>
      <w:r>
        <w:rPr>
          <w:bCs/>
          <w:i/>
          <w:color w:val="000000"/>
        </w:rPr>
        <w:t>Adat</w:t>
      </w:r>
      <w:r>
        <w:rPr>
          <w:rFonts w:hint="eastAsia"/>
          <w:bCs/>
          <w:color w:val="000000"/>
        </w:rPr>
        <w:t>）。事实上，在解决冤情时，有很大一部分的人愿意采用传统的争端解决方式，而非正式的司法程序，他们认为正规制度不健全而且缺乏效率。</w:t>
      </w:r>
      <w:r>
        <w:rPr>
          <w:rStyle w:val="FootnoteReference"/>
          <w:bCs/>
          <w:color w:val="000000"/>
        </w:rPr>
        <w:footnoteReference w:id="247"/>
      </w:r>
    </w:p>
    <w:p w:rsidR="00692915" w:rsidRDefault="00692915" w:rsidP="009A1C1B">
      <w:pPr>
        <w:tabs>
          <w:tab w:val="left" w:pos="1170"/>
        </w:tabs>
        <w:autoSpaceDE w:val="0"/>
        <w:autoSpaceDN w:val="0"/>
        <w:ind w:firstLine="31680"/>
        <w:rPr>
          <w:rFonts w:hint="eastAsia"/>
          <w:bCs/>
          <w:color w:val="000000"/>
        </w:rPr>
      </w:pPr>
      <w:r>
        <w:rPr>
          <w:bCs/>
          <w:color w:val="000000"/>
        </w:rPr>
        <w:t>476.</w:t>
      </w:r>
      <w:r>
        <w:rPr>
          <w:rFonts w:hint="eastAsia"/>
          <w:bCs/>
          <w:color w:val="000000"/>
        </w:rPr>
        <w:t>传统司法通常被称为“地方司法”，自葡萄牙和印度尼西亚占领以前就已存在，是一种传统的非书面口头裁决，是通过社区、乡和村中德高望重的</w:t>
      </w:r>
      <w:r>
        <w:rPr>
          <w:rFonts w:eastAsia="KaiTi_GB2312" w:hint="eastAsia"/>
          <w:bCs/>
          <w:color w:val="000000"/>
        </w:rPr>
        <w:t>长老</w:t>
      </w:r>
      <w:r>
        <w:rPr>
          <w:rFonts w:hint="eastAsia"/>
          <w:bCs/>
          <w:color w:val="000000"/>
        </w:rPr>
        <w:t>（</w:t>
      </w:r>
      <w:r>
        <w:rPr>
          <w:bCs/>
          <w:i/>
          <w:color w:val="000000"/>
        </w:rPr>
        <w:t>Lia Nain</w:t>
      </w:r>
      <w:r>
        <w:rPr>
          <w:rFonts w:hint="eastAsia"/>
          <w:bCs/>
          <w:color w:val="000000"/>
        </w:rPr>
        <w:t>）一代一代地传承下来的，其裁决由长老做出。</w:t>
      </w:r>
    </w:p>
    <w:p w:rsidR="00692915" w:rsidRDefault="00692915" w:rsidP="009A1C1B">
      <w:pPr>
        <w:tabs>
          <w:tab w:val="left" w:pos="1170"/>
        </w:tabs>
        <w:autoSpaceDE w:val="0"/>
        <w:autoSpaceDN w:val="0"/>
        <w:ind w:firstLine="31680"/>
        <w:rPr>
          <w:rFonts w:hint="eastAsia"/>
          <w:bCs/>
          <w:color w:val="000000"/>
        </w:rPr>
      </w:pPr>
      <w:r>
        <w:rPr>
          <w:bCs/>
          <w:color w:val="000000"/>
        </w:rPr>
        <w:t xml:space="preserve">477. </w:t>
      </w:r>
      <w:r>
        <w:rPr>
          <w:rFonts w:hint="eastAsia"/>
          <w:bCs/>
          <w:color w:val="000000"/>
        </w:rPr>
        <w:t>传统司法结构按等级划分，通常用以解决民事纠纷和目前日益增多的轻微犯罪问题</w:t>
      </w:r>
      <w:r>
        <w:rPr>
          <w:rFonts w:ascii="SimHei" w:eastAsia="SimHei" w:hint="eastAsia"/>
          <w:bCs/>
          <w:color w:val="000000"/>
          <w:spacing w:val="0"/>
        </w:rPr>
        <w:t>——</w:t>
      </w:r>
      <w:r>
        <w:rPr>
          <w:rFonts w:hint="eastAsia"/>
          <w:bCs/>
          <w:color w:val="000000"/>
        </w:rPr>
        <w:t>通常包括土地和家庭纠纷以及轻微犯罪。传统司法通常会考虑基本的人权原则，但是不同个案中，对人权考虑的程度差异很大。</w:t>
      </w:r>
    </w:p>
    <w:p w:rsidR="00692915" w:rsidRDefault="00692915" w:rsidP="009A1C1B">
      <w:pPr>
        <w:tabs>
          <w:tab w:val="left" w:pos="1170"/>
        </w:tabs>
        <w:autoSpaceDE w:val="0"/>
        <w:autoSpaceDN w:val="0"/>
        <w:ind w:firstLine="31680"/>
        <w:rPr>
          <w:rFonts w:hint="eastAsia"/>
          <w:bCs/>
          <w:color w:val="000000"/>
        </w:rPr>
      </w:pPr>
      <w:r>
        <w:rPr>
          <w:bCs/>
          <w:color w:val="000000"/>
        </w:rPr>
        <w:t xml:space="preserve">478. </w:t>
      </w:r>
      <w:r>
        <w:rPr>
          <w:rFonts w:hint="eastAsia"/>
          <w:bCs/>
          <w:color w:val="000000"/>
        </w:rPr>
        <w:t>传统司法具有传统性和等级观，因此并不总能保证争议当事人在法律面前人人平等。例如：如果案件涉及父亲和儿子，那么“胜”方总是父亲，因为他是长者，儿子是他养育的。</w:t>
      </w:r>
    </w:p>
    <w:p w:rsidR="00692915" w:rsidRDefault="00692915" w:rsidP="009A1C1B">
      <w:pPr>
        <w:tabs>
          <w:tab w:val="left" w:pos="1170"/>
        </w:tabs>
        <w:autoSpaceDE w:val="0"/>
        <w:autoSpaceDN w:val="0"/>
        <w:ind w:firstLine="31680"/>
        <w:rPr>
          <w:rFonts w:hint="eastAsia"/>
          <w:bCs/>
          <w:color w:val="000000"/>
        </w:rPr>
      </w:pPr>
      <w:r>
        <w:rPr>
          <w:bCs/>
          <w:color w:val="000000"/>
        </w:rPr>
        <w:t>479.</w:t>
      </w:r>
      <w:r>
        <w:rPr>
          <w:rFonts w:hint="eastAsia"/>
          <w:bCs/>
          <w:color w:val="000000"/>
        </w:rPr>
        <w:t xml:space="preserve"> </w:t>
      </w:r>
      <w:r>
        <w:rPr>
          <w:rFonts w:hint="eastAsia"/>
          <w:bCs/>
          <w:color w:val="000000"/>
        </w:rPr>
        <w:t>在东帝汶，传统司法还被普遍用以解决更严重的犯罪，例如：家庭纠纷或性暴力案件，这种情况令人担忧，因为受害人（通常为妇女和儿童）实际上没有发言权，处理程序使他们丧失了权力。在土地纠纷中这一问题很突出，尤其是，在父系制度下，男性更有可能继承土地，妇女对于这些裁决不会提出质疑。</w:t>
      </w:r>
    </w:p>
    <w:p w:rsidR="00692915" w:rsidRDefault="00692915" w:rsidP="009A1C1B">
      <w:pPr>
        <w:tabs>
          <w:tab w:val="left" w:pos="1170"/>
        </w:tabs>
        <w:autoSpaceDE w:val="0"/>
        <w:autoSpaceDN w:val="0"/>
        <w:ind w:firstLine="31680"/>
        <w:rPr>
          <w:rFonts w:hint="eastAsia"/>
          <w:bCs/>
          <w:color w:val="000000"/>
        </w:rPr>
      </w:pPr>
      <w:r>
        <w:rPr>
          <w:bCs/>
          <w:color w:val="000000"/>
        </w:rPr>
        <w:t>480.</w:t>
      </w:r>
      <w:r>
        <w:rPr>
          <w:bCs/>
          <w:color w:val="000000"/>
        </w:rPr>
        <w:tab/>
      </w:r>
      <w:r>
        <w:rPr>
          <w:rFonts w:hint="eastAsia"/>
          <w:bCs/>
          <w:color w:val="000000"/>
        </w:rPr>
        <w:t>地区协商会议还显示，尽管传统司法机制具有明显优点，但在某些情况下，可能会妨碍言论自由，因为纠纷当事人认为这是一种羞耻。根据报道，有些个人（尤其是受害人）往往羞于启齿，因而不愿意在社区论坛上说出自己的苦恼。这些感受一直使那些最弱势的人群（包括妇女和儿童）痛苦不堪。</w:t>
      </w:r>
      <w:r>
        <w:rPr>
          <w:rStyle w:val="FootnoteReference"/>
          <w:bCs/>
          <w:color w:val="000000"/>
        </w:rPr>
        <w:footnoteReference w:id="248"/>
      </w:r>
      <w:r>
        <w:rPr>
          <w:rFonts w:hint="eastAsia"/>
          <w:bCs/>
          <w:color w:val="000000"/>
        </w:rPr>
        <w:t>有关《</w:t>
      </w:r>
      <w:r>
        <w:rPr>
          <w:bCs/>
          <w:color w:val="000000"/>
        </w:rPr>
        <w:t>消除对妇女一切形式歧视公约》</w:t>
      </w:r>
      <w:r>
        <w:rPr>
          <w:rFonts w:hint="eastAsia"/>
          <w:bCs/>
          <w:color w:val="000000"/>
        </w:rPr>
        <w:t>的专门文件中更详细地讨论这一问题。</w:t>
      </w:r>
    </w:p>
    <w:p w:rsidR="00692915" w:rsidRDefault="00692915" w:rsidP="009A1C1B">
      <w:pPr>
        <w:tabs>
          <w:tab w:val="left" w:pos="1170"/>
        </w:tabs>
        <w:autoSpaceDE w:val="0"/>
        <w:autoSpaceDN w:val="0"/>
        <w:ind w:firstLine="31680"/>
        <w:rPr>
          <w:rFonts w:hint="eastAsia"/>
          <w:bCs/>
          <w:color w:val="000000"/>
        </w:rPr>
      </w:pPr>
      <w:r>
        <w:rPr>
          <w:bCs/>
          <w:color w:val="000000"/>
        </w:rPr>
        <w:br w:type="page"/>
        <w:t>481.</w:t>
      </w:r>
      <w:r>
        <w:rPr>
          <w:bCs/>
          <w:color w:val="000000"/>
        </w:rPr>
        <w:tab/>
      </w:r>
      <w:r>
        <w:rPr>
          <w:rFonts w:hint="eastAsia"/>
          <w:bCs/>
          <w:color w:val="000000"/>
        </w:rPr>
        <w:t>传统司法救济措施以传统概念的“补偿”为基础，通常被称为“</w:t>
      </w:r>
      <w:r>
        <w:rPr>
          <w:bCs/>
          <w:i/>
          <w:color w:val="000000"/>
        </w:rPr>
        <w:t>fo sala/monu ain</w:t>
      </w:r>
      <w:r>
        <w:rPr>
          <w:rFonts w:hint="eastAsia"/>
          <w:bCs/>
          <w:color w:val="000000"/>
        </w:rPr>
        <w:t>”。补偿形式通常为钱或动物（例如：水牛、马、猪或山羊）。传统司法的目的是要恢复受害人的尊严，同时要求双方公开和解。有时，胸前会带上一个月牙形饰物（</w:t>
      </w:r>
      <w:r>
        <w:rPr>
          <w:bCs/>
          <w:i/>
          <w:color w:val="000000"/>
        </w:rPr>
        <w:t>Belak</w:t>
      </w:r>
      <w:r>
        <w:rPr>
          <w:rFonts w:hint="eastAsia"/>
          <w:bCs/>
          <w:color w:val="000000"/>
        </w:rPr>
        <w:t>），以表示恢复受害人的尊严。</w:t>
      </w:r>
    </w:p>
    <w:p w:rsidR="00692915" w:rsidRDefault="00692915" w:rsidP="009A1C1B">
      <w:pPr>
        <w:tabs>
          <w:tab w:val="left" w:pos="1170"/>
        </w:tabs>
        <w:autoSpaceDE w:val="0"/>
        <w:autoSpaceDN w:val="0"/>
        <w:ind w:firstLine="31680"/>
        <w:rPr>
          <w:rFonts w:hint="eastAsia"/>
          <w:bCs/>
          <w:color w:val="000000"/>
        </w:rPr>
      </w:pPr>
      <w:r>
        <w:rPr>
          <w:bCs/>
          <w:color w:val="000000"/>
        </w:rPr>
        <w:t>482.</w:t>
      </w:r>
      <w:r>
        <w:rPr>
          <w:rFonts w:hint="eastAsia"/>
          <w:bCs/>
          <w:color w:val="000000"/>
        </w:rPr>
        <w:tab/>
      </w:r>
      <w:r>
        <w:rPr>
          <w:rFonts w:hint="eastAsia"/>
          <w:bCs/>
          <w:color w:val="000000"/>
        </w:rPr>
        <w:t>其他补救措施包括调解，在这种情况下，长老与双方接触，以达成一项家庭</w:t>
      </w:r>
      <w:r>
        <w:rPr>
          <w:rFonts w:hint="eastAsia"/>
          <w:bCs/>
          <w:color w:val="000000"/>
        </w:rPr>
        <w:t>/</w:t>
      </w:r>
      <w:r>
        <w:rPr>
          <w:rFonts w:hint="eastAsia"/>
          <w:bCs/>
          <w:color w:val="000000"/>
        </w:rPr>
        <w:t>私下解决方案，并“恢复”受害人的尊严。在首次接触后，长老召集双方通过传统的和解仪式（</w:t>
      </w:r>
      <w:r>
        <w:rPr>
          <w:bCs/>
          <w:i/>
          <w:color w:val="000000"/>
        </w:rPr>
        <w:t>biti boot</w:t>
      </w:r>
      <w:r>
        <w:rPr>
          <w:rFonts w:hint="eastAsia"/>
          <w:bCs/>
          <w:color w:val="000000"/>
        </w:rPr>
        <w:t>）取得彼此的原谅，这意味着事情的结束。之后，由双方自己做出努力，从而像以前一样接受或对待对方。通常情况下，如果发生了家庭暴力和</w:t>
      </w:r>
      <w:r>
        <w:rPr>
          <w:rFonts w:hint="eastAsia"/>
          <w:bCs/>
          <w:color w:val="000000"/>
        </w:rPr>
        <w:t>/</w:t>
      </w:r>
      <w:r>
        <w:rPr>
          <w:rFonts w:hint="eastAsia"/>
          <w:bCs/>
          <w:color w:val="000000"/>
        </w:rPr>
        <w:t>或性骚扰情况，作恶者只需要向受害人家庭做出赔偿（例如，通过钱或物进行补偿）。在</w:t>
      </w:r>
      <w:r>
        <w:rPr>
          <w:rFonts w:hint="eastAsia"/>
          <w:bCs/>
          <w:color w:val="000000"/>
        </w:rPr>
        <w:t>2005</w:t>
      </w:r>
      <w:r>
        <w:rPr>
          <w:rFonts w:hint="eastAsia"/>
          <w:bCs/>
          <w:color w:val="000000"/>
        </w:rPr>
        <w:t>年地区人权条约报告研讨会上的讨论显示，妇女很少得到直接补偿，人们通常会将犯罪归咎于她们身上，她们还需要自己处理罪行所带来的后果，或忍受由此带来的羞辱。</w:t>
      </w:r>
    </w:p>
    <w:p w:rsidR="00692915" w:rsidRDefault="00692915" w:rsidP="009A1C1B">
      <w:pPr>
        <w:tabs>
          <w:tab w:val="left" w:pos="1170"/>
        </w:tabs>
        <w:autoSpaceDE w:val="0"/>
        <w:autoSpaceDN w:val="0"/>
        <w:ind w:firstLine="31680"/>
        <w:rPr>
          <w:rFonts w:hint="eastAsia"/>
          <w:bCs/>
          <w:color w:val="000000"/>
        </w:rPr>
      </w:pPr>
      <w:r>
        <w:rPr>
          <w:bCs/>
          <w:color w:val="000000"/>
        </w:rPr>
        <w:t xml:space="preserve">483. </w:t>
      </w:r>
      <w:r>
        <w:rPr>
          <w:rFonts w:hint="eastAsia"/>
          <w:bCs/>
          <w:color w:val="000000"/>
        </w:rPr>
        <w:t>尽管存在明显缺陷，但经验显示，可以采用传统司法解决民事纠纷和刑事争端。事实上，在处理基层社区争端，解决那些可以很快处理的小问题时，传统司法机制可能非常有效，但在处理更严重的案件时，其作用则值得怀疑。</w:t>
      </w:r>
    </w:p>
    <w:p w:rsidR="00692915" w:rsidRDefault="00692915" w:rsidP="009A1C1B">
      <w:pPr>
        <w:tabs>
          <w:tab w:val="left" w:pos="1170"/>
        </w:tabs>
        <w:autoSpaceDE w:val="0"/>
        <w:autoSpaceDN w:val="0"/>
        <w:ind w:firstLine="31680"/>
        <w:rPr>
          <w:rFonts w:hint="eastAsia"/>
          <w:bCs/>
          <w:color w:val="000000"/>
        </w:rPr>
      </w:pPr>
      <w:r>
        <w:rPr>
          <w:bCs/>
          <w:color w:val="000000"/>
        </w:rPr>
        <w:t>484.</w:t>
      </w:r>
      <w:r>
        <w:rPr>
          <w:rFonts w:hint="eastAsia"/>
          <w:bCs/>
          <w:color w:val="000000"/>
        </w:rPr>
        <w:tab/>
      </w:r>
      <w:r>
        <w:rPr>
          <w:rFonts w:hint="eastAsia"/>
          <w:bCs/>
          <w:color w:val="000000"/>
        </w:rPr>
        <w:t>传统司法根植于国家的历史文化中，一般通过达成共识解决问题。如果一方对决定不满，或者无法在乡、村或地方一级达成解决方案，则可将问题提交给正式司法系统</w:t>
      </w:r>
      <w:r>
        <w:rPr>
          <w:rFonts w:hint="eastAsia"/>
          <w:bCs/>
          <w:color w:val="000000"/>
        </w:rPr>
        <w:t>/</w:t>
      </w:r>
      <w:r>
        <w:rPr>
          <w:rFonts w:hint="eastAsia"/>
          <w:bCs/>
          <w:color w:val="000000"/>
        </w:rPr>
        <w:t>法院处理。</w:t>
      </w:r>
    </w:p>
    <w:p w:rsidR="00692915" w:rsidRDefault="00692915" w:rsidP="009A1C1B">
      <w:pPr>
        <w:tabs>
          <w:tab w:val="left" w:pos="1170"/>
        </w:tabs>
        <w:autoSpaceDE w:val="0"/>
        <w:autoSpaceDN w:val="0"/>
        <w:ind w:firstLine="31680"/>
        <w:rPr>
          <w:rFonts w:hint="eastAsia"/>
          <w:bCs/>
          <w:color w:val="000000"/>
        </w:rPr>
      </w:pPr>
      <w:r>
        <w:rPr>
          <w:bCs/>
          <w:color w:val="000000"/>
        </w:rPr>
        <w:t>485.</w:t>
      </w:r>
      <w:r>
        <w:rPr>
          <w:rFonts w:hint="eastAsia"/>
          <w:bCs/>
          <w:color w:val="000000"/>
        </w:rPr>
        <w:t>《宪法》第</w:t>
      </w:r>
      <w:r>
        <w:rPr>
          <w:rFonts w:hint="eastAsia"/>
          <w:bCs/>
          <w:color w:val="000000"/>
        </w:rPr>
        <w:t>31</w:t>
      </w:r>
      <w:r>
        <w:rPr>
          <w:rFonts w:hint="eastAsia"/>
          <w:bCs/>
          <w:color w:val="000000"/>
        </w:rPr>
        <w:t>条规定，正规司法制度高于传统做法。但是，《宪法》第</w:t>
      </w:r>
      <w:r>
        <w:rPr>
          <w:rFonts w:hint="eastAsia"/>
          <w:bCs/>
          <w:color w:val="000000"/>
        </w:rPr>
        <w:t>2.4</w:t>
      </w:r>
      <w:r>
        <w:rPr>
          <w:rFonts w:hint="eastAsia"/>
          <w:bCs/>
          <w:color w:val="000000"/>
        </w:rPr>
        <w:t>条确实肯定了传统做法，该规定要求国家“承认和重视东帝汶的规范与习惯，以及专门针对习惯法的任何立法”。政府承认传统司法在国家中所处的特殊地位。但是如果传统司法与正规司法之间存在着一定的关系的话，则这种关系还有待确定，随着国家对法治和司法制度的不断加强，以及国家在实施相关立法（例如：《反家庭暴力法》）方面的不断进步，越来越需要对这一问题予以重视。</w:t>
      </w:r>
    </w:p>
    <w:p w:rsidR="00692915" w:rsidRDefault="00692915" w:rsidP="009A1C1B">
      <w:pPr>
        <w:tabs>
          <w:tab w:val="left" w:pos="1170"/>
        </w:tabs>
        <w:autoSpaceDE w:val="0"/>
        <w:autoSpaceDN w:val="0"/>
        <w:ind w:firstLine="31680"/>
        <w:rPr>
          <w:rFonts w:hint="eastAsia"/>
          <w:bCs/>
          <w:color w:val="000000"/>
        </w:rPr>
      </w:pPr>
      <w:r>
        <w:rPr>
          <w:bCs/>
          <w:color w:val="000000"/>
        </w:rPr>
        <w:t xml:space="preserve">486. </w:t>
      </w:r>
      <w:r>
        <w:rPr>
          <w:rFonts w:hint="eastAsia"/>
          <w:bCs/>
          <w:color w:val="000000"/>
        </w:rPr>
        <w:t>在过渡期间，传统司法显然还将继续发挥其现有作用，仍将是东帝汶处理社区纠纷的常用机制。</w:t>
      </w:r>
    </w:p>
    <w:p w:rsidR="00692915" w:rsidRDefault="00692915">
      <w:pPr>
        <w:pStyle w:val="Heading2"/>
        <w:tabs>
          <w:tab w:val="left" w:pos="1170"/>
        </w:tabs>
        <w:ind w:firstLine="600"/>
        <w:rPr>
          <w:rFonts w:hint="eastAsia"/>
          <w:color w:val="000000"/>
          <w:sz w:val="24"/>
        </w:rPr>
      </w:pPr>
      <w:bookmarkStart w:id="84" w:name="_Toc150514985"/>
      <w:bookmarkStart w:id="85" w:name="_Toc150684888"/>
      <w:r>
        <w:rPr>
          <w:color w:val="000000"/>
          <w:sz w:val="24"/>
        </w:rPr>
        <w:t xml:space="preserve">C. </w:t>
      </w:r>
      <w:bookmarkEnd w:id="84"/>
      <w:bookmarkEnd w:id="85"/>
      <w:r>
        <w:rPr>
          <w:rFonts w:hint="eastAsia"/>
          <w:color w:val="000000"/>
          <w:sz w:val="24"/>
          <w:u w:val="single"/>
        </w:rPr>
        <w:t>参与公共生活</w:t>
      </w:r>
    </w:p>
    <w:p w:rsidR="00692915" w:rsidRDefault="00692915">
      <w:pPr>
        <w:pStyle w:val="Heading2"/>
        <w:tabs>
          <w:tab w:val="left" w:pos="520"/>
        </w:tabs>
        <w:jc w:val="both"/>
        <w:rPr>
          <w:color w:val="000000"/>
          <w:sz w:val="24"/>
        </w:rPr>
      </w:pPr>
      <w:bookmarkStart w:id="86" w:name="_Toc150514986"/>
      <w:bookmarkStart w:id="87" w:name="_Toc150684889"/>
      <w:r>
        <w:rPr>
          <w:color w:val="000000"/>
          <w:sz w:val="24"/>
        </w:rPr>
        <w:t>1.</w:t>
      </w:r>
      <w:r>
        <w:rPr>
          <w:color w:val="000000"/>
          <w:sz w:val="24"/>
        </w:rPr>
        <w:tab/>
      </w:r>
      <w:r>
        <w:rPr>
          <w:rFonts w:hint="eastAsia"/>
          <w:color w:val="000000"/>
          <w:sz w:val="24"/>
          <w:u w:val="single"/>
        </w:rPr>
        <w:t>国籍权</w:t>
      </w:r>
      <w:r>
        <w:rPr>
          <w:rStyle w:val="FootnoteReference"/>
          <w:color w:val="000000"/>
          <w:szCs w:val="24"/>
        </w:rPr>
        <w:footnoteReference w:id="249"/>
      </w:r>
      <w:bookmarkEnd w:id="86"/>
      <w:bookmarkEnd w:id="87"/>
    </w:p>
    <w:p w:rsidR="00692915" w:rsidRDefault="00692915" w:rsidP="009A1C1B">
      <w:pPr>
        <w:tabs>
          <w:tab w:val="left" w:pos="1170"/>
        </w:tabs>
        <w:ind w:firstLine="31680"/>
        <w:rPr>
          <w:rFonts w:hint="eastAsia"/>
          <w:bCs/>
          <w:color w:val="000000"/>
        </w:rPr>
      </w:pPr>
      <w:r>
        <w:rPr>
          <w:bCs/>
          <w:color w:val="000000"/>
        </w:rPr>
        <w:t xml:space="preserve">487. </w:t>
      </w:r>
      <w:r>
        <w:rPr>
          <w:rFonts w:hint="eastAsia"/>
          <w:bCs/>
          <w:color w:val="000000"/>
        </w:rPr>
        <w:t>在东帝汶，《宪法》第</w:t>
      </w:r>
      <w:r>
        <w:rPr>
          <w:rFonts w:hint="eastAsia"/>
          <w:bCs/>
          <w:color w:val="000000"/>
        </w:rPr>
        <w:t>3</w:t>
      </w:r>
      <w:r>
        <w:rPr>
          <w:rFonts w:hint="eastAsia"/>
          <w:bCs/>
          <w:color w:val="000000"/>
        </w:rPr>
        <w:t>条、《有关公民身份的第</w:t>
      </w:r>
      <w:r>
        <w:rPr>
          <w:bCs/>
          <w:color w:val="000000"/>
        </w:rPr>
        <w:t>9/2002</w:t>
      </w:r>
      <w:r>
        <w:rPr>
          <w:rFonts w:hint="eastAsia"/>
          <w:bCs/>
          <w:color w:val="000000"/>
        </w:rPr>
        <w:t>号法律》，以及《有关公民身份管理安排的第</w:t>
      </w:r>
      <w:r>
        <w:rPr>
          <w:bCs/>
          <w:color w:val="000000"/>
        </w:rPr>
        <w:t>1/2004</w:t>
      </w:r>
      <w:r>
        <w:rPr>
          <w:rFonts w:hint="eastAsia"/>
          <w:bCs/>
          <w:color w:val="000000"/>
        </w:rPr>
        <w:t>号法令》对国籍和公民身份做了规定。</w:t>
      </w:r>
    </w:p>
    <w:p w:rsidR="00692915" w:rsidRDefault="00692915" w:rsidP="009A1C1B">
      <w:pPr>
        <w:tabs>
          <w:tab w:val="left" w:pos="1170"/>
        </w:tabs>
        <w:ind w:firstLine="31680"/>
        <w:rPr>
          <w:rFonts w:hint="eastAsia"/>
          <w:bCs/>
          <w:color w:val="000000"/>
        </w:rPr>
      </w:pPr>
      <w:r>
        <w:rPr>
          <w:bCs/>
          <w:color w:val="000000"/>
        </w:rPr>
        <w:t>488.</w:t>
      </w:r>
      <w:r>
        <w:rPr>
          <w:rFonts w:hint="eastAsia"/>
          <w:bCs/>
          <w:color w:val="000000"/>
          <w:lang w:bidi="th-TH"/>
        </w:rPr>
        <w:t>《宪法》将公民身份分为两类：原始公民身份和取得的（或获得的）公民身份。原始公民身份和取得的公民身份由很多因素决定，包括：出生、父母身份和婚姻。决定原始公民身份的最重要因素是出生和父母身份。《宪法》第</w:t>
      </w:r>
      <w:r>
        <w:rPr>
          <w:rFonts w:hint="eastAsia"/>
          <w:bCs/>
          <w:color w:val="000000"/>
          <w:lang w:bidi="th-TH"/>
        </w:rPr>
        <w:t>3.1</w:t>
      </w:r>
      <w:r>
        <w:rPr>
          <w:rFonts w:hint="eastAsia"/>
          <w:bCs/>
          <w:color w:val="000000"/>
          <w:lang w:bidi="th-TH"/>
        </w:rPr>
        <w:t>条以及《公民身份法》第</w:t>
      </w:r>
      <w:r>
        <w:rPr>
          <w:bCs/>
          <w:color w:val="000000"/>
        </w:rPr>
        <w:t>8</w:t>
      </w:r>
      <w:r>
        <w:rPr>
          <w:rFonts w:hint="eastAsia"/>
          <w:bCs/>
          <w:color w:val="000000"/>
        </w:rPr>
        <w:t>.</w:t>
      </w:r>
      <w:r>
        <w:rPr>
          <w:bCs/>
          <w:color w:val="000000"/>
        </w:rPr>
        <w:t>1</w:t>
      </w:r>
      <w:r>
        <w:rPr>
          <w:rFonts w:hint="eastAsia"/>
          <w:bCs/>
          <w:color w:val="000000"/>
        </w:rPr>
        <w:t>条和第</w:t>
      </w:r>
      <w:r>
        <w:rPr>
          <w:rFonts w:hint="eastAsia"/>
          <w:bCs/>
          <w:color w:val="000000"/>
        </w:rPr>
        <w:t>8.</w:t>
      </w:r>
      <w:r>
        <w:rPr>
          <w:bCs/>
          <w:color w:val="000000"/>
        </w:rPr>
        <w:t>2</w:t>
      </w:r>
      <w:r>
        <w:rPr>
          <w:rFonts w:hint="eastAsia"/>
          <w:bCs/>
          <w:color w:val="000000"/>
        </w:rPr>
        <w:t>条规定：出生在东帝汶的儿童，如果其父母有一方也出生在东帝汶，则将成为原始公民。</w:t>
      </w:r>
      <w:r>
        <w:rPr>
          <w:rStyle w:val="FootnoteReference"/>
          <w:bCs/>
          <w:color w:val="000000"/>
        </w:rPr>
        <w:footnoteReference w:id="250"/>
      </w:r>
      <w:r>
        <w:rPr>
          <w:rFonts w:hint="eastAsia"/>
          <w:bCs/>
          <w:color w:val="000000"/>
        </w:rPr>
        <w:t>也可按照父母身份将出生在国家以外的儿童确认为东帝汶的原始公民。</w:t>
      </w:r>
      <w:r>
        <w:rPr>
          <w:rStyle w:val="FootnoteReference"/>
          <w:bCs/>
          <w:color w:val="000000"/>
        </w:rPr>
        <w:footnoteReference w:id="251"/>
      </w:r>
      <w:r>
        <w:rPr>
          <w:rFonts w:hint="eastAsia"/>
          <w:bCs/>
          <w:color w:val="000000"/>
        </w:rPr>
        <w:t>对于其父母不明、没有国籍或国籍不明的儿童，如果出生在东帝汶，那么也可依法为其授予原始公民身份。</w:t>
      </w:r>
      <w:r>
        <w:rPr>
          <w:rStyle w:val="FootnoteReference"/>
          <w:bCs/>
          <w:color w:val="000000"/>
        </w:rPr>
        <w:footnoteReference w:id="252"/>
      </w:r>
      <w:r>
        <w:rPr>
          <w:rFonts w:hint="eastAsia"/>
          <w:bCs/>
          <w:color w:val="000000"/>
        </w:rPr>
        <w:t>对于年满</w:t>
      </w:r>
      <w:r>
        <w:rPr>
          <w:rFonts w:hint="eastAsia"/>
          <w:bCs/>
          <w:color w:val="000000"/>
        </w:rPr>
        <w:t>17</w:t>
      </w:r>
      <w:r>
        <w:rPr>
          <w:rFonts w:hint="eastAsia"/>
          <w:bCs/>
          <w:color w:val="000000"/>
        </w:rPr>
        <w:t>岁的成年儿童，如果宣布其愿意成为东帝汶的公民，那么也可成为国家的公民。</w:t>
      </w:r>
    </w:p>
    <w:p w:rsidR="00692915" w:rsidRDefault="00692915" w:rsidP="009A1C1B">
      <w:pPr>
        <w:tabs>
          <w:tab w:val="left" w:pos="1170"/>
        </w:tabs>
        <w:ind w:firstLine="31680"/>
        <w:rPr>
          <w:rFonts w:hint="eastAsia"/>
          <w:bCs/>
          <w:color w:val="000000"/>
        </w:rPr>
      </w:pPr>
      <w:r>
        <w:rPr>
          <w:bCs/>
          <w:color w:val="000000"/>
        </w:rPr>
        <w:t>489.</w:t>
      </w:r>
      <w:r>
        <w:rPr>
          <w:bCs/>
          <w:color w:val="000000"/>
        </w:rPr>
        <w:tab/>
      </w:r>
      <w:r>
        <w:rPr>
          <w:rFonts w:hint="eastAsia"/>
          <w:bCs/>
          <w:color w:val="000000"/>
        </w:rPr>
        <w:t>法律对取得的公民身份做出了规定。决定取得的公民身份的因素包括：父母身份、由帝汶国民领养、婚姻、入籍</w:t>
      </w:r>
      <w:r>
        <w:rPr>
          <w:rFonts w:hint="eastAsia"/>
          <w:bCs/>
          <w:color w:val="000000"/>
        </w:rPr>
        <w:t>/</w:t>
      </w:r>
      <w:r>
        <w:rPr>
          <w:rFonts w:hint="eastAsia"/>
          <w:bCs/>
          <w:color w:val="000000"/>
        </w:rPr>
        <w:t>居住时间</w:t>
      </w:r>
      <w:r>
        <w:rPr>
          <w:rStyle w:val="FootnoteReference"/>
          <w:bCs/>
          <w:color w:val="000000"/>
        </w:rPr>
        <w:footnoteReference w:id="253"/>
      </w:r>
      <w:r>
        <w:rPr>
          <w:rFonts w:hint="eastAsia"/>
          <w:bCs/>
          <w:color w:val="000000"/>
        </w:rPr>
        <w:t>。一个人，如果于</w:t>
      </w:r>
      <w:r>
        <w:rPr>
          <w:rFonts w:hint="eastAsia"/>
          <w:bCs/>
          <w:color w:val="000000"/>
        </w:rPr>
        <w:t>1975</w:t>
      </w:r>
      <w:r>
        <w:rPr>
          <w:rFonts w:hint="eastAsia"/>
          <w:bCs/>
          <w:color w:val="000000"/>
        </w:rPr>
        <w:t>年</w:t>
      </w:r>
      <w:r>
        <w:rPr>
          <w:rFonts w:hint="eastAsia"/>
          <w:bCs/>
          <w:color w:val="000000"/>
        </w:rPr>
        <w:t>12</w:t>
      </w:r>
      <w:r>
        <w:rPr>
          <w:rFonts w:hint="eastAsia"/>
          <w:bCs/>
          <w:color w:val="000000"/>
        </w:rPr>
        <w:t>月</w:t>
      </w:r>
      <w:r>
        <w:rPr>
          <w:rFonts w:hint="eastAsia"/>
          <w:bCs/>
          <w:color w:val="000000"/>
        </w:rPr>
        <w:t>7</w:t>
      </w:r>
      <w:r>
        <w:rPr>
          <w:rFonts w:hint="eastAsia"/>
          <w:bCs/>
          <w:color w:val="000000"/>
        </w:rPr>
        <w:t>日以前或</w:t>
      </w:r>
      <w:r>
        <w:rPr>
          <w:rFonts w:hint="eastAsia"/>
          <w:bCs/>
          <w:color w:val="000000"/>
        </w:rPr>
        <w:t>2002</w:t>
      </w:r>
      <w:r>
        <w:rPr>
          <w:rFonts w:hint="eastAsia"/>
          <w:bCs/>
          <w:color w:val="000000"/>
        </w:rPr>
        <w:t>年</w:t>
      </w:r>
      <w:r>
        <w:rPr>
          <w:rFonts w:hint="eastAsia"/>
          <w:bCs/>
          <w:color w:val="000000"/>
        </w:rPr>
        <w:t>5</w:t>
      </w:r>
      <w:r>
        <w:rPr>
          <w:rFonts w:hint="eastAsia"/>
          <w:bCs/>
          <w:color w:val="000000"/>
        </w:rPr>
        <w:t>月</w:t>
      </w:r>
      <w:r>
        <w:rPr>
          <w:rFonts w:hint="eastAsia"/>
          <w:bCs/>
          <w:color w:val="000000"/>
        </w:rPr>
        <w:t>20</w:t>
      </w:r>
      <w:r>
        <w:rPr>
          <w:rFonts w:hint="eastAsia"/>
          <w:bCs/>
          <w:color w:val="000000"/>
        </w:rPr>
        <w:t>日以后，作为常住居民在东帝汶居住了至少</w:t>
      </w:r>
      <w:r>
        <w:rPr>
          <w:rFonts w:hint="eastAsia"/>
          <w:bCs/>
          <w:color w:val="000000"/>
        </w:rPr>
        <w:t>10</w:t>
      </w:r>
      <w:r>
        <w:rPr>
          <w:rFonts w:hint="eastAsia"/>
          <w:bCs/>
          <w:color w:val="000000"/>
        </w:rPr>
        <w:t>年，而且能说一种官方语言，有能力自己维持生活，对国家历史与文化有一定的了解，则可通过入籍方式，或根据居住时间获得公民身份。</w:t>
      </w:r>
    </w:p>
    <w:p w:rsidR="00692915" w:rsidRDefault="00692915" w:rsidP="009A1C1B">
      <w:pPr>
        <w:tabs>
          <w:tab w:val="left" w:pos="1170"/>
        </w:tabs>
        <w:ind w:firstLine="31680"/>
        <w:rPr>
          <w:rFonts w:hint="eastAsia"/>
          <w:bCs/>
          <w:color w:val="000000"/>
        </w:rPr>
      </w:pPr>
      <w:r>
        <w:rPr>
          <w:bCs/>
          <w:color w:val="000000"/>
        </w:rPr>
        <w:br w:type="page"/>
        <w:t xml:space="preserve">490. </w:t>
      </w:r>
      <w:r>
        <w:rPr>
          <w:rFonts w:hint="eastAsia"/>
          <w:bCs/>
          <w:color w:val="000000"/>
        </w:rPr>
        <w:t>一个人，如果与一名东帝汶公民结婚</w:t>
      </w:r>
      <w:r>
        <w:rPr>
          <w:rFonts w:hint="eastAsia"/>
          <w:bCs/>
          <w:color w:val="000000"/>
        </w:rPr>
        <w:t>5</w:t>
      </w:r>
      <w:r>
        <w:rPr>
          <w:rFonts w:hint="eastAsia"/>
          <w:bCs/>
          <w:color w:val="000000"/>
        </w:rPr>
        <w:t>年以上，并在国家领土内居住了</w:t>
      </w:r>
      <w:r>
        <w:rPr>
          <w:rFonts w:hint="eastAsia"/>
          <w:bCs/>
          <w:color w:val="000000"/>
        </w:rPr>
        <w:t>2</w:t>
      </w:r>
      <w:r>
        <w:rPr>
          <w:rFonts w:hint="eastAsia"/>
          <w:bCs/>
          <w:color w:val="000000"/>
        </w:rPr>
        <w:t>年以上，则可授予东帝汶国籍。同样，在这种情况下，获得公民身份需要会说一种官方语言。</w:t>
      </w:r>
      <w:r>
        <w:rPr>
          <w:rStyle w:val="FootnoteReference"/>
          <w:bCs/>
          <w:color w:val="000000"/>
        </w:rPr>
        <w:footnoteReference w:id="254"/>
      </w:r>
      <w:r>
        <w:rPr>
          <w:rFonts w:hint="eastAsia"/>
          <w:bCs/>
          <w:color w:val="000000"/>
        </w:rPr>
        <w:t>对于外国公民来说，如果由于与一名东帝汶国民结婚而失去了其原有国籍，则也可以获得东帝汶国籍。基于诚信原则通过婚姻所获得的东帝汶公民身份将不因婚姻的取消而受到影响。</w:t>
      </w:r>
    </w:p>
    <w:p w:rsidR="00692915" w:rsidRDefault="00692915" w:rsidP="009A1C1B">
      <w:pPr>
        <w:tabs>
          <w:tab w:val="left" w:pos="1170"/>
        </w:tabs>
        <w:ind w:firstLine="31680"/>
        <w:rPr>
          <w:rFonts w:hint="eastAsia"/>
          <w:bCs/>
          <w:color w:val="000000"/>
        </w:rPr>
      </w:pPr>
      <w:r>
        <w:rPr>
          <w:bCs/>
          <w:color w:val="000000"/>
        </w:rPr>
        <w:t>491.</w:t>
      </w:r>
      <w:r>
        <w:rPr>
          <w:rFonts w:hint="eastAsia"/>
          <w:bCs/>
          <w:color w:val="000000"/>
        </w:rPr>
        <w:t xml:space="preserve"> </w:t>
      </w:r>
      <w:r>
        <w:rPr>
          <w:rFonts w:hint="eastAsia"/>
          <w:bCs/>
          <w:color w:val="000000"/>
        </w:rPr>
        <w:t>最后，对于那些已经为国家提供了高水平相关服务的人员，国民议会还可为其授予公民身份。</w:t>
      </w:r>
      <w:r>
        <w:rPr>
          <w:rStyle w:val="FootnoteReference"/>
          <w:bCs/>
          <w:color w:val="000000"/>
        </w:rPr>
        <w:footnoteReference w:id="255"/>
      </w:r>
    </w:p>
    <w:p w:rsidR="00692915" w:rsidRDefault="00692915" w:rsidP="009A1C1B">
      <w:pPr>
        <w:tabs>
          <w:tab w:val="left" w:pos="1170"/>
        </w:tabs>
        <w:ind w:firstLine="31680"/>
        <w:rPr>
          <w:rFonts w:hint="eastAsia"/>
          <w:bCs/>
          <w:color w:val="000000"/>
        </w:rPr>
      </w:pPr>
      <w:r>
        <w:rPr>
          <w:bCs/>
          <w:color w:val="000000"/>
        </w:rPr>
        <w:t>492.</w:t>
      </w:r>
      <w:r>
        <w:rPr>
          <w:bCs/>
          <w:color w:val="000000"/>
        </w:rPr>
        <w:tab/>
      </w:r>
      <w:r>
        <w:rPr>
          <w:rFonts w:hint="eastAsia"/>
          <w:bCs/>
          <w:color w:val="000000"/>
        </w:rPr>
        <w:t>关于东帝汶原始公民身份，法律规定：一个人只要自愿决定不愿继续成为东帝汶的公民，那么就可以放弃公民身份。如果为取得的公民身份，则以下任何一种情况都可能导致公民身份的丧失：</w:t>
      </w:r>
    </w:p>
    <w:p w:rsidR="00692915" w:rsidRDefault="00692915" w:rsidP="009A1C1B">
      <w:pPr>
        <w:numPr>
          <w:ilvl w:val="0"/>
          <w:numId w:val="6"/>
        </w:numPr>
        <w:tabs>
          <w:tab w:val="clear" w:pos="927"/>
          <w:tab w:val="left" w:pos="1690"/>
        </w:tabs>
        <w:ind w:leftChars="450" w:left="31680" w:hangingChars="200" w:firstLine="31680"/>
        <w:rPr>
          <w:rFonts w:eastAsia="MS Mincho"/>
          <w:color w:val="000000"/>
          <w:lang w:bidi="th-TH"/>
        </w:rPr>
      </w:pPr>
      <w:r>
        <w:rPr>
          <w:rFonts w:hint="eastAsia"/>
          <w:color w:val="000000"/>
          <w:lang w:bidi="th-TH"/>
        </w:rPr>
        <w:t>未经授权在外国部队中服役；</w:t>
      </w:r>
    </w:p>
    <w:p w:rsidR="00692915" w:rsidRDefault="00692915" w:rsidP="009A1C1B">
      <w:pPr>
        <w:numPr>
          <w:ilvl w:val="0"/>
          <w:numId w:val="6"/>
        </w:numPr>
        <w:tabs>
          <w:tab w:val="clear" w:pos="927"/>
          <w:tab w:val="left" w:pos="1690"/>
        </w:tabs>
        <w:ind w:leftChars="450" w:left="31680" w:hangingChars="200" w:firstLine="31680"/>
        <w:rPr>
          <w:rFonts w:eastAsia="MS Mincho"/>
          <w:color w:val="000000"/>
          <w:lang w:bidi="th-TH"/>
        </w:rPr>
      </w:pPr>
      <w:r>
        <w:rPr>
          <w:rFonts w:hint="eastAsia"/>
          <w:color w:val="000000"/>
          <w:lang w:bidi="th-TH"/>
        </w:rPr>
        <w:t>未经授权在外国行使主权方面的职责；</w:t>
      </w:r>
    </w:p>
    <w:p w:rsidR="00692915" w:rsidRDefault="00692915" w:rsidP="009A1C1B">
      <w:pPr>
        <w:numPr>
          <w:ilvl w:val="0"/>
          <w:numId w:val="6"/>
        </w:numPr>
        <w:tabs>
          <w:tab w:val="clear" w:pos="927"/>
          <w:tab w:val="left" w:pos="1690"/>
        </w:tabs>
        <w:ind w:leftChars="450" w:left="31680" w:hangingChars="200" w:firstLine="31680"/>
        <w:rPr>
          <w:rFonts w:eastAsia="MS Mincho"/>
          <w:color w:val="000000"/>
          <w:lang w:bidi="th-TH"/>
        </w:rPr>
      </w:pPr>
      <w:r>
        <w:rPr>
          <w:rFonts w:hint="eastAsia"/>
          <w:color w:val="000000"/>
          <w:lang w:bidi="th-TH"/>
        </w:rPr>
        <w:t>犯有反东帝汶国家外部安全的罪行；或</w:t>
      </w:r>
    </w:p>
    <w:p w:rsidR="00692915" w:rsidRDefault="00692915" w:rsidP="009A1C1B">
      <w:pPr>
        <w:numPr>
          <w:ilvl w:val="0"/>
          <w:numId w:val="6"/>
        </w:numPr>
        <w:tabs>
          <w:tab w:val="clear" w:pos="927"/>
          <w:tab w:val="left" w:pos="1690"/>
        </w:tabs>
        <w:spacing w:after="240"/>
        <w:ind w:leftChars="450" w:left="31680" w:hangingChars="200" w:firstLine="31680"/>
        <w:rPr>
          <w:rFonts w:eastAsia="MS Mincho"/>
          <w:color w:val="000000"/>
          <w:lang w:bidi="th-TH"/>
        </w:rPr>
      </w:pPr>
      <w:r>
        <w:rPr>
          <w:rFonts w:hint="eastAsia"/>
          <w:color w:val="000000"/>
          <w:lang w:bidi="th-TH"/>
        </w:rPr>
        <w:t>通过伪造文件、欺诈手段或欺瞒有关当局取得公民身份。</w:t>
      </w:r>
    </w:p>
    <w:p w:rsidR="00692915" w:rsidRDefault="00692915" w:rsidP="009A1C1B">
      <w:pPr>
        <w:tabs>
          <w:tab w:val="left" w:pos="1170"/>
        </w:tabs>
        <w:spacing w:after="240"/>
        <w:ind w:firstLine="31680"/>
        <w:rPr>
          <w:rFonts w:hint="eastAsia"/>
          <w:bCs/>
          <w:color w:val="000000"/>
        </w:rPr>
      </w:pPr>
      <w:r>
        <w:rPr>
          <w:bCs/>
          <w:color w:val="000000"/>
        </w:rPr>
        <w:t>493.</w:t>
      </w:r>
      <w:r>
        <w:rPr>
          <w:bCs/>
          <w:color w:val="000000"/>
        </w:rPr>
        <w:tab/>
      </w:r>
      <w:r>
        <w:rPr>
          <w:rFonts w:hint="eastAsia"/>
          <w:bCs/>
          <w:color w:val="000000"/>
        </w:rPr>
        <w:t>如果丧失公民身份是在孩童时期，而且儿童尚未成年，或者如果退出了公民身份，那么在经过司法部门审议后，可以重新获得公民身份。居住</w:t>
      </w:r>
      <w:r>
        <w:rPr>
          <w:rFonts w:hint="eastAsia"/>
          <w:bCs/>
          <w:color w:val="000000"/>
        </w:rPr>
        <w:t>1</w:t>
      </w:r>
      <w:r>
        <w:rPr>
          <w:rFonts w:hint="eastAsia"/>
          <w:bCs/>
          <w:color w:val="000000"/>
        </w:rPr>
        <w:t>年和</w:t>
      </w:r>
      <w:r>
        <w:rPr>
          <w:rFonts w:hint="eastAsia"/>
          <w:bCs/>
          <w:color w:val="000000"/>
        </w:rPr>
        <w:t>5</w:t>
      </w:r>
      <w:r>
        <w:rPr>
          <w:rFonts w:hint="eastAsia"/>
          <w:bCs/>
          <w:color w:val="000000"/>
        </w:rPr>
        <w:t>年的条件也必须予以确定。</w:t>
      </w:r>
    </w:p>
    <w:p w:rsidR="00692915" w:rsidRDefault="00692915">
      <w:pPr>
        <w:pStyle w:val="Heading3"/>
        <w:tabs>
          <w:tab w:val="left" w:pos="1170"/>
        </w:tabs>
        <w:jc w:val="both"/>
        <w:rPr>
          <w:rFonts w:eastAsia="KaiTi_GB2312" w:hint="eastAsia"/>
          <w:color w:val="000000"/>
          <w:u w:val="none"/>
        </w:rPr>
      </w:pPr>
      <w:r>
        <w:rPr>
          <w:rFonts w:eastAsia="KaiTi_GB2312" w:hint="eastAsia"/>
          <w:color w:val="000000"/>
          <w:u w:val="none"/>
        </w:rPr>
        <w:t>公民权的平等</w:t>
      </w:r>
    </w:p>
    <w:p w:rsidR="00692915" w:rsidRDefault="00692915" w:rsidP="009A1C1B">
      <w:pPr>
        <w:tabs>
          <w:tab w:val="left" w:pos="1170"/>
        </w:tabs>
        <w:ind w:firstLine="31680"/>
        <w:rPr>
          <w:rFonts w:hint="eastAsia"/>
          <w:bCs/>
          <w:color w:val="000000"/>
        </w:rPr>
      </w:pPr>
      <w:r>
        <w:rPr>
          <w:bCs/>
          <w:color w:val="000000"/>
        </w:rPr>
        <w:t xml:space="preserve">494. </w:t>
      </w:r>
      <w:r>
        <w:rPr>
          <w:rFonts w:hint="eastAsia"/>
          <w:bCs/>
          <w:color w:val="000000"/>
        </w:rPr>
        <w:t>帝汶法律为公民平等提供了保障，无论是男性还是女性，都同样享有获得、变更和保留其公民身份的权利。实际上，任何妇女，无论其丈夫的国籍如何，或无论其丈夫是否做出改变国籍的决定，都将享有其作为国家公民的权利。很多东帝汶妇女在与外国人结婚后，仍然与那些和帝汶男性结婚的妇女一样，在社会与政治生活中享有同等的权利。任何女性，如果希望获得护照，也不需征求其丈夫或男监护人的同意。当然，在习惯上，无论是男性还是女性，都应将出行计划告诉其家庭。</w:t>
      </w:r>
    </w:p>
    <w:p w:rsidR="00692915" w:rsidRDefault="00692915" w:rsidP="009A1C1B">
      <w:pPr>
        <w:tabs>
          <w:tab w:val="left" w:pos="1170"/>
        </w:tabs>
        <w:spacing w:after="240"/>
        <w:ind w:firstLine="31680"/>
        <w:rPr>
          <w:rFonts w:hint="eastAsia"/>
          <w:bCs/>
          <w:color w:val="000000"/>
        </w:rPr>
      </w:pPr>
      <w:r>
        <w:rPr>
          <w:bCs/>
          <w:color w:val="000000"/>
        </w:rPr>
        <w:t>495.</w:t>
      </w:r>
      <w:r>
        <w:rPr>
          <w:rFonts w:hint="eastAsia"/>
          <w:bCs/>
          <w:color w:val="000000"/>
        </w:rPr>
        <w:t xml:space="preserve"> </w:t>
      </w:r>
      <w:r>
        <w:rPr>
          <w:rFonts w:hint="eastAsia"/>
          <w:bCs/>
          <w:color w:val="000000"/>
        </w:rPr>
        <w:t>母亲的公民身份与父亲的公民身份具有同样的分量。儿童可以跟随母亲或父亲的公民身份。双重公民身份得到国家的非正式认可，很多帝汶人都拥有帝汶公民身份和其他国家（通常为葡萄牙、莫桑比克或澳大利亚）的公民身份。法律没有正式禁止双重公民身份，而是指出，在东帝汶，如果与其他公民身份有冲突，则将适用帝汶公民身份。</w:t>
      </w:r>
      <w:r>
        <w:rPr>
          <w:rStyle w:val="FootnoteReference"/>
          <w:bCs/>
          <w:color w:val="000000"/>
        </w:rPr>
        <w:footnoteReference w:id="256"/>
      </w:r>
    </w:p>
    <w:p w:rsidR="00692915" w:rsidRDefault="00692915">
      <w:pPr>
        <w:pStyle w:val="Heading2"/>
        <w:tabs>
          <w:tab w:val="left" w:pos="520"/>
        </w:tabs>
        <w:jc w:val="both"/>
        <w:rPr>
          <w:color w:val="000000"/>
          <w:sz w:val="24"/>
        </w:rPr>
      </w:pPr>
      <w:bookmarkStart w:id="88" w:name="_Toc150514988"/>
      <w:bookmarkStart w:id="89" w:name="_Toc150684891"/>
      <w:r>
        <w:rPr>
          <w:color w:val="000000"/>
          <w:sz w:val="24"/>
        </w:rPr>
        <w:t>2.</w:t>
      </w:r>
      <w:r>
        <w:rPr>
          <w:rFonts w:hint="eastAsia"/>
          <w:color w:val="000000"/>
          <w:sz w:val="24"/>
        </w:rPr>
        <w:t xml:space="preserve"> </w:t>
      </w:r>
      <w:r>
        <w:rPr>
          <w:rFonts w:hint="eastAsia"/>
          <w:color w:val="000000"/>
          <w:sz w:val="24"/>
        </w:rPr>
        <w:tab/>
      </w:r>
      <w:r>
        <w:rPr>
          <w:rFonts w:hint="eastAsia"/>
          <w:color w:val="000000"/>
          <w:sz w:val="24"/>
          <w:u w:val="single"/>
        </w:rPr>
        <w:t>参政权与获取公共服务的权利</w:t>
      </w:r>
      <w:r>
        <w:rPr>
          <w:rStyle w:val="FootnoteReference"/>
          <w:color w:val="000000"/>
          <w:szCs w:val="24"/>
        </w:rPr>
        <w:footnoteReference w:id="257"/>
      </w:r>
      <w:bookmarkEnd w:id="88"/>
      <w:bookmarkEnd w:id="89"/>
    </w:p>
    <w:p w:rsidR="00692915" w:rsidRDefault="00692915" w:rsidP="009A1C1B">
      <w:pPr>
        <w:tabs>
          <w:tab w:val="left" w:pos="1170"/>
        </w:tabs>
        <w:ind w:firstLine="31680"/>
        <w:rPr>
          <w:rFonts w:hint="eastAsia"/>
          <w:bCs/>
          <w:iCs/>
          <w:color w:val="000000"/>
          <w:lang w:bidi="th-TH"/>
        </w:rPr>
      </w:pPr>
      <w:r>
        <w:rPr>
          <w:bCs/>
          <w:color w:val="000000"/>
        </w:rPr>
        <w:t>496.</w:t>
      </w:r>
      <w:r>
        <w:rPr>
          <w:bCs/>
          <w:color w:val="000000"/>
        </w:rPr>
        <w:tab/>
      </w:r>
      <w:r>
        <w:rPr>
          <w:rFonts w:hint="eastAsia"/>
          <w:bCs/>
          <w:iCs/>
          <w:color w:val="000000"/>
          <w:lang w:bidi="th-TH"/>
        </w:rPr>
        <w:t>《宪法》有几项规定为帝汶公民的参政权提供了保障。《宪法》第</w:t>
      </w:r>
      <w:r>
        <w:rPr>
          <w:rFonts w:hint="eastAsia"/>
          <w:bCs/>
          <w:iCs/>
          <w:color w:val="000000"/>
          <w:lang w:bidi="th-TH"/>
        </w:rPr>
        <w:t>46</w:t>
      </w:r>
      <w:r>
        <w:rPr>
          <w:rFonts w:hint="eastAsia"/>
          <w:bCs/>
          <w:iCs/>
          <w:color w:val="000000"/>
          <w:lang w:bidi="th-TH"/>
        </w:rPr>
        <w:t>条规定：“每位公民都有权通过直接方式，或通过民主选举的代表，参与国家政治生活和公共事务”</w:t>
      </w:r>
      <w:r>
        <w:rPr>
          <w:rFonts w:hint="eastAsia"/>
          <w:bCs/>
          <w:iCs/>
          <w:color w:val="000000"/>
          <w:lang w:bidi="th-TH"/>
        </w:rPr>
        <w:t xml:space="preserve"> </w:t>
      </w:r>
      <w:r>
        <w:rPr>
          <w:rFonts w:hint="eastAsia"/>
          <w:bCs/>
          <w:iCs/>
          <w:color w:val="000000"/>
          <w:lang w:bidi="th-TH"/>
        </w:rPr>
        <w:t>。</w:t>
      </w:r>
    </w:p>
    <w:p w:rsidR="00692915" w:rsidRDefault="00692915" w:rsidP="009A1C1B">
      <w:pPr>
        <w:tabs>
          <w:tab w:val="left" w:pos="1170"/>
        </w:tabs>
        <w:ind w:firstLine="31680"/>
        <w:rPr>
          <w:rFonts w:eastAsia="MS Mincho"/>
          <w:bCs/>
          <w:color w:val="000000"/>
          <w:lang w:bidi="th-TH"/>
        </w:rPr>
      </w:pPr>
      <w:r>
        <w:rPr>
          <w:bCs/>
          <w:color w:val="000000"/>
        </w:rPr>
        <w:t>497.</w:t>
      </w:r>
      <w:r>
        <w:rPr>
          <w:rFonts w:hint="eastAsia"/>
          <w:bCs/>
          <w:color w:val="000000"/>
        </w:rPr>
        <w:tab/>
      </w:r>
      <w:r>
        <w:rPr>
          <w:rFonts w:hint="eastAsia"/>
          <w:bCs/>
          <w:color w:val="000000"/>
          <w:lang w:bidi="th-TH"/>
        </w:rPr>
        <w:t>《宪法》的其他重要规定包括：建立和参与政党的权利、投票和被选举的权利。</w:t>
      </w:r>
      <w:r>
        <w:rPr>
          <w:rStyle w:val="FootnoteReference"/>
          <w:rFonts w:eastAsia="MS Mincho"/>
          <w:bCs/>
          <w:color w:val="000000"/>
          <w:lang w:eastAsia="ja-JP" w:bidi="th-TH"/>
        </w:rPr>
        <w:footnoteReference w:id="258"/>
      </w:r>
      <w:r>
        <w:rPr>
          <w:rFonts w:hint="eastAsia"/>
          <w:bCs/>
          <w:color w:val="000000"/>
          <w:lang w:bidi="th-TH"/>
        </w:rPr>
        <w:t>《宪法》还明确规定，投票权是个人权利，是公民的义务，男女直接和积极参与政治生活是巩固民主制度的根本。</w:t>
      </w:r>
      <w:r>
        <w:rPr>
          <w:rStyle w:val="FootnoteReference"/>
          <w:rFonts w:eastAsia="MS Mincho"/>
          <w:bCs/>
          <w:color w:val="000000"/>
          <w:lang w:eastAsia="ja-JP" w:bidi="th-TH"/>
        </w:rPr>
        <w:footnoteReference w:id="259"/>
      </w:r>
      <w:r>
        <w:rPr>
          <w:rFonts w:hint="eastAsia"/>
          <w:bCs/>
          <w:color w:val="000000"/>
          <w:lang w:bidi="th-TH"/>
        </w:rPr>
        <w:t>另外，也采取了在行使公民权利和政治权利的过程中确保平等，以及在获取政治地位方面防止性别歧视的措施。</w:t>
      </w:r>
      <w:r>
        <w:rPr>
          <w:rStyle w:val="FootnoteReference"/>
          <w:rFonts w:eastAsia="MS Mincho"/>
          <w:bCs/>
          <w:color w:val="000000"/>
          <w:lang w:eastAsia="ja-JP" w:bidi="th-TH"/>
        </w:rPr>
        <w:footnoteReference w:id="260"/>
      </w:r>
    </w:p>
    <w:p w:rsidR="00692915" w:rsidRDefault="00692915" w:rsidP="009A1C1B">
      <w:pPr>
        <w:tabs>
          <w:tab w:val="left" w:pos="1170"/>
        </w:tabs>
        <w:ind w:firstLine="31680"/>
        <w:rPr>
          <w:rFonts w:hint="eastAsia"/>
          <w:bCs/>
          <w:color w:val="000000"/>
          <w:lang w:bidi="th-TH"/>
        </w:rPr>
      </w:pPr>
      <w:r>
        <w:rPr>
          <w:bCs/>
          <w:color w:val="000000"/>
        </w:rPr>
        <w:t>498.</w:t>
      </w:r>
      <w:r>
        <w:rPr>
          <w:rFonts w:hint="eastAsia"/>
          <w:bCs/>
          <w:color w:val="000000"/>
        </w:rPr>
        <w:tab/>
      </w:r>
      <w:r>
        <w:rPr>
          <w:rFonts w:hint="eastAsia"/>
          <w:bCs/>
          <w:color w:val="000000"/>
          <w:lang w:bidi="th-TH"/>
        </w:rPr>
        <w:t>在东帝汶的政治制度中，选举分为三类：总统选举、议会选举和“</w:t>
      </w:r>
      <w:r>
        <w:rPr>
          <w:rFonts w:ascii="KaiTi_GB2312" w:eastAsia="KaiTi_GB2312" w:hint="eastAsia"/>
          <w:bCs/>
          <w:color w:val="000000"/>
          <w:lang w:bidi="th-TH"/>
        </w:rPr>
        <w:t>乡长/乡</w:t>
      </w:r>
      <w:r>
        <w:rPr>
          <w:rFonts w:hint="eastAsia"/>
          <w:bCs/>
          <w:color w:val="000000"/>
          <w:lang w:bidi="th-TH"/>
        </w:rPr>
        <w:t>”委员会选举。选举按照普遍、自由、直接、平等和不记名投票的原则，通过个人和定期的普选方式进行。</w:t>
      </w:r>
      <w:r>
        <w:rPr>
          <w:rStyle w:val="FootnoteReference"/>
          <w:rFonts w:eastAsia="MS Mincho"/>
          <w:bCs/>
          <w:color w:val="000000"/>
          <w:lang w:eastAsia="ja-JP" w:bidi="th-TH"/>
        </w:rPr>
        <w:footnoteReference w:id="261"/>
      </w:r>
      <w:r>
        <w:rPr>
          <w:rFonts w:hint="eastAsia"/>
          <w:bCs/>
          <w:color w:val="000000"/>
          <w:lang w:bidi="th-TH"/>
        </w:rPr>
        <w:t>按照总统和议会的任期，总统和议会选举每</w:t>
      </w:r>
      <w:r>
        <w:rPr>
          <w:rFonts w:hint="eastAsia"/>
          <w:bCs/>
          <w:color w:val="000000"/>
          <w:lang w:bidi="th-TH"/>
        </w:rPr>
        <w:t>5</w:t>
      </w:r>
      <w:r>
        <w:rPr>
          <w:rFonts w:hint="eastAsia"/>
          <w:bCs/>
          <w:color w:val="000000"/>
          <w:lang w:bidi="th-TH"/>
        </w:rPr>
        <w:t>年进行一次，而“</w:t>
      </w:r>
      <w:r>
        <w:rPr>
          <w:rFonts w:ascii="KaiTi_GB2312" w:eastAsia="KaiTi_GB2312" w:hint="eastAsia"/>
          <w:bCs/>
          <w:color w:val="000000"/>
          <w:lang w:bidi="th-TH"/>
        </w:rPr>
        <w:t>乡长/乡</w:t>
      </w:r>
      <w:r>
        <w:rPr>
          <w:rFonts w:hint="eastAsia"/>
          <w:bCs/>
          <w:color w:val="000000"/>
          <w:lang w:bidi="th-TH"/>
        </w:rPr>
        <w:t>”选举则为每</w:t>
      </w:r>
      <w:r>
        <w:rPr>
          <w:rFonts w:hint="eastAsia"/>
          <w:bCs/>
          <w:color w:val="000000"/>
          <w:lang w:bidi="th-TH"/>
        </w:rPr>
        <w:t>3</w:t>
      </w:r>
      <w:r>
        <w:rPr>
          <w:rFonts w:hint="eastAsia"/>
          <w:bCs/>
          <w:color w:val="000000"/>
          <w:lang w:bidi="th-TH"/>
        </w:rPr>
        <w:t>年一次，但第一届除外（任期为</w:t>
      </w:r>
      <w:r>
        <w:rPr>
          <w:rFonts w:hint="eastAsia"/>
          <w:bCs/>
          <w:color w:val="000000"/>
          <w:lang w:bidi="th-TH"/>
        </w:rPr>
        <w:t>4</w:t>
      </w:r>
      <w:r>
        <w:rPr>
          <w:rFonts w:hint="eastAsia"/>
          <w:bCs/>
          <w:color w:val="000000"/>
          <w:lang w:bidi="th-TH"/>
        </w:rPr>
        <w:t>年），</w:t>
      </w:r>
      <w:r>
        <w:rPr>
          <w:rStyle w:val="FootnoteReference"/>
          <w:rFonts w:eastAsia="MS Mincho"/>
          <w:bCs/>
          <w:color w:val="000000"/>
          <w:lang w:eastAsia="ja-JP" w:bidi="th-TH"/>
        </w:rPr>
        <w:footnoteReference w:id="262"/>
      </w:r>
      <w:r>
        <w:rPr>
          <w:rFonts w:hint="eastAsia"/>
          <w:bCs/>
          <w:color w:val="000000"/>
          <w:lang w:bidi="th-TH"/>
        </w:rPr>
        <w:t>其后的任期为</w:t>
      </w:r>
      <w:r>
        <w:rPr>
          <w:rFonts w:hint="eastAsia"/>
          <w:bCs/>
          <w:color w:val="000000"/>
          <w:lang w:bidi="th-TH"/>
        </w:rPr>
        <w:t>3</w:t>
      </w:r>
      <w:r>
        <w:rPr>
          <w:rFonts w:hint="eastAsia"/>
          <w:bCs/>
          <w:color w:val="000000"/>
          <w:lang w:bidi="th-TH"/>
        </w:rPr>
        <w:t>年。第一届选举在</w:t>
      </w:r>
      <w:r>
        <w:rPr>
          <w:rFonts w:hint="eastAsia"/>
          <w:bCs/>
          <w:color w:val="000000"/>
          <w:lang w:bidi="th-TH"/>
        </w:rPr>
        <w:t>2004-2005</w:t>
      </w:r>
      <w:r>
        <w:rPr>
          <w:rFonts w:hint="eastAsia"/>
          <w:bCs/>
          <w:color w:val="000000"/>
          <w:lang w:bidi="th-TH"/>
        </w:rPr>
        <w:t>年期间进行，分期由各地区交错进行。</w:t>
      </w:r>
    </w:p>
    <w:p w:rsidR="00692915" w:rsidRDefault="00692915" w:rsidP="009A1C1B">
      <w:pPr>
        <w:tabs>
          <w:tab w:val="left" w:pos="1170"/>
        </w:tabs>
        <w:ind w:firstLine="31680"/>
        <w:rPr>
          <w:rFonts w:hint="eastAsia"/>
          <w:bCs/>
          <w:color w:val="000000"/>
        </w:rPr>
      </w:pPr>
      <w:r>
        <w:rPr>
          <w:bCs/>
          <w:color w:val="000000"/>
        </w:rPr>
        <w:t>499.</w:t>
      </w:r>
      <w:r>
        <w:rPr>
          <w:rFonts w:hint="eastAsia"/>
          <w:bCs/>
          <w:color w:val="000000"/>
        </w:rPr>
        <w:t>为了对三级选举进行管理和实施，建立了一个独立的全国选举委员会（</w:t>
      </w:r>
      <w:r>
        <w:rPr>
          <w:bCs/>
          <w:color w:val="000000"/>
        </w:rPr>
        <w:t>CNE</w:t>
      </w:r>
      <w:r>
        <w:rPr>
          <w:rFonts w:hint="eastAsia"/>
          <w:bCs/>
          <w:color w:val="000000"/>
        </w:rPr>
        <w:t>）。该委员会由</w:t>
      </w:r>
      <w:r>
        <w:rPr>
          <w:rFonts w:hint="eastAsia"/>
          <w:bCs/>
          <w:color w:val="000000"/>
        </w:rPr>
        <w:t>13</w:t>
      </w:r>
      <w:r>
        <w:rPr>
          <w:rFonts w:hint="eastAsia"/>
          <w:bCs/>
          <w:color w:val="000000"/>
        </w:rPr>
        <w:t>名成员组成，代表了帝汶社会的所有领域。其中，由总统和内阁各委派</w:t>
      </w:r>
      <w:r>
        <w:rPr>
          <w:rFonts w:hint="eastAsia"/>
          <w:bCs/>
          <w:color w:val="000000"/>
        </w:rPr>
        <w:t>3</w:t>
      </w:r>
      <w:r>
        <w:rPr>
          <w:rFonts w:hint="eastAsia"/>
          <w:bCs/>
          <w:color w:val="000000"/>
        </w:rPr>
        <w:t>名成员，国民议会委派</w:t>
      </w:r>
      <w:r>
        <w:rPr>
          <w:rFonts w:hint="eastAsia"/>
          <w:bCs/>
          <w:color w:val="000000"/>
        </w:rPr>
        <w:t>4</w:t>
      </w:r>
      <w:r>
        <w:rPr>
          <w:rFonts w:hint="eastAsia"/>
          <w:bCs/>
          <w:color w:val="000000"/>
        </w:rPr>
        <w:t>名成员。每个机构应至少委派</w:t>
      </w:r>
      <w:r>
        <w:rPr>
          <w:rFonts w:hint="eastAsia"/>
          <w:bCs/>
          <w:color w:val="000000"/>
        </w:rPr>
        <w:t>1</w:t>
      </w:r>
      <w:r>
        <w:rPr>
          <w:rFonts w:hint="eastAsia"/>
          <w:bCs/>
          <w:color w:val="000000"/>
        </w:rPr>
        <w:t>名妇女。另外，法院、检察官办公室和公诉辩护人办公室也各向全国选举委员会委派一名人员。全国选举委员会负责对选举的实施进行监督，以确保法律和《宪法》得到遵守，对有关选举行为的投诉与权利要求进行审查和做出决定，将选举结果提交给有关法院确认。为了对</w:t>
      </w:r>
      <w:r>
        <w:rPr>
          <w:rFonts w:hint="eastAsia"/>
          <w:bCs/>
          <w:color w:val="000000"/>
        </w:rPr>
        <w:t>2001</w:t>
      </w:r>
      <w:r>
        <w:rPr>
          <w:rFonts w:hint="eastAsia"/>
          <w:bCs/>
          <w:color w:val="000000"/>
        </w:rPr>
        <w:t>年和</w:t>
      </w:r>
      <w:r>
        <w:rPr>
          <w:rFonts w:hint="eastAsia"/>
          <w:bCs/>
          <w:color w:val="000000"/>
        </w:rPr>
        <w:t>2002</w:t>
      </w:r>
      <w:r>
        <w:rPr>
          <w:rFonts w:hint="eastAsia"/>
          <w:bCs/>
          <w:color w:val="000000"/>
        </w:rPr>
        <w:t>年联合国行政当局期间的制宪议会选举和总统选举进行监督，还通过</w:t>
      </w:r>
      <w:r>
        <w:rPr>
          <w:bCs/>
          <w:color w:val="000000"/>
        </w:rPr>
        <w:t>东帝汶过渡当局</w:t>
      </w:r>
      <w:r>
        <w:rPr>
          <w:rFonts w:hint="eastAsia"/>
          <w:bCs/>
          <w:color w:val="000000"/>
        </w:rPr>
        <w:t>的行政令</w:t>
      </w:r>
      <w:r>
        <w:rPr>
          <w:rStyle w:val="FootnoteReference"/>
          <w:bCs/>
          <w:color w:val="000000"/>
        </w:rPr>
        <w:footnoteReference w:id="263"/>
      </w:r>
      <w:r>
        <w:rPr>
          <w:rFonts w:hint="eastAsia"/>
          <w:bCs/>
          <w:color w:val="000000"/>
        </w:rPr>
        <w:t>建立了一个独立选举委员会。</w:t>
      </w:r>
      <w:r>
        <w:rPr>
          <w:rFonts w:hint="eastAsia"/>
          <w:bCs/>
          <w:color w:val="000000"/>
        </w:rPr>
        <w:t xml:space="preserve"> </w:t>
      </w:r>
    </w:p>
    <w:p w:rsidR="00692915" w:rsidRDefault="00692915" w:rsidP="009A1C1B">
      <w:pPr>
        <w:tabs>
          <w:tab w:val="left" w:pos="1170"/>
        </w:tabs>
        <w:ind w:firstLine="31680"/>
        <w:rPr>
          <w:rFonts w:hint="eastAsia"/>
          <w:bCs/>
          <w:color w:val="000000"/>
        </w:rPr>
      </w:pPr>
      <w:r>
        <w:rPr>
          <w:bCs/>
          <w:color w:val="000000"/>
        </w:rPr>
        <w:t>500.</w:t>
      </w:r>
      <w:r>
        <w:rPr>
          <w:bCs/>
          <w:color w:val="000000"/>
        </w:rPr>
        <w:tab/>
      </w:r>
      <w:r>
        <w:rPr>
          <w:rFonts w:hint="eastAsia"/>
          <w:bCs/>
          <w:color w:val="000000"/>
        </w:rPr>
        <w:t>在国务部内部，专设了一个选举事务秘书处，负责选举程序的组织与实施，以及选举事务的咨询与支持，其中包括：提出适当的措施以确保公民参与。</w:t>
      </w:r>
      <w:r>
        <w:rPr>
          <w:rStyle w:val="FootnoteReference"/>
          <w:bCs/>
          <w:color w:val="000000"/>
        </w:rPr>
        <w:footnoteReference w:id="264"/>
      </w:r>
      <w:r>
        <w:rPr>
          <w:rFonts w:hint="eastAsia"/>
          <w:bCs/>
          <w:color w:val="000000"/>
        </w:rPr>
        <w:t>最近，该机构为</w:t>
      </w:r>
      <w:r>
        <w:rPr>
          <w:rFonts w:hint="eastAsia"/>
          <w:bCs/>
          <w:color w:val="000000"/>
        </w:rPr>
        <w:t>2007</w:t>
      </w:r>
      <w:r>
        <w:rPr>
          <w:rFonts w:hint="eastAsia"/>
          <w:bCs/>
          <w:color w:val="000000"/>
        </w:rPr>
        <w:t>年选举的选举法性质和内容提出了具体建议。</w:t>
      </w:r>
    </w:p>
    <w:p w:rsidR="00692915" w:rsidRDefault="00692915" w:rsidP="009A1C1B">
      <w:pPr>
        <w:tabs>
          <w:tab w:val="left" w:pos="1170"/>
        </w:tabs>
        <w:spacing w:after="240"/>
        <w:ind w:firstLine="31680"/>
        <w:rPr>
          <w:rFonts w:hint="eastAsia"/>
          <w:bCs/>
          <w:color w:val="000000"/>
          <w:lang w:bidi="th-TH"/>
        </w:rPr>
      </w:pPr>
      <w:r>
        <w:rPr>
          <w:bCs/>
          <w:color w:val="000000"/>
        </w:rPr>
        <w:t>501.</w:t>
      </w:r>
      <w:r>
        <w:rPr>
          <w:rFonts w:hint="eastAsia"/>
          <w:bCs/>
          <w:color w:val="000000"/>
        </w:rPr>
        <w:tab/>
      </w:r>
      <w:r>
        <w:rPr>
          <w:rFonts w:hint="eastAsia"/>
          <w:bCs/>
          <w:color w:val="000000"/>
          <w:lang w:bidi="th-TH"/>
        </w:rPr>
        <w:t>选举过程中的一项重要内容就是政治宣传。法律对有关选举的政治宣传做出了规定。根据《宪法》第</w:t>
      </w:r>
      <w:r>
        <w:rPr>
          <w:rFonts w:hint="eastAsia"/>
          <w:bCs/>
          <w:color w:val="000000"/>
          <w:lang w:bidi="th-TH"/>
        </w:rPr>
        <w:t>65</w:t>
      </w:r>
      <w:r>
        <w:rPr>
          <w:rFonts w:hint="eastAsia"/>
          <w:bCs/>
          <w:color w:val="000000"/>
          <w:lang w:bidi="th-TH"/>
        </w:rPr>
        <w:t>条规定，竞选活动应遵守以下原则：所有候选人都有拉选票的自由，都享有平等的机会和待遇，公共机构公正对待候选人，选举支出透明并得到监督。尽管没有关于竞选活动的法律规定，但在实践中，各政党都会为选举进行政治宣传。在候选个人参加竞选的情况下，他们会进行自己的竞选活动。无论是候选个人还是政党，都享有进行竞选活动的平等机会。</w:t>
      </w:r>
    </w:p>
    <w:p w:rsidR="00692915" w:rsidRDefault="00692915">
      <w:pPr>
        <w:pStyle w:val="Heading3"/>
        <w:tabs>
          <w:tab w:val="left" w:pos="1170"/>
        </w:tabs>
        <w:jc w:val="both"/>
        <w:rPr>
          <w:rFonts w:eastAsia="KaiTi_GB2312" w:hint="eastAsia"/>
          <w:color w:val="000000"/>
          <w:u w:val="none"/>
          <w:lang w:bidi="th-TH"/>
        </w:rPr>
      </w:pPr>
      <w:r>
        <w:rPr>
          <w:rFonts w:eastAsia="KaiTi_GB2312" w:hint="eastAsia"/>
          <w:color w:val="000000"/>
          <w:u w:val="none"/>
          <w:lang w:bidi="th-TH"/>
        </w:rPr>
        <w:t>妇女与参政</w:t>
      </w:r>
    </w:p>
    <w:p w:rsidR="00692915" w:rsidRDefault="00692915" w:rsidP="009A1C1B">
      <w:pPr>
        <w:tabs>
          <w:tab w:val="left" w:pos="1170"/>
        </w:tabs>
        <w:autoSpaceDE w:val="0"/>
        <w:autoSpaceDN w:val="0"/>
        <w:ind w:firstLine="31680"/>
        <w:rPr>
          <w:rFonts w:hint="eastAsia"/>
          <w:bCs/>
          <w:color w:val="000000"/>
          <w:lang w:bidi="th-TH"/>
        </w:rPr>
      </w:pPr>
      <w:r>
        <w:rPr>
          <w:bCs/>
          <w:color w:val="000000"/>
        </w:rPr>
        <w:t>502.</w:t>
      </w:r>
      <w:r>
        <w:rPr>
          <w:rFonts w:hint="eastAsia"/>
          <w:bCs/>
          <w:color w:val="000000"/>
        </w:rPr>
        <w:t xml:space="preserve"> </w:t>
      </w:r>
      <w:r>
        <w:rPr>
          <w:rFonts w:hint="eastAsia"/>
          <w:bCs/>
          <w:color w:val="000000"/>
        </w:rPr>
        <w:t>东帝汶政府承认有必要提高妇女担任公职的人数，完善的宪法与法律体制为这一目标的实现提供了支持。《宪法》第</w:t>
      </w:r>
      <w:r>
        <w:rPr>
          <w:rFonts w:hint="eastAsia"/>
          <w:bCs/>
          <w:color w:val="000000"/>
        </w:rPr>
        <w:t>63</w:t>
      </w:r>
      <w:r>
        <w:rPr>
          <w:rFonts w:hint="eastAsia"/>
          <w:bCs/>
          <w:color w:val="000000"/>
        </w:rPr>
        <w:t>条明确规定男女享有平等的参政机会，该规定指出“男女直接和积极参与政治生活是巩固民主制度的必要条件和根本手段。”</w:t>
      </w:r>
      <w:r>
        <w:rPr>
          <w:rFonts w:hint="eastAsia"/>
          <w:bCs/>
          <w:color w:val="000000"/>
          <w:lang w:bidi="th-TH"/>
        </w:rPr>
        <w:t xml:space="preserve"> </w:t>
      </w:r>
      <w:r>
        <w:rPr>
          <w:rFonts w:hint="eastAsia"/>
          <w:bCs/>
          <w:color w:val="000000"/>
          <w:lang w:bidi="th-TH"/>
        </w:rPr>
        <w:t>为了在行使公民权利和政治权利过程中确保平等，以及在获取政治地位方面防止性别歧视，也采取了保障措施。《政党法》第</w:t>
      </w:r>
      <w:r>
        <w:rPr>
          <w:rFonts w:hint="eastAsia"/>
          <w:bCs/>
          <w:color w:val="000000"/>
          <w:lang w:bidi="th-TH"/>
        </w:rPr>
        <w:t>8</w:t>
      </w:r>
      <w:r>
        <w:rPr>
          <w:rFonts w:hint="eastAsia"/>
          <w:bCs/>
          <w:color w:val="000000"/>
          <w:lang w:bidi="th-TH"/>
        </w:rPr>
        <w:t>条</w:t>
      </w:r>
      <w:r>
        <w:rPr>
          <w:rStyle w:val="FootnoteReference"/>
          <w:rFonts w:eastAsia="MS Mincho"/>
          <w:bCs/>
          <w:color w:val="000000"/>
          <w:lang w:eastAsia="ja-JP" w:bidi="th-TH"/>
        </w:rPr>
        <w:footnoteReference w:id="265"/>
      </w:r>
      <w:r>
        <w:rPr>
          <w:rFonts w:hint="eastAsia"/>
          <w:bCs/>
          <w:color w:val="000000"/>
          <w:lang w:bidi="th-TH"/>
        </w:rPr>
        <w:t>规定，各政党有义务鼓励妇女参与政党政治，尤其是参与政党的领导机关，为促进妇女的参与，提倡采取配额制度和其他措施。</w:t>
      </w:r>
    </w:p>
    <w:p w:rsidR="00692915" w:rsidRDefault="00692915" w:rsidP="009A1C1B">
      <w:pPr>
        <w:tabs>
          <w:tab w:val="left" w:pos="1170"/>
        </w:tabs>
        <w:autoSpaceDE w:val="0"/>
        <w:autoSpaceDN w:val="0"/>
        <w:ind w:firstLine="31680"/>
        <w:rPr>
          <w:rFonts w:hint="eastAsia"/>
          <w:bCs/>
          <w:color w:val="000000"/>
        </w:rPr>
      </w:pPr>
      <w:r>
        <w:rPr>
          <w:bCs/>
          <w:color w:val="000000"/>
        </w:rPr>
        <w:t xml:space="preserve">503. </w:t>
      </w:r>
      <w:r>
        <w:rPr>
          <w:rFonts w:hint="eastAsia"/>
          <w:bCs/>
          <w:color w:val="000000"/>
        </w:rPr>
        <w:t>为保障机会平等和促进妇女参政，政府采取了很多果断措施，包括立法措施。到目前为止，这些举措已产生了明显效果。在撰写本报告之时，内阁和立法机关中的很多重要职位都由妇女担任，包括国务部部长和副部长、公共工程部部长、规划与财政部部长和副部长、外交与合作部副部长、教育部副部长。</w:t>
      </w:r>
      <w:r>
        <w:rPr>
          <w:bCs/>
          <w:color w:val="000000"/>
        </w:rPr>
        <w:t>人权事务总理顾问办公室</w:t>
      </w:r>
      <w:r>
        <w:rPr>
          <w:rFonts w:hint="eastAsia"/>
          <w:bCs/>
          <w:color w:val="000000"/>
        </w:rPr>
        <w:t>和</w:t>
      </w:r>
      <w:r>
        <w:rPr>
          <w:bCs/>
          <w:color w:val="000000"/>
        </w:rPr>
        <w:t>促进平等事务</w:t>
      </w:r>
      <w:r>
        <w:rPr>
          <w:rFonts w:hint="eastAsia"/>
          <w:bCs/>
          <w:color w:val="000000"/>
        </w:rPr>
        <w:t>总理顾问</w:t>
      </w:r>
      <w:r>
        <w:rPr>
          <w:bCs/>
          <w:color w:val="000000"/>
        </w:rPr>
        <w:t>办公室</w:t>
      </w:r>
      <w:r>
        <w:rPr>
          <w:rFonts w:hint="eastAsia"/>
          <w:bCs/>
          <w:color w:val="000000"/>
        </w:rPr>
        <w:t>的负责人都为女性，政府各部委（例如：教育部与卫生部）的很多重要管理局的职位都由女性担任。目前，妇女在国民议会的席位占</w:t>
      </w:r>
      <w:r>
        <w:rPr>
          <w:rFonts w:hint="eastAsia"/>
          <w:bCs/>
          <w:color w:val="000000"/>
        </w:rPr>
        <w:t>26%</w:t>
      </w:r>
      <w:r>
        <w:rPr>
          <w:rFonts w:hint="eastAsia"/>
          <w:bCs/>
          <w:color w:val="000000"/>
        </w:rPr>
        <w:t>，这一比率比经济合作与发展组织的很多国家要高出很多。</w:t>
      </w:r>
    </w:p>
    <w:p w:rsidR="00692915" w:rsidRDefault="00692915" w:rsidP="009A1C1B">
      <w:pPr>
        <w:tabs>
          <w:tab w:val="left" w:pos="1170"/>
        </w:tabs>
        <w:autoSpaceDE w:val="0"/>
        <w:autoSpaceDN w:val="0"/>
        <w:ind w:firstLine="31680"/>
        <w:rPr>
          <w:rFonts w:hint="eastAsia"/>
          <w:bCs/>
          <w:color w:val="000000"/>
        </w:rPr>
      </w:pPr>
      <w:r>
        <w:rPr>
          <w:bCs/>
          <w:color w:val="000000"/>
        </w:rPr>
        <w:t>504.</w:t>
      </w:r>
      <w:r>
        <w:rPr>
          <w:rFonts w:hint="eastAsia"/>
          <w:bCs/>
          <w:color w:val="000000"/>
        </w:rPr>
        <w:t xml:space="preserve"> </w:t>
      </w:r>
      <w:r>
        <w:rPr>
          <w:rFonts w:hint="eastAsia"/>
          <w:bCs/>
          <w:color w:val="000000"/>
        </w:rPr>
        <w:t>外交与合作部已做出努力，以尽可能在其内部为妇女确保</w:t>
      </w:r>
      <w:r>
        <w:rPr>
          <w:rFonts w:hint="eastAsia"/>
          <w:bCs/>
          <w:color w:val="000000"/>
        </w:rPr>
        <w:t>30%</w:t>
      </w:r>
      <w:r>
        <w:rPr>
          <w:rFonts w:hint="eastAsia"/>
          <w:bCs/>
          <w:color w:val="000000"/>
        </w:rPr>
        <w:t>的配额，并鼓励妇女申请空缺职位，但这将最终取决于择优录取的原则和申请程序的透明度。当然，政府服务，尤其是驻外服务的工作很繁重，通常情况下，妇女在工作时，需要配偶和家庭共担家庭责任（例如：照顾孩子）。很多妇女在工作时不能得到家庭的全力支持，因此不能充分利用职业发展的所有机会。</w:t>
      </w:r>
    </w:p>
    <w:p w:rsidR="00692915" w:rsidRDefault="00692915" w:rsidP="009A1C1B">
      <w:pPr>
        <w:tabs>
          <w:tab w:val="left" w:pos="1170"/>
        </w:tabs>
        <w:autoSpaceDE w:val="0"/>
        <w:autoSpaceDN w:val="0"/>
        <w:ind w:firstLine="31680"/>
        <w:rPr>
          <w:rFonts w:hint="eastAsia"/>
          <w:bCs/>
          <w:color w:val="000000"/>
        </w:rPr>
      </w:pPr>
      <w:r>
        <w:rPr>
          <w:bCs/>
          <w:color w:val="000000"/>
        </w:rPr>
        <w:t>505.</w:t>
      </w:r>
      <w:r>
        <w:rPr>
          <w:rFonts w:hint="eastAsia"/>
          <w:bCs/>
          <w:color w:val="000000"/>
        </w:rPr>
        <w:tab/>
      </w:r>
      <w:r>
        <w:rPr>
          <w:rFonts w:hint="eastAsia"/>
          <w:bCs/>
          <w:color w:val="000000"/>
        </w:rPr>
        <w:t>到目前为止，无论是男外交官还是女外交官，都不能将家属带往工作地，因为在有关驻外工作的规定中，没有对外交官携带家属做出规定。从</w:t>
      </w:r>
      <w:r>
        <w:rPr>
          <w:rFonts w:hint="eastAsia"/>
          <w:bCs/>
          <w:color w:val="000000"/>
        </w:rPr>
        <w:t>2005</w:t>
      </w:r>
      <w:r>
        <w:rPr>
          <w:rFonts w:hint="eastAsia"/>
          <w:bCs/>
          <w:color w:val="000000"/>
        </w:rPr>
        <w:t>年</w:t>
      </w:r>
      <w:r>
        <w:rPr>
          <w:rFonts w:hint="eastAsia"/>
          <w:bCs/>
          <w:color w:val="000000"/>
        </w:rPr>
        <w:t>4</w:t>
      </w:r>
      <w:r>
        <w:rPr>
          <w:rFonts w:hint="eastAsia"/>
          <w:bCs/>
          <w:color w:val="000000"/>
        </w:rPr>
        <w:t>月起，对《公务员法》做出了修订，外交官在国外工作时可以携带配偶和子女。</w:t>
      </w:r>
    </w:p>
    <w:p w:rsidR="00692915" w:rsidRDefault="00692915" w:rsidP="009A1C1B">
      <w:pPr>
        <w:tabs>
          <w:tab w:val="left" w:pos="1170"/>
        </w:tabs>
        <w:autoSpaceDE w:val="0"/>
        <w:autoSpaceDN w:val="0"/>
        <w:ind w:firstLine="31680"/>
        <w:rPr>
          <w:rFonts w:hint="eastAsia"/>
          <w:bCs/>
          <w:color w:val="000000"/>
        </w:rPr>
      </w:pPr>
      <w:r>
        <w:rPr>
          <w:bCs/>
          <w:color w:val="000000"/>
        </w:rPr>
        <w:t xml:space="preserve">506. </w:t>
      </w:r>
      <w:r>
        <w:rPr>
          <w:rFonts w:hint="eastAsia"/>
          <w:bCs/>
          <w:color w:val="000000"/>
        </w:rPr>
        <w:t>在撰写本报告之时，在提供的</w:t>
      </w:r>
      <w:r>
        <w:rPr>
          <w:rFonts w:hint="eastAsia"/>
          <w:bCs/>
          <w:color w:val="000000"/>
        </w:rPr>
        <w:t>24</w:t>
      </w:r>
      <w:r>
        <w:rPr>
          <w:rFonts w:hint="eastAsia"/>
          <w:bCs/>
          <w:color w:val="000000"/>
        </w:rPr>
        <w:t>个驻外职位中，录用了六名妇女。其中还有</w:t>
      </w:r>
      <w:r>
        <w:rPr>
          <w:rFonts w:hint="eastAsia"/>
          <w:bCs/>
          <w:color w:val="000000"/>
        </w:rPr>
        <w:t>5</w:t>
      </w:r>
      <w:r>
        <w:rPr>
          <w:rFonts w:hint="eastAsia"/>
          <w:bCs/>
          <w:color w:val="000000"/>
        </w:rPr>
        <w:t>个职位空缺，如果将此除外，那么目前女代表的比率大约为</w:t>
      </w:r>
      <w:r>
        <w:rPr>
          <w:rFonts w:hint="eastAsia"/>
          <w:bCs/>
          <w:color w:val="000000"/>
        </w:rPr>
        <w:t>31%</w:t>
      </w:r>
      <w:r>
        <w:rPr>
          <w:rFonts w:hint="eastAsia"/>
          <w:bCs/>
          <w:color w:val="000000"/>
        </w:rPr>
        <w:t>。在驻外工作的这</w:t>
      </w:r>
      <w:r>
        <w:rPr>
          <w:rFonts w:hint="eastAsia"/>
          <w:bCs/>
          <w:color w:val="000000"/>
        </w:rPr>
        <w:t>6</w:t>
      </w:r>
      <w:r>
        <w:rPr>
          <w:rFonts w:hint="eastAsia"/>
          <w:bCs/>
          <w:color w:val="000000"/>
        </w:rPr>
        <w:t>名妇女中，目前有一位任东帝汶驻葡萄牙的大使，两名为东帝汶驻北京和莫桑比克的代办，一名为东帝汶驻纽约的领事。其余两名外交官中，一名为东帝汶驻雅加达的二秘，一名为东帝汶驻澳大利亚悉尼的初级外交官。</w:t>
      </w:r>
    </w:p>
    <w:p w:rsidR="00692915" w:rsidRDefault="00692915" w:rsidP="009A1C1B">
      <w:pPr>
        <w:tabs>
          <w:tab w:val="left" w:pos="1170"/>
        </w:tabs>
        <w:autoSpaceDE w:val="0"/>
        <w:autoSpaceDN w:val="0"/>
        <w:ind w:firstLine="31680"/>
        <w:rPr>
          <w:rFonts w:hint="eastAsia"/>
          <w:bCs/>
          <w:color w:val="000000"/>
        </w:rPr>
      </w:pPr>
      <w:r>
        <w:rPr>
          <w:bCs/>
          <w:color w:val="000000"/>
        </w:rPr>
        <w:t xml:space="preserve">507. </w:t>
      </w:r>
      <w:r>
        <w:rPr>
          <w:rFonts w:hint="eastAsia"/>
          <w:bCs/>
          <w:color w:val="000000"/>
        </w:rPr>
        <w:t>正如上文所述，《</w:t>
      </w:r>
      <w:r>
        <w:rPr>
          <w:rFonts w:ascii="KaiTi_GB2312" w:eastAsia="KaiTi_GB2312" w:hint="eastAsia"/>
          <w:bCs/>
          <w:color w:val="000000"/>
        </w:rPr>
        <w:t>乡长/乡</w:t>
      </w:r>
      <w:r>
        <w:rPr>
          <w:rFonts w:hint="eastAsia"/>
          <w:bCs/>
          <w:color w:val="000000"/>
        </w:rPr>
        <w:t>委员会选举法》</w:t>
      </w:r>
      <w:r>
        <w:rPr>
          <w:rStyle w:val="FootnoteReference"/>
          <w:bCs/>
          <w:color w:val="000000"/>
        </w:rPr>
        <w:footnoteReference w:id="266"/>
      </w:r>
      <w:r>
        <w:rPr>
          <w:rFonts w:hint="eastAsia"/>
          <w:bCs/>
          <w:color w:val="000000"/>
        </w:rPr>
        <w:t>第</w:t>
      </w:r>
      <w:r>
        <w:rPr>
          <w:rFonts w:hint="eastAsia"/>
          <w:bCs/>
          <w:color w:val="000000"/>
        </w:rPr>
        <w:t>3</w:t>
      </w:r>
      <w:r>
        <w:rPr>
          <w:rFonts w:hint="eastAsia"/>
          <w:bCs/>
          <w:color w:val="000000"/>
        </w:rPr>
        <w:t>条明确规定：在每个乡委员会至少</w:t>
      </w:r>
      <w:r>
        <w:rPr>
          <w:rFonts w:hint="eastAsia"/>
          <w:bCs/>
          <w:color w:val="000000"/>
        </w:rPr>
        <w:t>7</w:t>
      </w:r>
      <w:r>
        <w:rPr>
          <w:rFonts w:hint="eastAsia"/>
          <w:bCs/>
          <w:color w:val="000000"/>
        </w:rPr>
        <w:t>个职位中，必须为女性留出</w:t>
      </w:r>
      <w:r>
        <w:rPr>
          <w:rFonts w:hint="eastAsia"/>
          <w:bCs/>
          <w:color w:val="000000"/>
        </w:rPr>
        <w:t>3</w:t>
      </w:r>
      <w:r>
        <w:rPr>
          <w:rFonts w:hint="eastAsia"/>
          <w:bCs/>
          <w:color w:val="000000"/>
        </w:rPr>
        <w:t>个</w:t>
      </w:r>
      <w:r>
        <w:rPr>
          <w:rFonts w:ascii="SimHei" w:eastAsia="SimHei" w:hint="eastAsia"/>
          <w:bCs/>
          <w:color w:val="000000"/>
          <w:spacing w:val="0"/>
        </w:rPr>
        <w:t>——</w:t>
      </w:r>
      <w:r>
        <w:rPr>
          <w:rFonts w:hint="eastAsia"/>
          <w:bCs/>
          <w:color w:val="000000"/>
        </w:rPr>
        <w:t>两名妇女代表和一名女青少年代表。法律还规定，总统、内阁和国民议会必须各向全国选举委员会委派一名妇女，以便为妇女参与选举过程的管理和监督提供机会。</w:t>
      </w:r>
      <w:r>
        <w:rPr>
          <w:rStyle w:val="FootnoteReference"/>
          <w:bCs/>
          <w:color w:val="000000"/>
        </w:rPr>
        <w:footnoteReference w:id="267"/>
      </w:r>
      <w:r>
        <w:rPr>
          <w:rFonts w:hint="eastAsia"/>
          <w:bCs/>
          <w:color w:val="000000"/>
        </w:rPr>
        <w:t>2004/2005</w:t>
      </w:r>
      <w:r>
        <w:rPr>
          <w:rFonts w:hint="eastAsia"/>
          <w:bCs/>
          <w:color w:val="000000"/>
        </w:rPr>
        <w:t>年乡选举的结果对妇女具有重要意义</w:t>
      </w:r>
      <w:r>
        <w:rPr>
          <w:rFonts w:ascii="SimHei" w:eastAsia="SimHei" w:hint="eastAsia"/>
          <w:bCs/>
          <w:color w:val="000000"/>
          <w:spacing w:val="0"/>
        </w:rPr>
        <w:t>——</w:t>
      </w:r>
      <w:r>
        <w:rPr>
          <w:rFonts w:hint="eastAsia"/>
          <w:bCs/>
          <w:color w:val="000000"/>
        </w:rPr>
        <w:t>在</w:t>
      </w:r>
      <w:r>
        <w:rPr>
          <w:bCs/>
          <w:color w:val="000000"/>
        </w:rPr>
        <w:t>2</w:t>
      </w:r>
      <w:r>
        <w:rPr>
          <w:rFonts w:hint="eastAsia"/>
          <w:bCs/>
          <w:color w:val="000000"/>
        </w:rPr>
        <w:t xml:space="preserve"> </w:t>
      </w:r>
      <w:r>
        <w:rPr>
          <w:bCs/>
          <w:color w:val="000000"/>
        </w:rPr>
        <w:t>228</w:t>
      </w:r>
      <w:r>
        <w:rPr>
          <w:rFonts w:hint="eastAsia"/>
          <w:bCs/>
          <w:color w:val="000000"/>
        </w:rPr>
        <w:t>名村长中，有</w:t>
      </w:r>
      <w:r>
        <w:rPr>
          <w:rFonts w:hint="eastAsia"/>
          <w:bCs/>
          <w:color w:val="000000"/>
        </w:rPr>
        <w:t>22</w:t>
      </w:r>
      <w:r>
        <w:rPr>
          <w:rFonts w:hint="eastAsia"/>
          <w:bCs/>
          <w:color w:val="000000"/>
        </w:rPr>
        <w:t>名妇女当选，在</w:t>
      </w:r>
      <w:r>
        <w:rPr>
          <w:rFonts w:hint="eastAsia"/>
          <w:bCs/>
          <w:color w:val="000000"/>
        </w:rPr>
        <w:t>442</w:t>
      </w:r>
      <w:r>
        <w:rPr>
          <w:rFonts w:hint="eastAsia"/>
          <w:bCs/>
          <w:color w:val="000000"/>
        </w:rPr>
        <w:t>名乡长中，有</w:t>
      </w:r>
      <w:r>
        <w:rPr>
          <w:rFonts w:hint="eastAsia"/>
          <w:bCs/>
          <w:color w:val="000000"/>
        </w:rPr>
        <w:t>7</w:t>
      </w:r>
      <w:r>
        <w:rPr>
          <w:rFonts w:hint="eastAsia"/>
          <w:bCs/>
          <w:color w:val="000000"/>
        </w:rPr>
        <w:t>名妇女当选。在全国的</w:t>
      </w:r>
      <w:r>
        <w:rPr>
          <w:rFonts w:hint="eastAsia"/>
          <w:bCs/>
          <w:color w:val="000000"/>
        </w:rPr>
        <w:t>442</w:t>
      </w:r>
      <w:r>
        <w:rPr>
          <w:rFonts w:hint="eastAsia"/>
          <w:bCs/>
          <w:color w:val="000000"/>
        </w:rPr>
        <w:t>个乡委员会中，至少有</w:t>
      </w:r>
      <w:r>
        <w:rPr>
          <w:bCs/>
          <w:color w:val="000000"/>
        </w:rPr>
        <w:t>1,332</w:t>
      </w:r>
      <w:r>
        <w:rPr>
          <w:rFonts w:hint="eastAsia"/>
          <w:bCs/>
          <w:color w:val="000000"/>
        </w:rPr>
        <w:t>名妇女成员。在选举中，妇女占选民登记总数的</w:t>
      </w:r>
      <w:r>
        <w:rPr>
          <w:rFonts w:hint="eastAsia"/>
          <w:bCs/>
          <w:color w:val="000000"/>
        </w:rPr>
        <w:t>60%</w:t>
      </w:r>
      <w:r>
        <w:rPr>
          <w:rFonts w:hint="eastAsia"/>
          <w:bCs/>
          <w:color w:val="000000"/>
        </w:rPr>
        <w:t>。</w:t>
      </w:r>
    </w:p>
    <w:p w:rsidR="00692915" w:rsidRDefault="00692915">
      <w:pPr>
        <w:pStyle w:val="Heading3"/>
        <w:tabs>
          <w:tab w:val="left" w:pos="1170"/>
        </w:tabs>
        <w:jc w:val="both"/>
        <w:rPr>
          <w:rFonts w:eastAsia="KaiTi_GB2312" w:hint="eastAsia"/>
          <w:color w:val="000000"/>
          <w:u w:val="none"/>
          <w:lang w:bidi="th-TH"/>
        </w:rPr>
      </w:pPr>
      <w:r>
        <w:rPr>
          <w:rFonts w:eastAsia="KaiTi_GB2312" w:hint="eastAsia"/>
          <w:color w:val="000000"/>
          <w:u w:val="none"/>
          <w:lang w:bidi="th-TH"/>
        </w:rPr>
        <w:t>妇女参与公共生活的障碍</w:t>
      </w:r>
    </w:p>
    <w:p w:rsidR="00692915" w:rsidRDefault="00692915" w:rsidP="009A1C1B">
      <w:pPr>
        <w:tabs>
          <w:tab w:val="left" w:pos="1170"/>
        </w:tabs>
        <w:spacing w:line="360" w:lineRule="auto"/>
        <w:ind w:firstLine="31680"/>
        <w:rPr>
          <w:rFonts w:hint="eastAsia"/>
          <w:bCs/>
          <w:color w:val="000000"/>
        </w:rPr>
      </w:pPr>
      <w:r>
        <w:rPr>
          <w:bCs/>
          <w:color w:val="000000"/>
        </w:rPr>
        <w:t>508.</w:t>
      </w:r>
      <w:r>
        <w:rPr>
          <w:rFonts w:hint="eastAsia"/>
          <w:bCs/>
          <w:color w:val="000000"/>
        </w:rPr>
        <w:tab/>
      </w:r>
      <w:r>
        <w:rPr>
          <w:rFonts w:hint="eastAsia"/>
          <w:bCs/>
          <w:color w:val="000000"/>
        </w:rPr>
        <w:t>在印度尼西亚占领期间，女性不能享有与男性同等的参政或代表权。</w:t>
      </w:r>
      <w:r>
        <w:rPr>
          <w:rStyle w:val="FootnoteReference"/>
          <w:bCs/>
          <w:color w:val="000000"/>
        </w:rPr>
        <w:footnoteReference w:id="268"/>
      </w:r>
      <w:r>
        <w:rPr>
          <w:rFonts w:hint="eastAsia"/>
          <w:bCs/>
          <w:color w:val="000000"/>
        </w:rPr>
        <w:t>公务员拥有决策权，对省或中央当局负责，或直接对东帝汶长官负责，而公务员主要为男性。妇女参与地方政府的人数很少，</w:t>
      </w:r>
      <w:r>
        <w:rPr>
          <w:rStyle w:val="FootnoteReference"/>
          <w:bCs/>
          <w:color w:val="000000"/>
        </w:rPr>
        <w:footnoteReference w:id="269"/>
      </w:r>
      <w:r>
        <w:rPr>
          <w:rFonts w:hint="eastAsia"/>
          <w:bCs/>
          <w:color w:val="000000"/>
        </w:rPr>
        <w:t>候选人的推选一般根据现行的军事利益进行考虑。</w:t>
      </w:r>
      <w:r>
        <w:rPr>
          <w:rStyle w:val="FootnoteReference"/>
          <w:bCs/>
          <w:color w:val="000000"/>
        </w:rPr>
        <w:footnoteReference w:id="270"/>
      </w:r>
      <w:r>
        <w:rPr>
          <w:rFonts w:hint="eastAsia"/>
          <w:bCs/>
          <w:color w:val="000000"/>
        </w:rPr>
        <w:t>有关男女角色的传统社会观念也是妇女远离政治的一个原因。很多帝汶人认为而且还将继续认为政治是一个受限制的领域，是男性的势力范围。</w:t>
      </w:r>
    </w:p>
    <w:p w:rsidR="00692915" w:rsidRDefault="00692915" w:rsidP="009A1C1B">
      <w:pPr>
        <w:tabs>
          <w:tab w:val="left" w:pos="1170"/>
        </w:tabs>
        <w:spacing w:line="360" w:lineRule="auto"/>
        <w:ind w:firstLine="31680"/>
        <w:rPr>
          <w:rFonts w:hint="eastAsia"/>
          <w:bCs/>
          <w:color w:val="000000"/>
        </w:rPr>
      </w:pPr>
      <w:r>
        <w:rPr>
          <w:bCs/>
          <w:color w:val="000000"/>
        </w:rPr>
        <w:t>509.</w:t>
      </w:r>
      <w:r>
        <w:rPr>
          <w:rFonts w:hint="eastAsia"/>
          <w:bCs/>
          <w:color w:val="000000"/>
        </w:rPr>
        <w:t xml:space="preserve"> </w:t>
      </w:r>
      <w:r>
        <w:rPr>
          <w:rFonts w:hint="eastAsia"/>
          <w:bCs/>
          <w:color w:val="000000"/>
        </w:rPr>
        <w:t>如今，相对于目前的国家主管机构而言，东帝汶，尤其是各地区的父权制文化对地方（例如：乡长委员会或乡委会）实现平等代表权所构成的障碍更大。</w:t>
      </w:r>
    </w:p>
    <w:p w:rsidR="00692915" w:rsidRDefault="00692915" w:rsidP="009A1C1B">
      <w:pPr>
        <w:tabs>
          <w:tab w:val="left" w:pos="1170"/>
        </w:tabs>
        <w:spacing w:line="360" w:lineRule="auto"/>
        <w:ind w:firstLine="31680"/>
        <w:rPr>
          <w:rFonts w:hint="eastAsia"/>
          <w:bCs/>
          <w:color w:val="000000"/>
        </w:rPr>
      </w:pPr>
      <w:r>
        <w:rPr>
          <w:bCs/>
          <w:color w:val="000000"/>
        </w:rPr>
        <w:t xml:space="preserve">510. </w:t>
      </w:r>
      <w:r>
        <w:rPr>
          <w:rFonts w:hint="eastAsia"/>
          <w:bCs/>
          <w:color w:val="000000"/>
        </w:rPr>
        <w:tab/>
        <w:t>2003</w:t>
      </w:r>
      <w:r>
        <w:rPr>
          <w:rFonts w:hint="eastAsia"/>
          <w:bCs/>
          <w:color w:val="000000"/>
        </w:rPr>
        <w:t>年，国际牛津饥荒救济会（牛津救济会）在科瓦利马地区进行了一项调查，调查发现了地方妇女参政情况较差的一些原因。其中，限制妇女参政的主要因素有：妇女受教育的机会有限、缺乏信心、对问题的意识不足、参与这类活动的时间有限等。</w:t>
      </w:r>
      <w:r>
        <w:rPr>
          <w:rStyle w:val="FootnoteReference"/>
          <w:bCs/>
          <w:color w:val="000000"/>
        </w:rPr>
        <w:footnoteReference w:id="271"/>
      </w:r>
      <w:r>
        <w:rPr>
          <w:rFonts w:hint="eastAsia"/>
          <w:bCs/>
          <w:color w:val="000000"/>
        </w:rPr>
        <w:t>在东帝汶（尤其在各地区）的其他限制包括：人们一般认为妇女在决策中的作用不大。该项研究还发现，女性和男性对其各自角色的看法也使他们无法认识到妇女作为领导人的潜力。在问及如何提高参政水平的问题时，男性认为应更多参与各种会议和协商活动；而妇女认为应学会做饭、缝纫和语言技能。</w:t>
      </w:r>
    </w:p>
    <w:p w:rsidR="00692915" w:rsidRDefault="00692915" w:rsidP="009A1C1B">
      <w:pPr>
        <w:tabs>
          <w:tab w:val="left" w:pos="1170"/>
        </w:tabs>
        <w:spacing w:afterLines="50" w:after="180" w:line="360" w:lineRule="auto"/>
        <w:ind w:firstLine="31680"/>
        <w:rPr>
          <w:rFonts w:hint="eastAsia"/>
          <w:bCs/>
          <w:color w:val="000000"/>
        </w:rPr>
      </w:pPr>
      <w:r>
        <w:rPr>
          <w:bCs/>
          <w:color w:val="000000"/>
        </w:rPr>
        <w:t>511.</w:t>
      </w:r>
      <w:r>
        <w:rPr>
          <w:rFonts w:hint="eastAsia"/>
          <w:bCs/>
          <w:color w:val="000000"/>
        </w:rPr>
        <w:tab/>
      </w:r>
      <w:r>
        <w:rPr>
          <w:rFonts w:hint="eastAsia"/>
          <w:bCs/>
          <w:color w:val="000000"/>
        </w:rPr>
        <w:t>社区中较年长的妇女更有可能参与地方活动，她们具有更高的社会地位，如果来自社区中的名望家族，这种情况将尤其明显。对于较年轻的妇女来说，除了日常家务（例如：照顾子女）外，通常没有时间参与政治活动。即使妇女愿意更多地参与，但是往往得不到其丈夫或直系家属的支持，有时在竞选中也得不到其他妇女的支持。有些地区（如：劳滕）对妇女参与公共生活的支持力度较大，但是即使妇女毛遂自荐应聘地方职位，但结果也会在后期阶段取消其候选人资格。此外，</w:t>
      </w:r>
      <w:r>
        <w:rPr>
          <w:rFonts w:hint="eastAsia"/>
          <w:bCs/>
          <w:color w:val="000000"/>
        </w:rPr>
        <w:t>1975</w:t>
      </w:r>
      <w:r>
        <w:rPr>
          <w:rFonts w:hint="eastAsia"/>
          <w:bCs/>
          <w:color w:val="000000"/>
        </w:rPr>
        <w:t>年的事件，以及更近一些的</w:t>
      </w:r>
      <w:r>
        <w:rPr>
          <w:rFonts w:hint="eastAsia"/>
          <w:bCs/>
          <w:color w:val="000000"/>
        </w:rPr>
        <w:t>1999</w:t>
      </w:r>
      <w:r>
        <w:rPr>
          <w:rFonts w:hint="eastAsia"/>
          <w:bCs/>
          <w:color w:val="000000"/>
        </w:rPr>
        <w:t>年事件使很多妇女不能在社区中抛头露面，其原因是担心发生暴力或报复行为。</w:t>
      </w:r>
      <w:r>
        <w:rPr>
          <w:rStyle w:val="FootnoteReference"/>
          <w:bCs/>
          <w:color w:val="000000"/>
        </w:rPr>
        <w:footnoteReference w:id="272"/>
      </w:r>
      <w:r>
        <w:rPr>
          <w:rFonts w:hint="eastAsia"/>
          <w:bCs/>
          <w:color w:val="000000"/>
        </w:rPr>
        <w:t>从某种程度上来说，这一态度正在改变，妇女正在更多地思考传统习惯所界定的性别角色，以及如何寻求变革机会。</w:t>
      </w:r>
    </w:p>
    <w:p w:rsidR="00692915" w:rsidRDefault="00692915">
      <w:pPr>
        <w:pStyle w:val="Heading3"/>
        <w:tabs>
          <w:tab w:val="left" w:pos="1170"/>
        </w:tabs>
        <w:jc w:val="both"/>
        <w:rPr>
          <w:rFonts w:eastAsia="KaiTi_GB2312" w:hint="eastAsia"/>
          <w:color w:val="000000"/>
          <w:u w:val="none"/>
          <w:lang w:bidi="th-TH"/>
        </w:rPr>
      </w:pPr>
      <w:r>
        <w:rPr>
          <w:rFonts w:eastAsia="KaiTi_GB2312" w:hint="eastAsia"/>
          <w:color w:val="000000"/>
          <w:u w:val="none"/>
          <w:lang w:bidi="th-TH"/>
        </w:rPr>
        <w:t>政府支持妇女参政的举措</w:t>
      </w:r>
    </w:p>
    <w:p w:rsidR="00692915" w:rsidRDefault="00692915" w:rsidP="009A1C1B">
      <w:pPr>
        <w:tabs>
          <w:tab w:val="left" w:pos="1170"/>
        </w:tabs>
        <w:ind w:firstLine="31680"/>
        <w:rPr>
          <w:rFonts w:hint="eastAsia"/>
          <w:bCs/>
          <w:color w:val="000000"/>
        </w:rPr>
      </w:pPr>
      <w:r>
        <w:rPr>
          <w:bCs/>
          <w:color w:val="000000"/>
        </w:rPr>
        <w:t xml:space="preserve">512. </w:t>
      </w:r>
      <w:r>
        <w:rPr>
          <w:rFonts w:hint="eastAsia"/>
          <w:bCs/>
          <w:color w:val="000000"/>
        </w:rPr>
        <w:t>如上所述，除其他方面以外，</w:t>
      </w:r>
      <w:r>
        <w:rPr>
          <w:bCs/>
          <w:color w:val="000000"/>
        </w:rPr>
        <w:t>促进平等事务总理顾问办公室</w:t>
      </w:r>
      <w:r>
        <w:rPr>
          <w:rFonts w:hint="eastAsia"/>
          <w:bCs/>
          <w:color w:val="000000"/>
        </w:rPr>
        <w:t>还负责向总理和其他部委提供建议，以确保为妇女和其他弱势人群提供机会和足够的支持，使他们能够参与所有领域的公共生活，包括政治决策。</w:t>
      </w:r>
    </w:p>
    <w:p w:rsidR="00692915" w:rsidRDefault="00692915" w:rsidP="009A1C1B">
      <w:pPr>
        <w:tabs>
          <w:tab w:val="left" w:pos="1170"/>
        </w:tabs>
        <w:ind w:firstLine="31680"/>
        <w:rPr>
          <w:rFonts w:hint="eastAsia"/>
          <w:bCs/>
          <w:color w:val="000000"/>
        </w:rPr>
      </w:pPr>
      <w:r>
        <w:rPr>
          <w:bCs/>
          <w:color w:val="000000"/>
        </w:rPr>
        <w:t xml:space="preserve">513. </w:t>
      </w:r>
      <w:r>
        <w:rPr>
          <w:rFonts w:hint="eastAsia"/>
          <w:bCs/>
          <w:color w:val="000000"/>
        </w:rPr>
        <w:t>在这一方面，</w:t>
      </w:r>
      <w:r>
        <w:rPr>
          <w:bCs/>
          <w:color w:val="000000"/>
        </w:rPr>
        <w:t xml:space="preserve"> </w:t>
      </w:r>
      <w:r>
        <w:rPr>
          <w:bCs/>
          <w:color w:val="000000"/>
        </w:rPr>
        <w:t>促进平等事务总理顾问办公室</w:t>
      </w:r>
      <w:r>
        <w:rPr>
          <w:rFonts w:hint="eastAsia"/>
          <w:bCs/>
          <w:color w:val="000000"/>
        </w:rPr>
        <w:t>做出了积极努力，该办公室四个关键项目之一就是“促进赋予妇女权力”。赋予妇女权力是《国家发展计划》中发展战略的第二个核心内容。</w:t>
      </w:r>
      <w:r>
        <w:rPr>
          <w:bCs/>
          <w:color w:val="000000"/>
        </w:rPr>
        <w:t>促进平等事务总理顾问办公室</w:t>
      </w:r>
      <w:r>
        <w:rPr>
          <w:rFonts w:hint="eastAsia"/>
          <w:bCs/>
          <w:color w:val="000000"/>
        </w:rPr>
        <w:t>有关这一项目的战略重点领域包括：提高经济权力、参与公共生活、领导和决策。为此，将建立相应的机制，以便与地方妇女组织有效地进行沟通，提高地方妇女组织的权力，促进妇女参政。</w:t>
      </w:r>
    </w:p>
    <w:p w:rsidR="00692915" w:rsidRDefault="00692915" w:rsidP="009A1C1B">
      <w:pPr>
        <w:tabs>
          <w:tab w:val="left" w:pos="1170"/>
        </w:tabs>
        <w:ind w:firstLine="31680"/>
        <w:rPr>
          <w:rFonts w:hint="eastAsia"/>
          <w:bCs/>
          <w:color w:val="000000"/>
        </w:rPr>
      </w:pPr>
      <w:r>
        <w:rPr>
          <w:bCs/>
          <w:color w:val="000000"/>
        </w:rPr>
        <w:t xml:space="preserve">514. </w:t>
      </w:r>
      <w:r>
        <w:rPr>
          <w:rFonts w:hint="eastAsia"/>
          <w:bCs/>
          <w:color w:val="000000"/>
        </w:rPr>
        <w:t>除了其他政府和对应的非政府组织外（例如核心小组），</w:t>
      </w:r>
      <w:r>
        <w:rPr>
          <w:bCs/>
          <w:color w:val="000000"/>
        </w:rPr>
        <w:t>促进平等事务总理顾问办公室</w:t>
      </w:r>
      <w:r>
        <w:rPr>
          <w:rFonts w:hint="eastAsia"/>
          <w:bCs/>
          <w:color w:val="000000"/>
        </w:rPr>
        <w:t>一直作为重要的伙伴，与妇发基金一起实施了一个方案，以促进东帝汶农村妇女的领导能力和参与国家建设。该方案为期</w:t>
      </w:r>
      <w:r>
        <w:rPr>
          <w:rFonts w:hint="eastAsia"/>
          <w:bCs/>
          <w:color w:val="000000"/>
        </w:rPr>
        <w:t>3</w:t>
      </w:r>
      <w:r>
        <w:rPr>
          <w:rFonts w:hint="eastAsia"/>
          <w:bCs/>
          <w:color w:val="000000"/>
        </w:rPr>
        <w:t>年（</w:t>
      </w:r>
      <w:r>
        <w:rPr>
          <w:bCs/>
          <w:color w:val="000000"/>
        </w:rPr>
        <w:t>2004</w:t>
      </w:r>
      <w:r>
        <w:rPr>
          <w:rFonts w:hint="eastAsia"/>
          <w:bCs/>
          <w:color w:val="000000"/>
        </w:rPr>
        <w:t>-</w:t>
      </w:r>
      <w:r>
        <w:rPr>
          <w:bCs/>
          <w:color w:val="000000"/>
        </w:rPr>
        <w:t>2007</w:t>
      </w:r>
      <w:r>
        <w:rPr>
          <w:rFonts w:hint="eastAsia"/>
          <w:bCs/>
          <w:color w:val="000000"/>
        </w:rPr>
        <w:t>年），旨在促进妇女参与，以便为独立的东帝汶确定一个以权利为基础，具有社会包容性和性别意识的社会、政治和法律体系。该方案极大地促进了妇女在地方选举和地方妇女领导人培训中的参与水平。</w:t>
      </w:r>
    </w:p>
    <w:p w:rsidR="00692915" w:rsidRDefault="00692915" w:rsidP="009A1C1B">
      <w:pPr>
        <w:tabs>
          <w:tab w:val="left" w:pos="1170"/>
        </w:tabs>
        <w:ind w:firstLine="31680"/>
        <w:rPr>
          <w:rFonts w:hint="eastAsia"/>
          <w:bCs/>
          <w:color w:val="000000"/>
        </w:rPr>
      </w:pPr>
      <w:r>
        <w:rPr>
          <w:bCs/>
          <w:color w:val="000000"/>
        </w:rPr>
        <w:t>515.</w:t>
      </w:r>
      <w:r>
        <w:rPr>
          <w:rFonts w:hint="eastAsia"/>
          <w:bCs/>
          <w:color w:val="000000"/>
        </w:rPr>
        <w:t xml:space="preserve"> </w:t>
      </w:r>
      <w:r>
        <w:rPr>
          <w:rFonts w:hint="eastAsia"/>
          <w:bCs/>
          <w:color w:val="000000"/>
        </w:rPr>
        <w:t>在撰写本报告之时，</w:t>
      </w:r>
      <w:r>
        <w:rPr>
          <w:bCs/>
          <w:color w:val="000000"/>
        </w:rPr>
        <w:t>促进平等事务总理顾问办公室</w:t>
      </w:r>
      <w:r>
        <w:rPr>
          <w:rFonts w:hint="eastAsia"/>
          <w:bCs/>
          <w:color w:val="000000"/>
        </w:rPr>
        <w:t>通过协助，为该项目取得以下方面的重要成就做出了贡献：</w:t>
      </w:r>
    </w:p>
    <w:p w:rsidR="00692915" w:rsidRDefault="00692915" w:rsidP="009A1C1B">
      <w:pPr>
        <w:numPr>
          <w:ilvl w:val="0"/>
          <w:numId w:val="6"/>
        </w:numPr>
        <w:tabs>
          <w:tab w:val="clear" w:pos="927"/>
          <w:tab w:val="left" w:pos="1690"/>
        </w:tabs>
        <w:ind w:leftChars="450" w:left="31680" w:hangingChars="200" w:firstLine="31680"/>
        <w:rPr>
          <w:bCs/>
          <w:color w:val="000000"/>
        </w:rPr>
      </w:pPr>
      <w:r>
        <w:rPr>
          <w:rFonts w:hint="eastAsia"/>
          <w:bCs/>
          <w:color w:val="000000"/>
        </w:rPr>
        <w:t>在</w:t>
      </w:r>
      <w:r>
        <w:rPr>
          <w:rFonts w:hint="eastAsia"/>
          <w:color w:val="000000"/>
          <w:lang w:bidi="th-TH"/>
        </w:rPr>
        <w:t>东帝汶</w:t>
      </w:r>
      <w:r>
        <w:rPr>
          <w:rFonts w:hint="eastAsia"/>
          <w:bCs/>
          <w:color w:val="000000"/>
        </w:rPr>
        <w:t>13</w:t>
      </w:r>
      <w:r>
        <w:rPr>
          <w:rFonts w:hint="eastAsia"/>
          <w:bCs/>
          <w:color w:val="000000"/>
        </w:rPr>
        <w:t>个地区中的</w:t>
      </w:r>
      <w:r>
        <w:rPr>
          <w:rFonts w:hint="eastAsia"/>
          <w:bCs/>
          <w:color w:val="000000"/>
        </w:rPr>
        <w:t>12</w:t>
      </w:r>
      <w:r>
        <w:rPr>
          <w:rFonts w:hint="eastAsia"/>
          <w:bCs/>
          <w:color w:val="000000"/>
        </w:rPr>
        <w:t>个地区，为</w:t>
      </w:r>
      <w:r>
        <w:rPr>
          <w:bCs/>
          <w:color w:val="000000"/>
        </w:rPr>
        <w:t>1,265</w:t>
      </w:r>
      <w:r>
        <w:rPr>
          <w:rFonts w:hint="eastAsia"/>
          <w:bCs/>
          <w:color w:val="000000"/>
        </w:rPr>
        <w:t>名潜在女候选人和入选女官员提供了培训，培训内容涉及革新领导能力、政治和社区；</w:t>
      </w:r>
    </w:p>
    <w:p w:rsidR="00692915" w:rsidRDefault="00692915" w:rsidP="009A1C1B">
      <w:pPr>
        <w:numPr>
          <w:ilvl w:val="0"/>
          <w:numId w:val="6"/>
        </w:numPr>
        <w:tabs>
          <w:tab w:val="clear" w:pos="927"/>
          <w:tab w:val="left" w:pos="1690"/>
        </w:tabs>
        <w:ind w:leftChars="450" w:left="31680" w:hangingChars="200" w:firstLine="31680"/>
        <w:rPr>
          <w:bCs/>
          <w:color w:val="000000"/>
        </w:rPr>
      </w:pPr>
      <w:r>
        <w:rPr>
          <w:rFonts w:hint="eastAsia"/>
          <w:bCs/>
          <w:color w:val="000000"/>
        </w:rPr>
        <w:t>另外，在</w:t>
      </w:r>
      <w:r>
        <w:rPr>
          <w:rFonts w:hint="eastAsia"/>
          <w:bCs/>
          <w:color w:val="000000"/>
        </w:rPr>
        <w:t>9</w:t>
      </w:r>
      <w:r>
        <w:rPr>
          <w:rFonts w:hint="eastAsia"/>
          <w:bCs/>
          <w:color w:val="000000"/>
        </w:rPr>
        <w:t>个地区，为乡委员会的</w:t>
      </w:r>
      <w:r>
        <w:rPr>
          <w:rFonts w:hint="eastAsia"/>
          <w:bCs/>
          <w:color w:val="000000"/>
        </w:rPr>
        <w:t>514</w:t>
      </w:r>
      <w:r>
        <w:rPr>
          <w:rFonts w:hint="eastAsia"/>
          <w:bCs/>
          <w:color w:val="000000"/>
        </w:rPr>
        <w:t>名妇女官员提供了培训；</w:t>
      </w:r>
    </w:p>
    <w:p w:rsidR="00692915" w:rsidRDefault="00692915" w:rsidP="009A1C1B">
      <w:pPr>
        <w:numPr>
          <w:ilvl w:val="0"/>
          <w:numId w:val="6"/>
        </w:numPr>
        <w:tabs>
          <w:tab w:val="clear" w:pos="927"/>
          <w:tab w:val="left" w:pos="1690"/>
        </w:tabs>
        <w:ind w:leftChars="450" w:left="31680" w:hangingChars="200" w:firstLine="31680"/>
        <w:rPr>
          <w:bCs/>
          <w:color w:val="000000"/>
        </w:rPr>
      </w:pPr>
      <w:r>
        <w:rPr>
          <w:rFonts w:hint="eastAsia"/>
          <w:color w:val="000000"/>
          <w:lang w:bidi="th-TH"/>
        </w:rPr>
        <w:t>编写</w:t>
      </w:r>
      <w:r>
        <w:rPr>
          <w:rFonts w:hint="eastAsia"/>
          <w:bCs/>
          <w:color w:val="000000"/>
        </w:rPr>
        <w:t>、制作和分发乡委员会选举宣传资料，以提高妇女意识，促进妇女积极参与乡选举活动，其中包括有关该方案的传单和宣传手册。除了电台和电视广播外，东帝汶总统还在其公开演说词中重点关注了妇女问题，鼓励妇女作为候选人参与选举活动，并在选举活动中行使其投票权；</w:t>
      </w:r>
    </w:p>
    <w:p w:rsidR="00692915" w:rsidRDefault="00692915" w:rsidP="009A1C1B">
      <w:pPr>
        <w:numPr>
          <w:ilvl w:val="0"/>
          <w:numId w:val="6"/>
        </w:numPr>
        <w:tabs>
          <w:tab w:val="clear" w:pos="927"/>
          <w:tab w:val="left" w:pos="1690"/>
        </w:tabs>
        <w:ind w:leftChars="450" w:left="31680" w:hangingChars="200" w:firstLine="31680"/>
        <w:rPr>
          <w:bCs/>
          <w:color w:val="000000"/>
        </w:rPr>
      </w:pPr>
      <w:r>
        <w:rPr>
          <w:rFonts w:hint="eastAsia"/>
          <w:bCs/>
          <w:color w:val="000000"/>
        </w:rPr>
        <w:t>在几个地区中，对</w:t>
      </w:r>
      <w:r>
        <w:rPr>
          <w:rFonts w:hint="eastAsia"/>
          <w:bCs/>
          <w:color w:val="000000"/>
        </w:rPr>
        <w:t>125</w:t>
      </w:r>
      <w:r>
        <w:rPr>
          <w:rFonts w:hint="eastAsia"/>
          <w:bCs/>
          <w:color w:val="000000"/>
        </w:rPr>
        <w:t>名入选女官员的培训需求进行了评估。这些官员指出，目前有关其领导技能的培训最好将以下方面作为重点：启动社区活动、人员管理、提高演讲信心、召开会议和撰写报告、公民教育等。还通过与</w:t>
      </w:r>
      <w:r>
        <w:rPr>
          <w:rFonts w:hint="eastAsia"/>
          <w:bCs/>
          <w:color w:val="000000"/>
        </w:rPr>
        <w:t>8</w:t>
      </w:r>
      <w:r>
        <w:rPr>
          <w:rFonts w:hint="eastAsia"/>
          <w:bCs/>
          <w:color w:val="000000"/>
        </w:rPr>
        <w:t>个地区的女候选人的情况报对这类需求同时进行评估。没有入选的妇女表示愿意继续参与，并为入选的女候选人提供支持；</w:t>
      </w:r>
    </w:p>
    <w:p w:rsidR="00692915" w:rsidRDefault="00692915" w:rsidP="009A1C1B">
      <w:pPr>
        <w:numPr>
          <w:ilvl w:val="0"/>
          <w:numId w:val="6"/>
        </w:numPr>
        <w:tabs>
          <w:tab w:val="clear" w:pos="927"/>
          <w:tab w:val="left" w:pos="1690"/>
        </w:tabs>
        <w:spacing w:after="240"/>
        <w:ind w:leftChars="450" w:left="31680" w:hangingChars="200" w:firstLine="31680"/>
        <w:rPr>
          <w:bCs/>
          <w:color w:val="000000"/>
        </w:rPr>
      </w:pPr>
      <w:r>
        <w:rPr>
          <w:rFonts w:hint="eastAsia"/>
          <w:bCs/>
          <w:color w:val="000000"/>
        </w:rPr>
        <w:t>与</w:t>
      </w:r>
      <w:r>
        <w:rPr>
          <w:rFonts w:hint="eastAsia"/>
          <w:color w:val="000000"/>
          <w:lang w:bidi="th-TH"/>
        </w:rPr>
        <w:t>一个</w:t>
      </w:r>
      <w:r>
        <w:rPr>
          <w:rFonts w:hint="eastAsia"/>
          <w:bCs/>
          <w:color w:val="000000"/>
        </w:rPr>
        <w:t>研究机构一起合作，重点针对贫穷女性化的问题，进行了一项关于农村妇女状况的基线研究，以便政府能够将农村妇女的社会经济状况、需求和权利纳入考虑，并在这个基础上确定相应的计划、方案、政策和预算拨款。</w:t>
      </w:r>
    </w:p>
    <w:p w:rsidR="00692915" w:rsidRDefault="00692915" w:rsidP="009A1C1B">
      <w:pPr>
        <w:tabs>
          <w:tab w:val="left" w:pos="1170"/>
        </w:tabs>
        <w:ind w:firstLine="31680"/>
        <w:rPr>
          <w:rFonts w:hint="eastAsia"/>
          <w:bCs/>
          <w:color w:val="000000"/>
        </w:rPr>
      </w:pPr>
      <w:r>
        <w:rPr>
          <w:bCs/>
          <w:color w:val="000000"/>
        </w:rPr>
        <w:t>516.</w:t>
      </w:r>
      <w:r>
        <w:rPr>
          <w:rFonts w:hint="eastAsia"/>
          <w:bCs/>
          <w:color w:val="000000"/>
        </w:rPr>
        <w:t xml:space="preserve"> </w:t>
      </w:r>
      <w:r>
        <w:rPr>
          <w:rFonts w:hint="eastAsia"/>
          <w:bCs/>
          <w:color w:val="000000"/>
        </w:rPr>
        <w:t>根据该方案，国务部国家领土管理总局正在与那些不是乡委会成员的</w:t>
      </w:r>
      <w:r>
        <w:rPr>
          <w:rFonts w:eastAsia="KaiTi_GB2312" w:hint="eastAsia"/>
          <w:bCs/>
          <w:color w:val="000000"/>
        </w:rPr>
        <w:t>村</w:t>
      </w:r>
      <w:r>
        <w:rPr>
          <w:rFonts w:hint="eastAsia"/>
          <w:bCs/>
          <w:color w:val="000000"/>
        </w:rPr>
        <w:t>女领导人一起，进行了一系列有关入职和信息传播方面的宣传。该宣传将覆盖</w:t>
      </w:r>
      <w:r>
        <w:rPr>
          <w:rFonts w:hint="eastAsia"/>
          <w:bCs/>
          <w:color w:val="000000"/>
        </w:rPr>
        <w:t>13</w:t>
      </w:r>
      <w:r>
        <w:rPr>
          <w:rFonts w:hint="eastAsia"/>
          <w:bCs/>
          <w:color w:val="000000"/>
        </w:rPr>
        <w:t>个地区，包括召开有关以下方面的各种会议：性别与文化、革新领导能力的概念与原则、政府组织（重点关注其与地区、县、村或乡之间的关系）、乡委会的职能等。目前，已经在</w:t>
      </w:r>
      <w:r>
        <w:rPr>
          <w:rFonts w:hint="eastAsia"/>
          <w:bCs/>
          <w:color w:val="000000"/>
        </w:rPr>
        <w:t>8</w:t>
      </w:r>
      <w:r>
        <w:rPr>
          <w:rFonts w:hint="eastAsia"/>
          <w:bCs/>
          <w:color w:val="000000"/>
        </w:rPr>
        <w:t>个地区培训了</w:t>
      </w:r>
      <w:r>
        <w:rPr>
          <w:bCs/>
          <w:color w:val="000000"/>
        </w:rPr>
        <w:t>1</w:t>
      </w:r>
      <w:r>
        <w:rPr>
          <w:rFonts w:hint="eastAsia"/>
          <w:bCs/>
          <w:color w:val="000000"/>
        </w:rPr>
        <w:t xml:space="preserve"> </w:t>
      </w:r>
      <w:r>
        <w:rPr>
          <w:bCs/>
          <w:color w:val="000000"/>
        </w:rPr>
        <w:t>274</w:t>
      </w:r>
      <w:r>
        <w:rPr>
          <w:rFonts w:hint="eastAsia"/>
          <w:bCs/>
          <w:color w:val="000000"/>
        </w:rPr>
        <w:t>名女领导人。</w:t>
      </w:r>
    </w:p>
    <w:p w:rsidR="00692915" w:rsidRDefault="00692915" w:rsidP="009A1C1B">
      <w:pPr>
        <w:tabs>
          <w:tab w:val="left" w:pos="1170"/>
        </w:tabs>
        <w:ind w:firstLine="31680"/>
        <w:rPr>
          <w:rFonts w:hint="eastAsia"/>
          <w:bCs/>
          <w:color w:val="000000"/>
        </w:rPr>
      </w:pPr>
      <w:r>
        <w:rPr>
          <w:bCs/>
          <w:color w:val="000000"/>
        </w:rPr>
        <w:t>517.</w:t>
      </w:r>
      <w:r>
        <w:rPr>
          <w:rFonts w:hint="eastAsia"/>
          <w:bCs/>
          <w:color w:val="000000"/>
        </w:rPr>
        <w:t xml:space="preserve"> </w:t>
      </w:r>
      <w:r>
        <w:rPr>
          <w:rFonts w:hint="eastAsia"/>
          <w:bCs/>
          <w:color w:val="000000"/>
        </w:rPr>
        <w:t>除了在政府组织中的职位外，妇女还广泛参与了非政府部门、游说团体和组织的活动，在很多情况下，还担任了管理职位。在东帝汶，专门从事妇女问题和一般社会问题的妇女非政府组织广受公众和政府的尊重。在由政府建立的咨询机构和工作组中（例如：在弱势人员保护工作组、国家人权行动计划工作组和国家警务发展工作组中），有很多代表来自妇女组织以及妇女领导的组织。同样，一些妇女团体（例如：东帝汶妇女网）也在促进妇女参政方面发挥了关键作用。第二次东帝汶全国妇女大会</w:t>
      </w:r>
      <w:r>
        <w:rPr>
          <w:rStyle w:val="FootnoteReference"/>
          <w:bCs/>
          <w:color w:val="000000"/>
        </w:rPr>
        <w:footnoteReference w:id="273"/>
      </w:r>
      <w:r>
        <w:rPr>
          <w:rFonts w:hint="eastAsia"/>
          <w:bCs/>
          <w:color w:val="000000"/>
        </w:rPr>
        <w:t>的与会人员要求在决策机构中为妇女至少确保</w:t>
      </w:r>
      <w:r>
        <w:rPr>
          <w:rFonts w:hint="eastAsia"/>
          <w:bCs/>
          <w:color w:val="000000"/>
        </w:rPr>
        <w:t>30%</w:t>
      </w:r>
      <w:r>
        <w:rPr>
          <w:rFonts w:hint="eastAsia"/>
          <w:bCs/>
          <w:color w:val="000000"/>
        </w:rPr>
        <w:t>的名额，并呼吁采取平等权利行动和提供充分的财力，以促进妇女参政。他们推选了</w:t>
      </w:r>
      <w:r>
        <w:rPr>
          <w:rFonts w:hint="eastAsia"/>
          <w:bCs/>
          <w:color w:val="000000"/>
        </w:rPr>
        <w:t>3</w:t>
      </w:r>
      <w:r>
        <w:rPr>
          <w:rFonts w:hint="eastAsia"/>
          <w:bCs/>
          <w:color w:val="000000"/>
        </w:rPr>
        <w:t>名独立的国家候选人，但是没有一名入选。另外，</w:t>
      </w:r>
      <w:r>
        <w:rPr>
          <w:rFonts w:hint="eastAsia"/>
          <w:color w:val="000000"/>
        </w:rPr>
        <w:t>妇女网代表进行了游说，要求在制宪议会中对妇女实行配额制度，这一要求最后被否决，但尽管如此，由于这次游说旨在引起各级对妇女参政的关注，所以最终使</w:t>
      </w:r>
      <w:r>
        <w:rPr>
          <w:rFonts w:hint="eastAsia"/>
          <w:color w:val="000000"/>
        </w:rPr>
        <w:t>25%</w:t>
      </w:r>
      <w:r>
        <w:rPr>
          <w:rFonts w:hint="eastAsia"/>
          <w:color w:val="000000"/>
        </w:rPr>
        <w:t>以上的女成员入选制宪大会。</w:t>
      </w:r>
    </w:p>
    <w:p w:rsidR="00692915" w:rsidRDefault="00692915" w:rsidP="009A1C1B">
      <w:pPr>
        <w:tabs>
          <w:tab w:val="left" w:pos="1170"/>
        </w:tabs>
        <w:spacing w:after="240"/>
        <w:ind w:firstLine="31680"/>
        <w:rPr>
          <w:rFonts w:hint="eastAsia"/>
          <w:bCs/>
          <w:color w:val="000000"/>
        </w:rPr>
      </w:pPr>
      <w:r>
        <w:rPr>
          <w:bCs/>
          <w:color w:val="000000"/>
        </w:rPr>
        <w:t>518.</w:t>
      </w:r>
      <w:r>
        <w:rPr>
          <w:bCs/>
          <w:color w:val="000000"/>
        </w:rPr>
        <w:tab/>
      </w:r>
      <w:r>
        <w:rPr>
          <w:rFonts w:hint="eastAsia"/>
          <w:bCs/>
          <w:color w:val="000000"/>
        </w:rPr>
        <w:t>最近，</w:t>
      </w:r>
      <w:r>
        <w:rPr>
          <w:bCs/>
          <w:color w:val="000000"/>
        </w:rPr>
        <w:t>妇发基金</w:t>
      </w:r>
      <w:r>
        <w:rPr>
          <w:rFonts w:hint="eastAsia"/>
          <w:bCs/>
          <w:color w:val="000000"/>
        </w:rPr>
        <w:t>与</w:t>
      </w:r>
      <w:r>
        <w:rPr>
          <w:bCs/>
          <w:color w:val="000000"/>
        </w:rPr>
        <w:t>促进平等事务总理顾问办公室</w:t>
      </w:r>
      <w:r>
        <w:rPr>
          <w:rFonts w:hint="eastAsia"/>
          <w:bCs/>
          <w:color w:val="000000"/>
        </w:rPr>
        <w:t>和</w:t>
      </w:r>
      <w:r>
        <w:rPr>
          <w:bCs/>
          <w:color w:val="000000"/>
        </w:rPr>
        <w:t>东帝汶妇女通讯论坛</w:t>
      </w:r>
      <w:r>
        <w:rPr>
          <w:rFonts w:hint="eastAsia"/>
          <w:bCs/>
          <w:color w:val="000000"/>
        </w:rPr>
        <w:t>一起进行了一项筹备工作，以便对</w:t>
      </w:r>
      <w:r>
        <w:rPr>
          <w:rFonts w:hint="eastAsia"/>
          <w:bCs/>
          <w:color w:val="000000"/>
        </w:rPr>
        <w:t>2007</w:t>
      </w:r>
      <w:r>
        <w:rPr>
          <w:rFonts w:hint="eastAsia"/>
          <w:bCs/>
          <w:color w:val="000000"/>
        </w:rPr>
        <w:t>年的立法和总统选举中妇女的参选必要性进行评估。筹备阶段的工作包括：与妇女组织和决策者一起组织论坛，以提供相关信息对临时性特别措施和平等权利行动进行讨论；动员妇女投票，搭建妇女平台，发挥政党作用，以促进和确保妇女参政。各种论坛也为达成以上方面的共识发挥了作用，当然，除了妇女参与未来选举的其他需求外，还需要赋予妇女参与这些活动的权力。</w:t>
      </w:r>
    </w:p>
    <w:p w:rsidR="00692915" w:rsidRDefault="00692915">
      <w:pPr>
        <w:pStyle w:val="Heading3"/>
        <w:tabs>
          <w:tab w:val="left" w:pos="1170"/>
        </w:tabs>
        <w:jc w:val="both"/>
        <w:rPr>
          <w:rFonts w:eastAsia="KaiTi_GB2312" w:hint="eastAsia"/>
          <w:bCs/>
          <w:color w:val="000000"/>
          <w:szCs w:val="24"/>
          <w:u w:val="none"/>
        </w:rPr>
      </w:pPr>
      <w:r>
        <w:rPr>
          <w:rFonts w:eastAsia="KaiTi_GB2312" w:hint="eastAsia"/>
          <w:bCs/>
          <w:color w:val="000000"/>
          <w:szCs w:val="24"/>
          <w:u w:val="none"/>
        </w:rPr>
        <w:t>移民参政</w:t>
      </w:r>
    </w:p>
    <w:p w:rsidR="00692915" w:rsidRDefault="00692915" w:rsidP="009A1C1B">
      <w:pPr>
        <w:tabs>
          <w:tab w:val="left" w:pos="1170"/>
        </w:tabs>
        <w:ind w:firstLine="31680"/>
        <w:rPr>
          <w:rFonts w:hint="eastAsia"/>
          <w:bCs/>
          <w:color w:val="000000"/>
        </w:rPr>
      </w:pPr>
      <w:r>
        <w:rPr>
          <w:rFonts w:eastAsia="PMingLiU"/>
          <w:bCs/>
          <w:color w:val="000000"/>
        </w:rPr>
        <w:t>519.</w:t>
      </w:r>
      <w:r>
        <w:rPr>
          <w:rFonts w:hint="eastAsia"/>
          <w:bCs/>
          <w:color w:val="000000"/>
        </w:rPr>
        <w:t xml:space="preserve"> </w:t>
      </w:r>
      <w:r>
        <w:rPr>
          <w:rFonts w:hint="eastAsia"/>
          <w:bCs/>
          <w:color w:val="000000"/>
        </w:rPr>
        <w:t>移民促进了东帝汶的民族多元化，通常情况下，都能为国家的增长和发展做出有益的贡献。实际上，东帝汶目前正在采取措施促进外商投资和外籍工作人员支持东帝汶实现国家发展的宏伟计划。</w:t>
      </w:r>
    </w:p>
    <w:p w:rsidR="00692915" w:rsidRDefault="00692915" w:rsidP="009A1C1B">
      <w:pPr>
        <w:tabs>
          <w:tab w:val="left" w:pos="1170"/>
        </w:tabs>
        <w:ind w:firstLine="31680"/>
        <w:rPr>
          <w:rFonts w:hint="eastAsia"/>
          <w:bCs/>
          <w:color w:val="000000"/>
        </w:rPr>
      </w:pPr>
      <w:r>
        <w:rPr>
          <w:rFonts w:eastAsia="PMingLiU"/>
          <w:bCs/>
          <w:color w:val="000000"/>
        </w:rPr>
        <w:t>520.</w:t>
      </w:r>
      <w:r>
        <w:rPr>
          <w:rFonts w:eastAsia="PMingLiU"/>
          <w:bCs/>
          <w:color w:val="000000"/>
        </w:rPr>
        <w:tab/>
      </w:r>
      <w:r>
        <w:rPr>
          <w:rFonts w:hint="eastAsia"/>
          <w:bCs/>
          <w:color w:val="000000"/>
        </w:rPr>
        <w:t>从总体上来说，除了一些重要的例外情况外，移民几乎享有东帝汶国民具有的全部权利和自由。其中一个例外就是参政。《宪法》第</w:t>
      </w:r>
      <w:r>
        <w:rPr>
          <w:rFonts w:hint="eastAsia"/>
          <w:bCs/>
          <w:color w:val="000000"/>
        </w:rPr>
        <w:t>46</w:t>
      </w:r>
      <w:r>
        <w:rPr>
          <w:rFonts w:hint="eastAsia"/>
          <w:bCs/>
          <w:color w:val="000000"/>
        </w:rPr>
        <w:t>条规定，只有帝汶国民才有权参政。《移民及庇护法》第</w:t>
      </w:r>
      <w:r>
        <w:rPr>
          <w:rFonts w:hint="eastAsia"/>
          <w:bCs/>
          <w:color w:val="000000"/>
        </w:rPr>
        <w:t>11</w:t>
      </w:r>
      <w:r>
        <w:rPr>
          <w:rFonts w:hint="eastAsia"/>
          <w:bCs/>
          <w:color w:val="000000"/>
        </w:rPr>
        <w:t>条明确规定：外籍国民不得从事政治性的活动；不得直接或间接干预国家事务；不得组织或参与示威游行；不得进行游行集会和参与政治性的会议。</w:t>
      </w:r>
    </w:p>
    <w:p w:rsidR="00692915" w:rsidRDefault="00692915" w:rsidP="009A1C1B">
      <w:pPr>
        <w:tabs>
          <w:tab w:val="left" w:pos="1170"/>
        </w:tabs>
        <w:ind w:firstLine="31680"/>
        <w:rPr>
          <w:rFonts w:hint="eastAsia"/>
          <w:bCs/>
          <w:color w:val="000000"/>
        </w:rPr>
      </w:pPr>
      <w:r>
        <w:rPr>
          <w:rFonts w:eastAsia="PMingLiU"/>
          <w:bCs/>
          <w:color w:val="000000"/>
        </w:rPr>
        <w:t>521.</w:t>
      </w:r>
      <w:r>
        <w:rPr>
          <w:rFonts w:eastAsia="PMingLiU"/>
          <w:bCs/>
          <w:color w:val="000000"/>
        </w:rPr>
        <w:tab/>
      </w:r>
      <w:r>
        <w:rPr>
          <w:rFonts w:hint="eastAsia"/>
          <w:bCs/>
          <w:color w:val="000000"/>
        </w:rPr>
        <w:t xml:space="preserve"> </w:t>
      </w:r>
      <w:r>
        <w:rPr>
          <w:rFonts w:hint="eastAsia"/>
          <w:bCs/>
          <w:color w:val="000000"/>
        </w:rPr>
        <w:t>这种限制性规定是全世界通行的做法，旨在确保那些参与国家政策决策以及具有政治取向活动的人员是那些目前与东帝汶有直接联系，并受制于帝汶公民义务与责任的个人。</w:t>
      </w:r>
    </w:p>
    <w:p w:rsidR="00692915" w:rsidRDefault="00692915">
      <w:pPr>
        <w:pStyle w:val="Heading2"/>
        <w:tabs>
          <w:tab w:val="left" w:pos="520"/>
        </w:tabs>
        <w:rPr>
          <w:b/>
          <w:color w:val="000000"/>
          <w:sz w:val="24"/>
        </w:rPr>
      </w:pPr>
      <w:bookmarkStart w:id="90" w:name="_Toc150514991"/>
      <w:bookmarkStart w:id="91" w:name="_Toc150684894"/>
      <w:r>
        <w:rPr>
          <w:color w:val="000000"/>
          <w:sz w:val="24"/>
        </w:rPr>
        <w:t xml:space="preserve">D. </w:t>
      </w:r>
      <w:r>
        <w:rPr>
          <w:rFonts w:hint="eastAsia"/>
          <w:color w:val="000000"/>
          <w:sz w:val="24"/>
          <w:u w:val="single"/>
        </w:rPr>
        <w:t>社会经济事务</w:t>
      </w:r>
      <w:r>
        <w:rPr>
          <w:rStyle w:val="FootnoteReference"/>
          <w:bCs/>
          <w:color w:val="000000"/>
          <w:szCs w:val="24"/>
        </w:rPr>
        <w:footnoteReference w:id="274"/>
      </w:r>
      <w:bookmarkEnd w:id="90"/>
      <w:bookmarkEnd w:id="91"/>
    </w:p>
    <w:p w:rsidR="00692915" w:rsidRDefault="00692915">
      <w:pPr>
        <w:pStyle w:val="Heading2"/>
        <w:tabs>
          <w:tab w:val="left" w:pos="520"/>
        </w:tabs>
        <w:jc w:val="both"/>
        <w:rPr>
          <w:rFonts w:hint="eastAsia"/>
          <w:color w:val="000000"/>
          <w:sz w:val="24"/>
        </w:rPr>
      </w:pPr>
      <w:bookmarkStart w:id="92" w:name="_Toc150514992"/>
      <w:bookmarkStart w:id="93" w:name="_Toc150684895"/>
      <w:r>
        <w:rPr>
          <w:color w:val="000000"/>
          <w:sz w:val="24"/>
        </w:rPr>
        <w:t xml:space="preserve">1.  </w:t>
      </w:r>
      <w:bookmarkEnd w:id="92"/>
      <w:bookmarkEnd w:id="93"/>
      <w:r>
        <w:rPr>
          <w:rFonts w:hint="eastAsia"/>
          <w:color w:val="000000"/>
          <w:sz w:val="24"/>
          <w:u w:val="single"/>
        </w:rPr>
        <w:t>适当的生活水平</w:t>
      </w:r>
    </w:p>
    <w:p w:rsidR="00692915" w:rsidRDefault="00692915" w:rsidP="009A1C1B">
      <w:pPr>
        <w:tabs>
          <w:tab w:val="left" w:pos="1170"/>
        </w:tabs>
        <w:autoSpaceDE w:val="0"/>
        <w:autoSpaceDN w:val="0"/>
        <w:ind w:firstLine="31680"/>
        <w:rPr>
          <w:rFonts w:hint="eastAsia"/>
          <w:bCs/>
          <w:color w:val="000000"/>
        </w:rPr>
      </w:pPr>
      <w:r>
        <w:rPr>
          <w:bCs/>
          <w:color w:val="000000"/>
        </w:rPr>
        <w:t>522.</w:t>
      </w:r>
      <w:r>
        <w:rPr>
          <w:bCs/>
          <w:color w:val="000000"/>
        </w:rPr>
        <w:tab/>
      </w:r>
      <w:r>
        <w:rPr>
          <w:rFonts w:hint="eastAsia"/>
          <w:bCs/>
          <w:color w:val="000000"/>
        </w:rPr>
        <w:t>自</w:t>
      </w:r>
      <w:r>
        <w:rPr>
          <w:rFonts w:hint="eastAsia"/>
          <w:bCs/>
          <w:color w:val="000000"/>
        </w:rPr>
        <w:t>1999</w:t>
      </w:r>
      <w:r>
        <w:rPr>
          <w:rFonts w:hint="eastAsia"/>
          <w:bCs/>
          <w:color w:val="000000"/>
        </w:rPr>
        <w:t>年以来，政府机构和基础设施建设取得了很大进展，但尽管如此，东帝汶仍然面临着艰巨挑战，依然是东亚最不发达的国家之一。贫困问题严重，人力与实物资本匮乏。</w:t>
      </w:r>
    </w:p>
    <w:p w:rsidR="00692915" w:rsidRDefault="00692915" w:rsidP="009A1C1B">
      <w:pPr>
        <w:tabs>
          <w:tab w:val="left" w:pos="1170"/>
        </w:tabs>
        <w:autoSpaceDE w:val="0"/>
        <w:autoSpaceDN w:val="0"/>
        <w:ind w:firstLine="31680"/>
        <w:rPr>
          <w:rFonts w:hint="eastAsia"/>
          <w:bCs/>
          <w:color w:val="000000"/>
        </w:rPr>
      </w:pPr>
      <w:r>
        <w:rPr>
          <w:bCs/>
          <w:color w:val="000000"/>
        </w:rPr>
        <w:t xml:space="preserve">523. </w:t>
      </w:r>
      <w:r>
        <w:rPr>
          <w:rFonts w:hint="eastAsia"/>
          <w:bCs/>
          <w:color w:val="000000"/>
        </w:rPr>
        <w:t>东帝汶是一个新成立的国家，也是一个年轻人的国家，</w:t>
      </w:r>
      <w:r>
        <w:rPr>
          <w:rFonts w:hint="eastAsia"/>
          <w:bCs/>
          <w:color w:val="000000"/>
        </w:rPr>
        <w:t>18</w:t>
      </w:r>
      <w:r>
        <w:rPr>
          <w:rFonts w:hint="eastAsia"/>
          <w:bCs/>
          <w:color w:val="000000"/>
        </w:rPr>
        <w:t>岁以下的人口占东帝汶总人口的二分之一，</w:t>
      </w:r>
      <w:r>
        <w:rPr>
          <w:rFonts w:hint="eastAsia"/>
          <w:bCs/>
          <w:color w:val="000000"/>
        </w:rPr>
        <w:t>5</w:t>
      </w:r>
      <w:r>
        <w:rPr>
          <w:rFonts w:hint="eastAsia"/>
          <w:bCs/>
          <w:color w:val="000000"/>
        </w:rPr>
        <w:t>岁或</w:t>
      </w:r>
      <w:r>
        <w:rPr>
          <w:rFonts w:hint="eastAsia"/>
          <w:bCs/>
          <w:color w:val="000000"/>
        </w:rPr>
        <w:t>5</w:t>
      </w:r>
      <w:r>
        <w:rPr>
          <w:rFonts w:hint="eastAsia"/>
          <w:bCs/>
          <w:color w:val="000000"/>
        </w:rPr>
        <w:t>岁以下的儿童占</w:t>
      </w:r>
      <w:r>
        <w:rPr>
          <w:rFonts w:hint="eastAsia"/>
          <w:bCs/>
          <w:color w:val="000000"/>
        </w:rPr>
        <w:t>20%</w:t>
      </w:r>
      <w:r>
        <w:rPr>
          <w:rFonts w:hint="eastAsia"/>
          <w:bCs/>
          <w:color w:val="000000"/>
        </w:rPr>
        <w:t>左右。截止</w:t>
      </w:r>
      <w:r>
        <w:rPr>
          <w:rFonts w:hint="eastAsia"/>
          <w:bCs/>
          <w:color w:val="000000"/>
        </w:rPr>
        <w:t>2004</w:t>
      </w:r>
      <w:r>
        <w:rPr>
          <w:rFonts w:hint="eastAsia"/>
          <w:bCs/>
          <w:color w:val="000000"/>
        </w:rPr>
        <w:t>年，东帝汶人口为</w:t>
      </w:r>
      <w:r>
        <w:rPr>
          <w:bCs/>
          <w:color w:val="000000"/>
        </w:rPr>
        <w:t>923,198</w:t>
      </w:r>
      <w:r>
        <w:rPr>
          <w:rFonts w:hint="eastAsia"/>
          <w:bCs/>
          <w:color w:val="000000"/>
        </w:rPr>
        <w:t>人，其中</w:t>
      </w:r>
      <w:r>
        <w:rPr>
          <w:rFonts w:hint="eastAsia"/>
          <w:bCs/>
          <w:color w:val="000000"/>
        </w:rPr>
        <w:t>77%</w:t>
      </w:r>
      <w:r>
        <w:rPr>
          <w:rFonts w:hint="eastAsia"/>
          <w:bCs/>
          <w:color w:val="000000"/>
        </w:rPr>
        <w:t>的人口生活在农村地区。男性与女性的比例为</w:t>
      </w:r>
      <w:r>
        <w:rPr>
          <w:rFonts w:hint="eastAsia"/>
          <w:bCs/>
          <w:color w:val="000000"/>
        </w:rPr>
        <w:t>103:100</w:t>
      </w:r>
      <w:r>
        <w:rPr>
          <w:rFonts w:hint="eastAsia"/>
          <w:bCs/>
          <w:color w:val="000000"/>
        </w:rPr>
        <w:t>，平均预期寿命为</w:t>
      </w:r>
      <w:r>
        <w:rPr>
          <w:bCs/>
          <w:color w:val="000000"/>
        </w:rPr>
        <w:t>55.6</w:t>
      </w:r>
      <w:r>
        <w:rPr>
          <w:rFonts w:hint="eastAsia"/>
          <w:bCs/>
          <w:color w:val="000000"/>
        </w:rPr>
        <w:t>岁。</w:t>
      </w:r>
      <w:r>
        <w:rPr>
          <w:rStyle w:val="FootnoteReference"/>
          <w:bCs/>
          <w:color w:val="000000"/>
        </w:rPr>
        <w:footnoteReference w:id="275"/>
      </w:r>
      <w:r>
        <w:rPr>
          <w:rFonts w:hint="eastAsia"/>
          <w:bCs/>
          <w:color w:val="000000"/>
        </w:rPr>
        <w:t>生育率为每位妇女生育</w:t>
      </w:r>
      <w:r>
        <w:rPr>
          <w:rFonts w:hint="eastAsia"/>
          <w:bCs/>
          <w:color w:val="000000"/>
        </w:rPr>
        <w:t>7</w:t>
      </w:r>
      <w:r>
        <w:rPr>
          <w:rFonts w:hint="eastAsia"/>
          <w:bCs/>
          <w:color w:val="000000"/>
        </w:rPr>
        <w:t>个子女，在发展中国家位居前列。生育率高说明东帝汶人口将会迅速增长，这将会给各种基本的社会服务带来巨大压力，而这些服务是确保儿童长大成人和长久未来的繁荣所必须的。</w:t>
      </w:r>
    </w:p>
    <w:p w:rsidR="00692915" w:rsidRDefault="00692915" w:rsidP="009A1C1B">
      <w:pPr>
        <w:tabs>
          <w:tab w:val="left" w:pos="1170"/>
        </w:tabs>
        <w:ind w:firstLine="31680"/>
        <w:rPr>
          <w:rFonts w:hint="eastAsia"/>
          <w:bCs/>
          <w:color w:val="000000"/>
        </w:rPr>
      </w:pPr>
      <w:r>
        <w:rPr>
          <w:bCs/>
          <w:color w:val="000000"/>
        </w:rPr>
        <w:t>524.</w:t>
      </w:r>
      <w:r>
        <w:rPr>
          <w:rFonts w:hint="eastAsia"/>
          <w:bCs/>
          <w:color w:val="000000"/>
        </w:rPr>
        <w:tab/>
      </w:r>
      <w:r>
        <w:rPr>
          <w:rFonts w:hint="eastAsia"/>
          <w:bCs/>
          <w:color w:val="000000"/>
        </w:rPr>
        <w:t>东帝汶政府、世界银行、亚洲开发银行、</w:t>
      </w:r>
      <w:r>
        <w:rPr>
          <w:bCs/>
          <w:color w:val="000000"/>
        </w:rPr>
        <w:t>开发计划署</w:t>
      </w:r>
      <w:r>
        <w:rPr>
          <w:rFonts w:hint="eastAsia"/>
          <w:bCs/>
          <w:color w:val="000000"/>
        </w:rPr>
        <w:t>、</w:t>
      </w:r>
      <w:r>
        <w:rPr>
          <w:bCs/>
          <w:color w:val="000000"/>
        </w:rPr>
        <w:t>儿童基金会</w:t>
      </w:r>
      <w:r>
        <w:rPr>
          <w:rFonts w:hint="eastAsia"/>
          <w:bCs/>
          <w:color w:val="000000"/>
        </w:rPr>
        <w:t>、日本国际协力事业团和</w:t>
      </w:r>
      <w:r>
        <w:rPr>
          <w:bCs/>
          <w:color w:val="000000"/>
        </w:rPr>
        <w:t>东帝汶支助团</w:t>
      </w:r>
      <w:r>
        <w:rPr>
          <w:rFonts w:hint="eastAsia"/>
          <w:bCs/>
          <w:color w:val="000000"/>
        </w:rPr>
        <w:t>进行了一次联合贫穷评估，结果于</w:t>
      </w:r>
      <w:r>
        <w:rPr>
          <w:rFonts w:hint="eastAsia"/>
          <w:bCs/>
          <w:color w:val="000000"/>
        </w:rPr>
        <w:t>2003</w:t>
      </w:r>
      <w:r>
        <w:rPr>
          <w:rFonts w:hint="eastAsia"/>
          <w:bCs/>
          <w:color w:val="000000"/>
        </w:rPr>
        <w:t>年</w:t>
      </w:r>
      <w:r>
        <w:rPr>
          <w:rFonts w:hint="eastAsia"/>
          <w:bCs/>
          <w:color w:val="000000"/>
        </w:rPr>
        <w:t>5</w:t>
      </w:r>
      <w:r>
        <w:rPr>
          <w:rFonts w:hint="eastAsia"/>
          <w:bCs/>
          <w:color w:val="000000"/>
        </w:rPr>
        <w:t>月公布，其中包含了东帝汶生活水平方面的最全面信息。评估报告指出，</w:t>
      </w:r>
      <w:r>
        <w:rPr>
          <w:rStyle w:val="FootnoteReference"/>
          <w:bCs/>
          <w:color w:val="000000"/>
        </w:rPr>
        <w:footnoteReference w:id="276"/>
      </w:r>
      <w:r>
        <w:rPr>
          <w:rFonts w:hint="eastAsia"/>
          <w:bCs/>
          <w:color w:val="000000"/>
        </w:rPr>
        <w:t>“自</w:t>
      </w:r>
      <w:r>
        <w:rPr>
          <w:rFonts w:hint="eastAsia"/>
          <w:bCs/>
          <w:color w:val="000000"/>
        </w:rPr>
        <w:t>1999</w:t>
      </w:r>
      <w:r>
        <w:rPr>
          <w:rFonts w:hint="eastAsia"/>
          <w:bCs/>
          <w:color w:val="000000"/>
        </w:rPr>
        <w:t>年</w:t>
      </w:r>
      <w:r>
        <w:rPr>
          <w:rFonts w:hint="eastAsia"/>
          <w:bCs/>
          <w:color w:val="000000"/>
        </w:rPr>
        <w:t>8</w:t>
      </w:r>
      <w:r>
        <w:rPr>
          <w:rFonts w:hint="eastAsia"/>
          <w:bCs/>
          <w:color w:val="000000"/>
        </w:rPr>
        <w:t>月人民在一次全民投票中为独立进行投票后，国家社会经济发生了根本性的动荡。在选票结果公布后，很多人被迫流离失所，大多数物质基础设施被毁或陷入无法恢复的境地。”</w:t>
      </w:r>
    </w:p>
    <w:p w:rsidR="00692915" w:rsidRDefault="00692915" w:rsidP="009A1C1B">
      <w:pPr>
        <w:tabs>
          <w:tab w:val="left" w:pos="1170"/>
        </w:tabs>
        <w:autoSpaceDE w:val="0"/>
        <w:autoSpaceDN w:val="0"/>
        <w:ind w:firstLine="31680"/>
        <w:rPr>
          <w:rFonts w:hint="eastAsia"/>
          <w:bCs/>
          <w:color w:val="000000"/>
        </w:rPr>
      </w:pPr>
      <w:r>
        <w:rPr>
          <w:bCs/>
          <w:color w:val="000000"/>
        </w:rPr>
        <w:t>525.</w:t>
      </w:r>
      <w:r>
        <w:rPr>
          <w:rFonts w:hint="eastAsia"/>
          <w:bCs/>
          <w:color w:val="000000"/>
        </w:rPr>
        <w:tab/>
      </w:r>
      <w:r>
        <w:rPr>
          <w:rFonts w:hint="eastAsia"/>
          <w:bCs/>
          <w:color w:val="000000"/>
        </w:rPr>
        <w:t>在以下方面，东帝汶已取得了很大进步：恢复经济、重建基础设施、帮助难民重建、在国内和平的环境中为可持续政治进程创造重要的条件。如今，为了进行国家建设，克服各种影响穷人生活的匮乏问题，国家还面临着很多困难。</w:t>
      </w:r>
    </w:p>
    <w:p w:rsidR="00692915" w:rsidRDefault="00692915" w:rsidP="009A1C1B">
      <w:pPr>
        <w:tabs>
          <w:tab w:val="left" w:pos="1170"/>
        </w:tabs>
        <w:autoSpaceDE w:val="0"/>
        <w:autoSpaceDN w:val="0"/>
        <w:ind w:firstLine="31680"/>
        <w:rPr>
          <w:rFonts w:hint="eastAsia"/>
          <w:bCs/>
          <w:color w:val="000000"/>
        </w:rPr>
      </w:pPr>
      <w:r>
        <w:rPr>
          <w:bCs/>
          <w:color w:val="000000"/>
        </w:rPr>
        <w:t>526.</w:t>
      </w:r>
      <w:r>
        <w:rPr>
          <w:rFonts w:hint="eastAsia"/>
          <w:bCs/>
          <w:color w:val="000000"/>
        </w:rPr>
        <w:t xml:space="preserve"> </w:t>
      </w:r>
      <w:r>
        <w:rPr>
          <w:rFonts w:hint="eastAsia"/>
          <w:bCs/>
          <w:color w:val="000000"/>
        </w:rPr>
        <w:t>贫困是一个复杂的现象，匮乏问题涉及各个方面。我们采用了经济意义上的贫困定义，即：如果一个人不能达到最低的生活水平，则就是贫困的。根据该定义，东帝汶的贫困人口占总人口的五分之二。在整个国家中，各地的经济状况存在着差异。城市地区（尤其是帝力</w:t>
      </w:r>
      <w:r>
        <w:rPr>
          <w:rFonts w:hint="eastAsia"/>
          <w:bCs/>
          <w:color w:val="000000"/>
        </w:rPr>
        <w:t>/</w:t>
      </w:r>
      <w:r>
        <w:rPr>
          <w:rFonts w:hint="eastAsia"/>
          <w:bCs/>
          <w:color w:val="000000"/>
        </w:rPr>
        <w:t>包考地区）的经济状况要好于农村地区。然而，有</w:t>
      </w:r>
      <w:r>
        <w:rPr>
          <w:rFonts w:hint="eastAsia"/>
          <w:bCs/>
          <w:color w:val="000000"/>
        </w:rPr>
        <w:t>86%</w:t>
      </w:r>
      <w:r>
        <w:rPr>
          <w:rFonts w:hint="eastAsia"/>
          <w:bCs/>
          <w:color w:val="000000"/>
        </w:rPr>
        <w:t>的人口生活在农村地区，这些地区的家庭每年大约有四个月存在粮食短缺的问题。每年，帝力</w:t>
      </w:r>
      <w:r>
        <w:rPr>
          <w:rFonts w:hint="eastAsia"/>
          <w:bCs/>
          <w:color w:val="000000"/>
        </w:rPr>
        <w:t>/</w:t>
      </w:r>
      <w:r>
        <w:rPr>
          <w:rFonts w:hint="eastAsia"/>
          <w:bCs/>
          <w:color w:val="000000"/>
        </w:rPr>
        <w:t>包考地区有</w:t>
      </w:r>
      <w:r>
        <w:rPr>
          <w:rFonts w:hint="eastAsia"/>
          <w:bCs/>
          <w:color w:val="000000"/>
        </w:rPr>
        <w:t>14%</w:t>
      </w:r>
      <w:r>
        <w:rPr>
          <w:rFonts w:hint="eastAsia"/>
          <w:bCs/>
          <w:color w:val="000000"/>
        </w:rPr>
        <w:t>的人口存在粮食短缺问题，而在农村地区至少有</w:t>
      </w:r>
      <w:r>
        <w:rPr>
          <w:rFonts w:hint="eastAsia"/>
          <w:bCs/>
          <w:color w:val="000000"/>
        </w:rPr>
        <w:t>40%</w:t>
      </w:r>
      <w:r>
        <w:rPr>
          <w:rFonts w:hint="eastAsia"/>
          <w:bCs/>
          <w:color w:val="000000"/>
        </w:rPr>
        <w:t>的人口面临着这一问题。四分之三的人口生活在乡村，而有七分之六的贫困人口（即</w:t>
      </w:r>
      <w:r>
        <w:rPr>
          <w:bCs/>
          <w:color w:val="000000"/>
        </w:rPr>
        <w:t>280,000</w:t>
      </w:r>
      <w:r>
        <w:rPr>
          <w:rFonts w:hint="eastAsia"/>
          <w:bCs/>
          <w:color w:val="000000"/>
        </w:rPr>
        <w:t>名贫困人口）生活在这些地区。另外，西部要比东部贫困。西部三个地区（欧库西、波波纳罗和科瓦利马）占总人口的五分之一，占贫困人口的四分之一；而东部三个地区（包考、</w:t>
      </w:r>
      <w:r>
        <w:rPr>
          <w:bCs/>
          <w:color w:val="000000"/>
        </w:rPr>
        <w:t>劳滕</w:t>
      </w:r>
      <w:r>
        <w:rPr>
          <w:rFonts w:hint="eastAsia"/>
          <w:bCs/>
          <w:color w:val="000000"/>
        </w:rPr>
        <w:t>和维克克）则占总人口的四分之一，占贫困人口的不足五分之一。</w:t>
      </w:r>
    </w:p>
    <w:p w:rsidR="00692915" w:rsidRDefault="00692915" w:rsidP="009A1C1B">
      <w:pPr>
        <w:tabs>
          <w:tab w:val="left" w:pos="1170"/>
        </w:tabs>
        <w:autoSpaceDE w:val="0"/>
        <w:autoSpaceDN w:val="0"/>
        <w:ind w:firstLine="31680"/>
        <w:rPr>
          <w:rFonts w:hint="eastAsia"/>
          <w:bCs/>
          <w:color w:val="000000"/>
        </w:rPr>
      </w:pPr>
      <w:r>
        <w:rPr>
          <w:bCs/>
          <w:color w:val="000000"/>
        </w:rPr>
        <w:t>527.</w:t>
      </w:r>
      <w:r>
        <w:rPr>
          <w:bCs/>
          <w:color w:val="000000"/>
        </w:rPr>
        <w:tab/>
      </w:r>
      <w:r>
        <w:rPr>
          <w:rFonts w:hint="eastAsia"/>
          <w:bCs/>
          <w:color w:val="000000"/>
        </w:rPr>
        <w:t>联合贫穷评估还发现，最贫困的是儿童，最不贫困的是老人。壮年人口介于这两个人群之间。</w:t>
      </w:r>
      <w:r>
        <w:rPr>
          <w:rStyle w:val="FootnoteReference"/>
          <w:bCs/>
          <w:color w:val="000000"/>
          <w:lang w:eastAsia="pt-BR"/>
        </w:rPr>
        <w:footnoteReference w:id="277"/>
      </w:r>
      <w:r>
        <w:rPr>
          <w:rFonts w:hint="eastAsia"/>
          <w:bCs/>
          <w:color w:val="000000"/>
        </w:rPr>
        <w:t>在教育、健康和主观幸福感方面，男户主家庭一般好于女户主家庭，但在消费贫困方面则并非如此。关于住户内的分布情况，没有相关的资料。</w:t>
      </w:r>
      <w:r>
        <w:rPr>
          <w:rStyle w:val="FootnoteReference"/>
          <w:bCs/>
          <w:color w:val="000000"/>
          <w:lang w:eastAsia="pt-BR"/>
        </w:rPr>
        <w:footnoteReference w:id="278"/>
      </w:r>
    </w:p>
    <w:p w:rsidR="00692915" w:rsidRDefault="00692915" w:rsidP="009A1C1B">
      <w:pPr>
        <w:tabs>
          <w:tab w:val="left" w:pos="1170"/>
        </w:tabs>
        <w:ind w:firstLine="31680"/>
        <w:rPr>
          <w:rFonts w:hint="eastAsia"/>
          <w:bCs/>
          <w:color w:val="000000"/>
        </w:rPr>
      </w:pPr>
      <w:r>
        <w:rPr>
          <w:bCs/>
          <w:color w:val="000000"/>
        </w:rPr>
        <w:t>528.</w:t>
      </w:r>
      <w:r>
        <w:rPr>
          <w:rFonts w:hint="eastAsia"/>
          <w:bCs/>
          <w:color w:val="000000"/>
        </w:rPr>
        <w:t xml:space="preserve"> </w:t>
      </w:r>
      <w:r>
        <w:rPr>
          <w:rFonts w:hint="eastAsia"/>
          <w:bCs/>
          <w:color w:val="000000"/>
        </w:rPr>
        <w:t>在东帝汶，贫困程度随受教育程度、土地面积和持有家畜的提高而降低。城乡利用基础设施的情况存在着差别，在户主没有完成小学教育的情况下，有近半数的人是贫困的，而在户主至少完成了高中教育的情况下，有七分之一的人是贫困的。</w:t>
      </w:r>
      <w:r>
        <w:rPr>
          <w:rStyle w:val="FootnoteReference"/>
          <w:bCs/>
          <w:color w:val="000000"/>
          <w:lang w:eastAsia="pt-BR"/>
        </w:rPr>
        <w:footnoteReference w:id="279"/>
      </w:r>
      <w:r>
        <w:rPr>
          <w:rFonts w:hint="eastAsia"/>
          <w:bCs/>
          <w:color w:val="000000"/>
        </w:rPr>
        <w:t>从全国来说，大约有四分之三的人生活中没有电，五分之三的人没有安全的卫生设施，其他人没有安全的饮用水。</w:t>
      </w:r>
    </w:p>
    <w:p w:rsidR="00692915" w:rsidRDefault="00692915" w:rsidP="009A1C1B">
      <w:pPr>
        <w:tabs>
          <w:tab w:val="left" w:pos="1170"/>
        </w:tabs>
        <w:ind w:firstLine="31680"/>
        <w:rPr>
          <w:rFonts w:hint="eastAsia"/>
          <w:bCs/>
          <w:color w:val="000000"/>
        </w:rPr>
      </w:pPr>
      <w:r>
        <w:rPr>
          <w:bCs/>
          <w:color w:val="000000"/>
        </w:rPr>
        <w:t>529.</w:t>
      </w:r>
      <w:r>
        <w:rPr>
          <w:bCs/>
          <w:color w:val="000000"/>
        </w:rPr>
        <w:tab/>
      </w:r>
      <w:r>
        <w:rPr>
          <w:rFonts w:hint="eastAsia"/>
          <w:bCs/>
          <w:color w:val="000000"/>
        </w:rPr>
        <w:t>在东帝汶，截止</w:t>
      </w:r>
      <w:r>
        <w:rPr>
          <w:rFonts w:hint="eastAsia"/>
          <w:bCs/>
          <w:color w:val="000000"/>
        </w:rPr>
        <w:t>2006</w:t>
      </w:r>
      <w:r>
        <w:rPr>
          <w:rFonts w:hint="eastAsia"/>
          <w:bCs/>
          <w:color w:val="000000"/>
        </w:rPr>
        <w:t>年，还没有关于收入贫困发生率的最新调查。但是，自</w:t>
      </w:r>
      <w:r>
        <w:rPr>
          <w:rFonts w:hint="eastAsia"/>
          <w:bCs/>
          <w:color w:val="000000"/>
        </w:rPr>
        <w:t>2001</w:t>
      </w:r>
      <w:r>
        <w:rPr>
          <w:rFonts w:hint="eastAsia"/>
          <w:bCs/>
          <w:color w:val="000000"/>
        </w:rPr>
        <w:t>年以来，经济急剧紧缩，之后又经历了缓慢的增长期，这很可能使贫困发生率提高了。根据保守估计，目前贫困人数大约为</w:t>
      </w:r>
      <w:r>
        <w:rPr>
          <w:bCs/>
          <w:color w:val="000000"/>
        </w:rPr>
        <w:t>380,000</w:t>
      </w:r>
      <w:r>
        <w:rPr>
          <w:rFonts w:hint="eastAsia"/>
          <w:bCs/>
          <w:color w:val="000000"/>
        </w:rPr>
        <w:t>人，极端贫困人数大约为</w:t>
      </w:r>
      <w:r>
        <w:rPr>
          <w:bCs/>
          <w:color w:val="000000"/>
        </w:rPr>
        <w:t>200</w:t>
      </w:r>
      <w:r>
        <w:rPr>
          <w:rFonts w:hint="eastAsia"/>
          <w:bCs/>
          <w:color w:val="000000"/>
        </w:rPr>
        <w:t xml:space="preserve"> </w:t>
      </w:r>
      <w:r>
        <w:rPr>
          <w:bCs/>
          <w:color w:val="000000"/>
        </w:rPr>
        <w:t>000</w:t>
      </w:r>
      <w:r>
        <w:rPr>
          <w:rFonts w:hint="eastAsia"/>
          <w:bCs/>
          <w:color w:val="000000"/>
        </w:rPr>
        <w:t>人。</w:t>
      </w:r>
      <w:r>
        <w:rPr>
          <w:rStyle w:val="FootnoteReference"/>
          <w:bCs/>
          <w:color w:val="000000"/>
          <w:lang w:eastAsia="pt-BR"/>
        </w:rPr>
        <w:footnoteReference w:id="280"/>
      </w:r>
    </w:p>
    <w:p w:rsidR="00692915" w:rsidRDefault="00692915" w:rsidP="009A1C1B">
      <w:pPr>
        <w:tabs>
          <w:tab w:val="left" w:pos="1170"/>
        </w:tabs>
        <w:ind w:firstLine="31680"/>
        <w:rPr>
          <w:rFonts w:hint="eastAsia"/>
          <w:bCs/>
          <w:color w:val="000000"/>
        </w:rPr>
      </w:pPr>
      <w:r>
        <w:rPr>
          <w:bCs/>
          <w:color w:val="000000"/>
        </w:rPr>
        <w:t>530.</w:t>
      </w:r>
      <w:r>
        <w:rPr>
          <w:bCs/>
          <w:color w:val="000000"/>
        </w:rPr>
        <w:tab/>
      </w:r>
      <w:r>
        <w:rPr>
          <w:rFonts w:hint="eastAsia"/>
          <w:bCs/>
          <w:color w:val="000000"/>
        </w:rPr>
        <w:t>目前，尽管《宪法》（第</w:t>
      </w:r>
      <w:r>
        <w:rPr>
          <w:rFonts w:hint="eastAsia"/>
          <w:bCs/>
          <w:color w:val="000000"/>
        </w:rPr>
        <w:t>56</w:t>
      </w:r>
      <w:r>
        <w:rPr>
          <w:rFonts w:hint="eastAsia"/>
          <w:bCs/>
          <w:color w:val="000000"/>
        </w:rPr>
        <w:t>条</w:t>
      </w:r>
      <w:r>
        <w:rPr>
          <w:rFonts w:ascii="SimHei" w:eastAsia="SimHei" w:hint="eastAsia"/>
          <w:bCs/>
          <w:color w:val="000000"/>
          <w:spacing w:val="0"/>
        </w:rPr>
        <w:t>——</w:t>
      </w:r>
      <w:r>
        <w:rPr>
          <w:rFonts w:hint="eastAsia"/>
          <w:bCs/>
          <w:color w:val="000000"/>
        </w:rPr>
        <w:t>社会保障与援助）为所有公民享有“社会援助与保障”权提供了保障，并要求“根据国家资源的情况，促进社会保障体系的建立”，但是东帝汶没有正规的社会保障体系。不过，东帝汶确实有一个社会保障基金，该基金为弱势人员提供紧急援助，而有关退伍战斗人员的社会保障体系正处于形成的初级阶段。建立社会保障和养老金体制还没有列入政府当前的议程，或超出了政府目前的能力。</w:t>
      </w:r>
    </w:p>
    <w:p w:rsidR="00692915" w:rsidRDefault="00692915" w:rsidP="009A1C1B">
      <w:pPr>
        <w:tabs>
          <w:tab w:val="left" w:pos="1170"/>
        </w:tabs>
        <w:autoSpaceDE w:val="0"/>
        <w:autoSpaceDN w:val="0"/>
        <w:ind w:firstLine="31680"/>
        <w:rPr>
          <w:rFonts w:hint="eastAsia"/>
          <w:bCs/>
          <w:color w:val="000000"/>
        </w:rPr>
      </w:pPr>
      <w:r>
        <w:rPr>
          <w:bCs/>
          <w:color w:val="000000"/>
        </w:rPr>
        <w:t>531.</w:t>
      </w:r>
      <w:r>
        <w:rPr>
          <w:bCs/>
          <w:color w:val="000000"/>
        </w:rPr>
        <w:tab/>
      </w:r>
      <w:r>
        <w:rPr>
          <w:rFonts w:hint="eastAsia"/>
          <w:bCs/>
          <w:color w:val="000000"/>
        </w:rPr>
        <w:t>《国家发展计划》将减贫列入了首要日程，并且提议：建立一个有利的环境，以便通过提高农业和非正规部门的生产力，为贫困人口参与经济活动创造机会；提供一个有助于私人部门发展的有利环境；提供基础设施，出台支持贫困的财政支出政策，尤其是卫生和教育领域的支出政策。</w:t>
      </w:r>
    </w:p>
    <w:p w:rsidR="00692915" w:rsidRDefault="00692915" w:rsidP="009A1C1B">
      <w:pPr>
        <w:tabs>
          <w:tab w:val="left" w:pos="1170"/>
        </w:tabs>
        <w:autoSpaceDE w:val="0"/>
        <w:autoSpaceDN w:val="0"/>
        <w:ind w:firstLine="31680"/>
        <w:rPr>
          <w:rFonts w:hint="eastAsia"/>
          <w:bCs/>
          <w:color w:val="000000"/>
        </w:rPr>
      </w:pPr>
      <w:r>
        <w:rPr>
          <w:bCs/>
          <w:color w:val="000000"/>
        </w:rPr>
        <w:t xml:space="preserve">532. </w:t>
      </w:r>
      <w:r>
        <w:rPr>
          <w:rFonts w:hint="eastAsia"/>
          <w:bCs/>
          <w:color w:val="000000"/>
        </w:rPr>
        <w:t>最近，政府还宣布了一项减贫战略，该战略包括四个方面：（一）为贫困人口创造机会；（二）改进贫困人口获取社会服务的状况；（三）促进保障，包括增强受冲击的能力，改善粮食安全状况；（四）赋予贫困和弱势人口权利。</w:t>
      </w:r>
    </w:p>
    <w:p w:rsidR="00692915" w:rsidRDefault="00692915" w:rsidP="009A1C1B">
      <w:pPr>
        <w:tabs>
          <w:tab w:val="left" w:pos="1170"/>
        </w:tabs>
        <w:autoSpaceDE w:val="0"/>
        <w:autoSpaceDN w:val="0"/>
        <w:spacing w:after="240"/>
        <w:ind w:firstLine="31680"/>
        <w:rPr>
          <w:rFonts w:hint="eastAsia"/>
          <w:bCs/>
          <w:color w:val="000000"/>
        </w:rPr>
      </w:pPr>
      <w:r>
        <w:rPr>
          <w:color w:val="000000"/>
        </w:rPr>
        <w:t>533.</w:t>
      </w:r>
      <w:r>
        <w:rPr>
          <w:color w:val="000000"/>
        </w:rPr>
        <w:tab/>
      </w:r>
      <w:r>
        <w:rPr>
          <w:rFonts w:hint="eastAsia"/>
          <w:color w:val="000000"/>
        </w:rPr>
        <w:t>到目前为止，联合社会调查显示，有相当大的一部分人接近贫困线，这说明，贫困人数受经济增长的影响很大。强有力的持续经济增长以及增长利益的均衡分配，是东帝汶的核心目的和目标，另外，还需要继续高度重视教育、卫生和基本服务（例如：安全饮用水与卫生设施）。</w:t>
      </w:r>
      <w:r>
        <w:rPr>
          <w:rStyle w:val="FootnoteReference"/>
          <w:bCs/>
          <w:color w:val="000000"/>
        </w:rPr>
        <w:footnoteReference w:id="281"/>
      </w:r>
    </w:p>
    <w:p w:rsidR="00692915" w:rsidRDefault="00692915">
      <w:pPr>
        <w:pStyle w:val="Heading2"/>
        <w:tabs>
          <w:tab w:val="left" w:pos="520"/>
        </w:tabs>
        <w:jc w:val="both"/>
        <w:rPr>
          <w:rFonts w:hint="eastAsia"/>
          <w:color w:val="000000"/>
          <w:sz w:val="24"/>
        </w:rPr>
      </w:pPr>
      <w:r>
        <w:rPr>
          <w:color w:val="000000"/>
          <w:sz w:val="24"/>
        </w:rPr>
        <w:t xml:space="preserve">2. </w:t>
      </w:r>
      <w:bookmarkStart w:id="94" w:name="_Toc150514993"/>
      <w:bookmarkStart w:id="95" w:name="_Toc150684896"/>
      <w:r>
        <w:rPr>
          <w:color w:val="000000"/>
          <w:sz w:val="24"/>
        </w:rPr>
        <w:tab/>
      </w:r>
      <w:r>
        <w:rPr>
          <w:rFonts w:hint="eastAsia"/>
          <w:color w:val="000000"/>
          <w:sz w:val="24"/>
          <w:u w:val="single"/>
        </w:rPr>
        <w:t>住房</w:t>
      </w:r>
      <w:r>
        <w:rPr>
          <w:rStyle w:val="FootnoteReference"/>
          <w:color w:val="000000"/>
          <w:szCs w:val="24"/>
        </w:rPr>
        <w:footnoteReference w:id="282"/>
      </w:r>
      <w:bookmarkEnd w:id="94"/>
      <w:bookmarkEnd w:id="95"/>
    </w:p>
    <w:p w:rsidR="00692915" w:rsidRDefault="00692915" w:rsidP="009A1C1B">
      <w:pPr>
        <w:tabs>
          <w:tab w:val="left" w:pos="1170"/>
        </w:tabs>
        <w:autoSpaceDE w:val="0"/>
        <w:autoSpaceDN w:val="0"/>
        <w:ind w:firstLine="31680"/>
        <w:rPr>
          <w:rFonts w:hint="eastAsia"/>
          <w:bCs/>
          <w:color w:val="000000"/>
        </w:rPr>
      </w:pPr>
      <w:r>
        <w:rPr>
          <w:bCs/>
          <w:color w:val="000000"/>
        </w:rPr>
        <w:t>534.</w:t>
      </w:r>
      <w:r>
        <w:rPr>
          <w:rFonts w:hint="eastAsia"/>
          <w:bCs/>
          <w:color w:val="000000"/>
        </w:rPr>
        <w:t xml:space="preserve"> </w:t>
      </w:r>
      <w:r>
        <w:rPr>
          <w:rFonts w:hint="eastAsia"/>
          <w:bCs/>
          <w:color w:val="000000"/>
        </w:rPr>
        <w:t>在</w:t>
      </w:r>
      <w:r>
        <w:rPr>
          <w:rFonts w:hint="eastAsia"/>
          <w:bCs/>
          <w:color w:val="000000"/>
        </w:rPr>
        <w:t>1999</w:t>
      </w:r>
      <w:r>
        <w:rPr>
          <w:rFonts w:hint="eastAsia"/>
          <w:bCs/>
          <w:color w:val="000000"/>
        </w:rPr>
        <w:t>年公民投票后发生的暴力事件中，东帝汶大约有</w:t>
      </w:r>
      <w:r>
        <w:rPr>
          <w:rFonts w:hint="eastAsia"/>
          <w:bCs/>
          <w:color w:val="000000"/>
        </w:rPr>
        <w:t>70%</w:t>
      </w:r>
      <w:r>
        <w:rPr>
          <w:rFonts w:hint="eastAsia"/>
          <w:bCs/>
          <w:color w:val="000000"/>
        </w:rPr>
        <w:t>的建筑（包括大约相当于住房存量</w:t>
      </w:r>
      <w:r>
        <w:rPr>
          <w:rFonts w:hint="eastAsia"/>
          <w:bCs/>
          <w:color w:val="000000"/>
        </w:rPr>
        <w:t>40%</w:t>
      </w:r>
      <w:r>
        <w:rPr>
          <w:rFonts w:hint="eastAsia"/>
          <w:bCs/>
          <w:color w:val="000000"/>
        </w:rPr>
        <w:t>的</w:t>
      </w:r>
      <w:r>
        <w:rPr>
          <w:rFonts w:hint="eastAsia"/>
          <w:bCs/>
          <w:color w:val="000000"/>
        </w:rPr>
        <w:t>68 000</w:t>
      </w:r>
      <w:r>
        <w:rPr>
          <w:rFonts w:hint="eastAsia"/>
          <w:bCs/>
          <w:color w:val="000000"/>
        </w:rPr>
        <w:t>所房屋）被毁。大约有</w:t>
      </w:r>
      <w:r>
        <w:rPr>
          <w:rFonts w:hint="eastAsia"/>
          <w:bCs/>
          <w:color w:val="000000"/>
        </w:rPr>
        <w:t>65%</w:t>
      </w:r>
      <w:r>
        <w:rPr>
          <w:rFonts w:hint="eastAsia"/>
          <w:bCs/>
          <w:color w:val="000000"/>
        </w:rPr>
        <w:t>的人口离开家园，</w:t>
      </w:r>
      <w:r>
        <w:rPr>
          <w:rFonts w:hint="eastAsia"/>
          <w:bCs/>
          <w:color w:val="000000"/>
        </w:rPr>
        <w:t>40%</w:t>
      </w:r>
      <w:r>
        <w:rPr>
          <w:rFonts w:hint="eastAsia"/>
          <w:bCs/>
          <w:color w:val="000000"/>
        </w:rPr>
        <w:t>以上的人口无家可归，更多的人住在被毁的或不合格的房屋中。使这些问题雪上加霜的是，大多数财产记录都丢失或被毁了。根据目前的估计，东帝汶已在很大程度上满足了那些有燃眉之急的人的短期住房需求。不过，住房条件一般很差，城乡之间所获得的这类服务存在着很大差异。在城市地区的住房中，有自来水的大约占</w:t>
      </w:r>
      <w:r>
        <w:rPr>
          <w:rFonts w:hint="eastAsia"/>
          <w:bCs/>
          <w:color w:val="000000"/>
        </w:rPr>
        <w:t>50%</w:t>
      </w:r>
      <w:r>
        <w:rPr>
          <w:rFonts w:hint="eastAsia"/>
          <w:bCs/>
          <w:color w:val="000000"/>
        </w:rPr>
        <w:t>，有私人卫生间的大约占</w:t>
      </w:r>
      <w:r>
        <w:rPr>
          <w:rFonts w:hint="eastAsia"/>
          <w:bCs/>
          <w:color w:val="000000"/>
        </w:rPr>
        <w:t>58%</w:t>
      </w:r>
      <w:r>
        <w:rPr>
          <w:rFonts w:hint="eastAsia"/>
          <w:bCs/>
          <w:color w:val="000000"/>
        </w:rPr>
        <w:t>，有供电的大约占</w:t>
      </w:r>
      <w:r>
        <w:rPr>
          <w:rFonts w:hint="eastAsia"/>
          <w:bCs/>
          <w:color w:val="000000"/>
        </w:rPr>
        <w:t>74%</w:t>
      </w:r>
      <w:r>
        <w:rPr>
          <w:rFonts w:hint="eastAsia"/>
          <w:bCs/>
          <w:color w:val="000000"/>
        </w:rPr>
        <w:t>。而在农村地区，这方面的数据要低很多，分别为</w:t>
      </w:r>
      <w:r>
        <w:rPr>
          <w:rFonts w:hint="eastAsia"/>
          <w:bCs/>
          <w:color w:val="000000"/>
        </w:rPr>
        <w:t>40%</w:t>
      </w:r>
      <w:r>
        <w:rPr>
          <w:rFonts w:hint="eastAsia"/>
          <w:bCs/>
          <w:color w:val="000000"/>
        </w:rPr>
        <w:t>、</w:t>
      </w:r>
      <w:r>
        <w:rPr>
          <w:rFonts w:hint="eastAsia"/>
          <w:bCs/>
          <w:color w:val="000000"/>
        </w:rPr>
        <w:t>14%</w:t>
      </w:r>
      <w:r>
        <w:rPr>
          <w:rFonts w:hint="eastAsia"/>
          <w:bCs/>
          <w:color w:val="000000"/>
        </w:rPr>
        <w:t>和</w:t>
      </w:r>
      <w:r>
        <w:rPr>
          <w:rFonts w:hint="eastAsia"/>
          <w:bCs/>
          <w:color w:val="000000"/>
        </w:rPr>
        <w:t>10%</w:t>
      </w:r>
      <w:r>
        <w:rPr>
          <w:rFonts w:hint="eastAsia"/>
          <w:bCs/>
          <w:color w:val="000000"/>
        </w:rPr>
        <w:t>。</w:t>
      </w:r>
    </w:p>
    <w:p w:rsidR="00692915" w:rsidRDefault="00692915" w:rsidP="009A1C1B">
      <w:pPr>
        <w:tabs>
          <w:tab w:val="left" w:pos="1170"/>
        </w:tabs>
        <w:autoSpaceDE w:val="0"/>
        <w:autoSpaceDN w:val="0"/>
        <w:ind w:firstLine="31680"/>
        <w:rPr>
          <w:rFonts w:hint="eastAsia"/>
          <w:bCs/>
          <w:color w:val="000000"/>
        </w:rPr>
      </w:pPr>
      <w:r>
        <w:rPr>
          <w:bCs/>
          <w:color w:val="000000"/>
        </w:rPr>
        <w:t xml:space="preserve">535. </w:t>
      </w:r>
      <w:r>
        <w:rPr>
          <w:rFonts w:hint="eastAsia"/>
          <w:bCs/>
          <w:color w:val="000000"/>
        </w:rPr>
        <w:t>根据预计，在未来几年中，人口，尤其是城市人口将继续保持很高的增长率，这说明住房将日益成为需要政府解决的关键问题。直到最近，政府对于住房部门问题的程度和性质，也就是解决这些问题所需要的资源，还缺乏明确了解。</w:t>
      </w:r>
      <w:r>
        <w:rPr>
          <w:rFonts w:hint="eastAsia"/>
          <w:bCs/>
          <w:color w:val="000000"/>
        </w:rPr>
        <w:t>2004</w:t>
      </w:r>
      <w:r>
        <w:rPr>
          <w:rFonts w:hint="eastAsia"/>
          <w:bCs/>
          <w:color w:val="000000"/>
        </w:rPr>
        <w:t>年的人口普查提供了最新的统计信息，这将能为政府制定这方面的政策提供很多信息。</w:t>
      </w:r>
    </w:p>
    <w:p w:rsidR="00692915" w:rsidRDefault="00692915" w:rsidP="009A1C1B">
      <w:pPr>
        <w:tabs>
          <w:tab w:val="left" w:pos="1170"/>
        </w:tabs>
        <w:autoSpaceDE w:val="0"/>
        <w:autoSpaceDN w:val="0"/>
        <w:ind w:firstLine="31680"/>
        <w:rPr>
          <w:rFonts w:hint="eastAsia"/>
          <w:bCs/>
          <w:color w:val="000000"/>
        </w:rPr>
      </w:pPr>
      <w:r>
        <w:rPr>
          <w:bCs/>
          <w:color w:val="000000"/>
        </w:rPr>
        <w:t xml:space="preserve">536. </w:t>
      </w:r>
      <w:r>
        <w:rPr>
          <w:rFonts w:hint="eastAsia"/>
          <w:bCs/>
          <w:color w:val="000000"/>
        </w:rPr>
        <w:t>2004</w:t>
      </w:r>
      <w:r>
        <w:rPr>
          <w:rFonts w:hint="eastAsia"/>
          <w:bCs/>
          <w:color w:val="000000"/>
        </w:rPr>
        <w:t>年的人口普查显示，大约有</w:t>
      </w:r>
      <w:r>
        <w:rPr>
          <w:rFonts w:hint="eastAsia"/>
          <w:bCs/>
          <w:color w:val="000000"/>
        </w:rPr>
        <w:t>95%</w:t>
      </w:r>
      <w:r>
        <w:rPr>
          <w:rFonts w:hint="eastAsia"/>
          <w:bCs/>
          <w:color w:val="000000"/>
        </w:rPr>
        <w:t>的人口生活在自有或家庭成员的私人住房中，每户家庭的人口平均为</w:t>
      </w:r>
      <w:r>
        <w:rPr>
          <w:bCs/>
          <w:color w:val="000000"/>
        </w:rPr>
        <w:t>4.7</w:t>
      </w:r>
      <w:r>
        <w:rPr>
          <w:rFonts w:hint="eastAsia"/>
          <w:bCs/>
          <w:color w:val="000000"/>
        </w:rPr>
        <w:t>人；有</w:t>
      </w:r>
      <w:r>
        <w:rPr>
          <w:rFonts w:hint="eastAsia"/>
          <w:bCs/>
          <w:color w:val="000000"/>
        </w:rPr>
        <w:t>18.9%</w:t>
      </w:r>
      <w:r>
        <w:rPr>
          <w:rFonts w:hint="eastAsia"/>
          <w:bCs/>
          <w:color w:val="000000"/>
        </w:rPr>
        <w:t>的住户的户主为女性。根据人口普查对城市人口的估计，在</w:t>
      </w:r>
      <w:r>
        <w:rPr>
          <w:bCs/>
          <w:color w:val="000000"/>
        </w:rPr>
        <w:t>2004</w:t>
      </w:r>
      <w:r>
        <w:rPr>
          <w:rFonts w:hint="eastAsia"/>
          <w:bCs/>
          <w:color w:val="000000"/>
        </w:rPr>
        <w:t>-</w:t>
      </w:r>
      <w:r>
        <w:rPr>
          <w:bCs/>
          <w:color w:val="000000"/>
        </w:rPr>
        <w:t>2015</w:t>
      </w:r>
      <w:r>
        <w:rPr>
          <w:rFonts w:hint="eastAsia"/>
          <w:bCs/>
          <w:color w:val="000000"/>
        </w:rPr>
        <w:t>年期间，城市地区大约需要</w:t>
      </w:r>
      <w:r>
        <w:rPr>
          <w:bCs/>
          <w:color w:val="000000"/>
        </w:rPr>
        <w:t>60</w:t>
      </w:r>
      <w:r>
        <w:rPr>
          <w:rFonts w:hint="eastAsia"/>
          <w:bCs/>
          <w:color w:val="000000"/>
        </w:rPr>
        <w:t xml:space="preserve"> </w:t>
      </w:r>
      <w:r>
        <w:rPr>
          <w:bCs/>
          <w:color w:val="000000"/>
        </w:rPr>
        <w:t>000</w:t>
      </w:r>
      <w:r>
        <w:rPr>
          <w:rFonts w:hint="eastAsia"/>
          <w:bCs/>
          <w:color w:val="000000"/>
        </w:rPr>
        <w:t>个单位的新住房。</w:t>
      </w:r>
    </w:p>
    <w:p w:rsidR="00692915" w:rsidRDefault="00692915" w:rsidP="009A1C1B">
      <w:pPr>
        <w:tabs>
          <w:tab w:val="left" w:pos="1170"/>
        </w:tabs>
        <w:autoSpaceDE w:val="0"/>
        <w:autoSpaceDN w:val="0"/>
        <w:ind w:firstLine="31680"/>
        <w:rPr>
          <w:rFonts w:hint="eastAsia"/>
          <w:bCs/>
          <w:color w:val="000000"/>
        </w:rPr>
      </w:pPr>
      <w:r>
        <w:rPr>
          <w:bCs/>
          <w:color w:val="000000"/>
        </w:rPr>
        <w:t>537.</w:t>
      </w:r>
      <w:r>
        <w:rPr>
          <w:rFonts w:hint="eastAsia"/>
          <w:bCs/>
          <w:color w:val="000000"/>
        </w:rPr>
        <w:tab/>
      </w:r>
      <w:r>
        <w:rPr>
          <w:rFonts w:hint="eastAsia"/>
          <w:bCs/>
          <w:color w:val="000000"/>
        </w:rPr>
        <w:t>有关有关土地和财产继承的法律很复杂，这往往会引起各种争端，另外，在难民离开家乡期间，一些财产被“非法”占有了，这也会引起返乡难民之间的争端，所有这些问题通常会使改善住房条件的问题更加复杂，它们妨碍了住房市场的重建活动，不利于住房权保障，而这是一个至关重要的问题。</w:t>
      </w:r>
      <w:r>
        <w:rPr>
          <w:rStyle w:val="FootnoteReference"/>
          <w:bCs/>
          <w:color w:val="000000"/>
        </w:rPr>
        <w:footnoteReference w:id="283"/>
      </w:r>
    </w:p>
    <w:p w:rsidR="00692915" w:rsidRDefault="00692915" w:rsidP="009A1C1B">
      <w:pPr>
        <w:tabs>
          <w:tab w:val="left" w:pos="1170"/>
        </w:tabs>
        <w:ind w:firstLine="31680"/>
        <w:rPr>
          <w:rFonts w:hint="eastAsia"/>
          <w:color w:val="000000"/>
        </w:rPr>
      </w:pPr>
      <w:r>
        <w:rPr>
          <w:color w:val="000000"/>
        </w:rPr>
        <w:t xml:space="preserve">538. </w:t>
      </w:r>
      <w:r>
        <w:rPr>
          <w:rFonts w:hint="eastAsia"/>
          <w:color w:val="000000"/>
        </w:rPr>
        <w:t>司法部土地与财产股目前正在筹备编制一项旨在解决该问题和其他土地问题的综合性土地法。</w:t>
      </w:r>
    </w:p>
    <w:p w:rsidR="00692915" w:rsidRDefault="00692915" w:rsidP="009A1C1B">
      <w:pPr>
        <w:tabs>
          <w:tab w:val="left" w:pos="1170"/>
        </w:tabs>
        <w:autoSpaceDE w:val="0"/>
        <w:autoSpaceDN w:val="0"/>
        <w:ind w:firstLine="31680"/>
        <w:rPr>
          <w:rFonts w:hint="eastAsia"/>
          <w:bCs/>
          <w:color w:val="000000"/>
        </w:rPr>
      </w:pPr>
      <w:r>
        <w:rPr>
          <w:bCs/>
          <w:color w:val="000000"/>
        </w:rPr>
        <w:t xml:space="preserve">539. </w:t>
      </w:r>
      <w:r>
        <w:rPr>
          <w:rFonts w:hint="eastAsia"/>
          <w:bCs/>
          <w:color w:val="000000"/>
        </w:rPr>
        <w:t>国家住房政策草案对很多关键的政策问题提出了明确建议，包括：国家在住房领域的作用，为贫困家庭、社区、其他脆弱和弱势人群提供经济适用房的相关问题。该草案已于</w:t>
      </w:r>
      <w:r>
        <w:rPr>
          <w:rFonts w:hint="eastAsia"/>
          <w:bCs/>
          <w:color w:val="000000"/>
        </w:rPr>
        <w:t>2005</w:t>
      </w:r>
      <w:r>
        <w:rPr>
          <w:rFonts w:hint="eastAsia"/>
          <w:bCs/>
          <w:color w:val="000000"/>
        </w:rPr>
        <w:t>年</w:t>
      </w:r>
      <w:r>
        <w:rPr>
          <w:rFonts w:hint="eastAsia"/>
          <w:bCs/>
          <w:color w:val="000000"/>
        </w:rPr>
        <w:t>3</w:t>
      </w:r>
      <w:r>
        <w:rPr>
          <w:rFonts w:hint="eastAsia"/>
          <w:bCs/>
          <w:color w:val="000000"/>
        </w:rPr>
        <w:t>月提交给了部长理事会。尽早通过一项国家住房政策将对推进城市发展规划和住房部门投资具有至关重要的作用。</w:t>
      </w:r>
    </w:p>
    <w:p w:rsidR="00692915" w:rsidRDefault="00692915" w:rsidP="009A1C1B">
      <w:pPr>
        <w:tabs>
          <w:tab w:val="left" w:pos="1170"/>
        </w:tabs>
        <w:autoSpaceDE w:val="0"/>
        <w:autoSpaceDN w:val="0"/>
        <w:ind w:firstLine="31680"/>
        <w:rPr>
          <w:rFonts w:hint="eastAsia"/>
          <w:bCs/>
          <w:color w:val="000000"/>
        </w:rPr>
      </w:pPr>
      <w:r>
        <w:rPr>
          <w:bCs/>
          <w:color w:val="000000"/>
        </w:rPr>
        <w:t>540.</w:t>
      </w:r>
      <w:r>
        <w:rPr>
          <w:bCs/>
          <w:color w:val="000000"/>
        </w:rPr>
        <w:tab/>
      </w:r>
      <w:r>
        <w:rPr>
          <w:rFonts w:hint="eastAsia"/>
          <w:bCs/>
          <w:color w:val="000000"/>
        </w:rPr>
        <w:t>在等待国家住房政策正式通过期间，各种中期住房政策和方案将围绕三套综合举措予以确定和实施：</w:t>
      </w:r>
    </w:p>
    <w:p w:rsidR="00692915" w:rsidRDefault="00692915" w:rsidP="009A1C1B">
      <w:pPr>
        <w:numPr>
          <w:ilvl w:val="0"/>
          <w:numId w:val="6"/>
        </w:numPr>
        <w:tabs>
          <w:tab w:val="clear" w:pos="927"/>
          <w:tab w:val="left" w:pos="1690"/>
        </w:tabs>
        <w:ind w:leftChars="450" w:left="31680" w:hangingChars="200" w:firstLine="31680"/>
        <w:rPr>
          <w:bCs/>
          <w:color w:val="000000"/>
        </w:rPr>
      </w:pPr>
      <w:r>
        <w:rPr>
          <w:rFonts w:hint="eastAsia"/>
          <w:bCs/>
          <w:color w:val="000000"/>
        </w:rPr>
        <w:t>制定一项国家住房方案，以：（一）通过改进支持国家政策的规划与条例，减少市中心的住房短缺问题；（二）通过规划、承包和工程服务改善城市贫困区的住房设施状况，支持减贫举措；</w:t>
      </w:r>
    </w:p>
    <w:p w:rsidR="00692915" w:rsidRDefault="00692915" w:rsidP="009A1C1B">
      <w:pPr>
        <w:numPr>
          <w:ilvl w:val="0"/>
          <w:numId w:val="6"/>
        </w:numPr>
        <w:tabs>
          <w:tab w:val="clear" w:pos="927"/>
          <w:tab w:val="left" w:pos="1690"/>
        </w:tabs>
        <w:ind w:leftChars="450" w:left="31680" w:hangingChars="200" w:firstLine="31680"/>
        <w:rPr>
          <w:bCs/>
          <w:color w:val="000000"/>
        </w:rPr>
      </w:pPr>
      <w:r>
        <w:rPr>
          <w:rFonts w:hint="eastAsia"/>
          <w:bCs/>
          <w:color w:val="000000"/>
        </w:rPr>
        <w:t>建立住房融资机制；</w:t>
      </w:r>
    </w:p>
    <w:p w:rsidR="00692915" w:rsidRDefault="00692915" w:rsidP="009A1C1B">
      <w:pPr>
        <w:numPr>
          <w:ilvl w:val="0"/>
          <w:numId w:val="6"/>
        </w:numPr>
        <w:tabs>
          <w:tab w:val="clear" w:pos="927"/>
          <w:tab w:val="left" w:pos="1690"/>
        </w:tabs>
        <w:ind w:leftChars="450" w:left="31680" w:hangingChars="200" w:firstLine="31680"/>
        <w:rPr>
          <w:bCs/>
          <w:color w:val="000000"/>
        </w:rPr>
      </w:pPr>
      <w:r>
        <w:rPr>
          <w:rFonts w:hint="eastAsia"/>
          <w:bCs/>
          <w:color w:val="000000"/>
        </w:rPr>
        <w:t>制定与建设、技术与材料研究有关的各项政策与方案。</w:t>
      </w:r>
    </w:p>
    <w:p w:rsidR="00692915" w:rsidRDefault="00692915">
      <w:pPr>
        <w:pStyle w:val="Heading3"/>
        <w:tabs>
          <w:tab w:val="left" w:pos="1170"/>
        </w:tabs>
        <w:jc w:val="both"/>
        <w:rPr>
          <w:rFonts w:eastAsia="KaiTi_GB2312" w:hint="eastAsia"/>
          <w:color w:val="000000"/>
          <w:u w:val="none"/>
        </w:rPr>
      </w:pPr>
      <w:r>
        <w:rPr>
          <w:rFonts w:eastAsia="KaiTi_GB2312" w:hint="eastAsia"/>
          <w:color w:val="000000"/>
          <w:u w:val="none"/>
        </w:rPr>
        <w:t>水与卫生</w:t>
      </w:r>
    </w:p>
    <w:p w:rsidR="00692915" w:rsidRDefault="00692915" w:rsidP="009A1C1B">
      <w:pPr>
        <w:tabs>
          <w:tab w:val="left" w:pos="1170"/>
        </w:tabs>
        <w:ind w:firstLine="31680"/>
        <w:rPr>
          <w:rFonts w:hint="eastAsia"/>
          <w:bCs/>
          <w:color w:val="000000"/>
        </w:rPr>
      </w:pPr>
      <w:r>
        <w:rPr>
          <w:bCs/>
          <w:color w:val="000000"/>
        </w:rPr>
        <w:t>541.</w:t>
      </w:r>
      <w:r>
        <w:rPr>
          <w:rFonts w:hint="eastAsia"/>
          <w:bCs/>
          <w:color w:val="000000"/>
        </w:rPr>
        <w:tab/>
        <w:t>1999</w:t>
      </w:r>
      <w:r>
        <w:rPr>
          <w:rFonts w:hint="eastAsia"/>
          <w:bCs/>
          <w:color w:val="000000"/>
        </w:rPr>
        <w:t>年物质基础设施的毁坏严重妨碍了人们对水（尤其是安全饮用水）与卫生设施的获取，这反映在极差的卫生指标和很高的死亡率上。大约有</w:t>
      </w:r>
      <w:r>
        <w:rPr>
          <w:rFonts w:hint="eastAsia"/>
          <w:bCs/>
          <w:color w:val="000000"/>
        </w:rPr>
        <w:t>37%</w:t>
      </w:r>
      <w:r>
        <w:rPr>
          <w:rFonts w:hint="eastAsia"/>
          <w:bCs/>
          <w:color w:val="000000"/>
        </w:rPr>
        <w:t>的人口可以获得安全饮用水（城市为</w:t>
      </w:r>
      <w:r>
        <w:rPr>
          <w:rFonts w:hint="eastAsia"/>
          <w:bCs/>
          <w:color w:val="000000"/>
        </w:rPr>
        <w:t>44%</w:t>
      </w:r>
      <w:r>
        <w:rPr>
          <w:rFonts w:hint="eastAsia"/>
          <w:bCs/>
          <w:color w:val="000000"/>
        </w:rPr>
        <w:t>，农村为</w:t>
      </w:r>
      <w:r>
        <w:rPr>
          <w:rFonts w:hint="eastAsia"/>
          <w:bCs/>
          <w:color w:val="000000"/>
        </w:rPr>
        <w:t>35%</w:t>
      </w:r>
      <w:r>
        <w:rPr>
          <w:rFonts w:hint="eastAsia"/>
          <w:bCs/>
          <w:color w:val="000000"/>
        </w:rPr>
        <w:t>），</w:t>
      </w:r>
      <w:r>
        <w:rPr>
          <w:rFonts w:hint="eastAsia"/>
          <w:bCs/>
          <w:color w:val="000000"/>
        </w:rPr>
        <w:t>30.5%</w:t>
      </w:r>
      <w:r>
        <w:rPr>
          <w:rFonts w:hint="eastAsia"/>
          <w:bCs/>
          <w:color w:val="000000"/>
        </w:rPr>
        <w:t>的人口有足够的卫生设施（城市为</w:t>
      </w:r>
      <w:r>
        <w:rPr>
          <w:bCs/>
          <w:color w:val="000000"/>
        </w:rPr>
        <w:t>52.5</w:t>
      </w:r>
      <w:r>
        <w:rPr>
          <w:rFonts w:hint="eastAsia"/>
          <w:bCs/>
          <w:color w:val="000000"/>
        </w:rPr>
        <w:t>%</w:t>
      </w:r>
      <w:r>
        <w:rPr>
          <w:rFonts w:hint="eastAsia"/>
          <w:bCs/>
          <w:color w:val="000000"/>
        </w:rPr>
        <w:t>，农村为</w:t>
      </w:r>
      <w:r>
        <w:rPr>
          <w:rFonts w:hint="eastAsia"/>
          <w:bCs/>
          <w:color w:val="000000"/>
        </w:rPr>
        <w:t>24%</w:t>
      </w:r>
      <w:r>
        <w:rPr>
          <w:rFonts w:hint="eastAsia"/>
          <w:bCs/>
          <w:color w:val="000000"/>
        </w:rPr>
        <w:t>）。农村饮用水大多来自泉水和井水，在有些城市周边地区，通过手摇浅井取水。</w:t>
      </w:r>
      <w:r>
        <w:rPr>
          <w:rStyle w:val="FootnoteReference"/>
          <w:bCs/>
          <w:color w:val="000000"/>
        </w:rPr>
        <w:footnoteReference w:id="284"/>
      </w:r>
    </w:p>
    <w:p w:rsidR="00692915" w:rsidRDefault="00692915" w:rsidP="009A1C1B">
      <w:pPr>
        <w:tabs>
          <w:tab w:val="left" w:pos="1170"/>
        </w:tabs>
        <w:autoSpaceDE w:val="0"/>
        <w:autoSpaceDN w:val="0"/>
        <w:ind w:firstLine="31680"/>
        <w:rPr>
          <w:rFonts w:hint="eastAsia"/>
          <w:bCs/>
          <w:color w:val="000000"/>
        </w:rPr>
      </w:pPr>
      <w:r>
        <w:rPr>
          <w:bCs/>
          <w:color w:val="000000"/>
        </w:rPr>
        <w:t>542.</w:t>
      </w:r>
      <w:r>
        <w:rPr>
          <w:rFonts w:hint="eastAsia"/>
          <w:bCs/>
          <w:color w:val="000000"/>
        </w:rPr>
        <w:t xml:space="preserve"> </w:t>
      </w:r>
      <w:r>
        <w:rPr>
          <w:rFonts w:hint="eastAsia"/>
          <w:bCs/>
          <w:color w:val="000000"/>
        </w:rPr>
        <w:t>在捐助团体的支持下，政府推出了一项多年方案，以大力改善人们获取水与卫生设施的状况。到目前为止，人们获取这些服务的状况有了一些改善。人口的快速增长意味着，那些仍然不能获取这些基本服务的住户总数并没有因此减少多少。</w:t>
      </w:r>
    </w:p>
    <w:p w:rsidR="00692915" w:rsidRDefault="00692915" w:rsidP="009A1C1B">
      <w:pPr>
        <w:tabs>
          <w:tab w:val="left" w:pos="1170"/>
        </w:tabs>
        <w:autoSpaceDE w:val="0"/>
        <w:autoSpaceDN w:val="0"/>
        <w:spacing w:after="240"/>
        <w:ind w:firstLine="31680"/>
        <w:rPr>
          <w:rFonts w:hint="eastAsia"/>
          <w:bCs/>
          <w:color w:val="000000"/>
        </w:rPr>
      </w:pPr>
      <w:r>
        <w:rPr>
          <w:bCs/>
          <w:color w:val="000000"/>
        </w:rPr>
        <w:t>543.</w:t>
      </w:r>
      <w:r>
        <w:rPr>
          <w:rFonts w:hint="eastAsia"/>
          <w:bCs/>
          <w:color w:val="000000"/>
        </w:rPr>
        <w:t xml:space="preserve"> </w:t>
      </w:r>
      <w:r>
        <w:rPr>
          <w:rFonts w:hint="eastAsia"/>
          <w:bCs/>
          <w:color w:val="000000"/>
        </w:rPr>
        <w:t>国家所面临的突出挑战就是：改善人们获取安全饮用水和适当卫生设施的低水平状况，以实现那些经过修订并且更加宏伟的国家目标。这些新目标要求在</w:t>
      </w:r>
      <w:r>
        <w:rPr>
          <w:rFonts w:hint="eastAsia"/>
          <w:bCs/>
          <w:color w:val="000000"/>
        </w:rPr>
        <w:t>2015</w:t>
      </w:r>
      <w:r>
        <w:rPr>
          <w:rFonts w:hint="eastAsia"/>
          <w:bCs/>
          <w:color w:val="000000"/>
        </w:rPr>
        <w:t>年前，让</w:t>
      </w:r>
      <w:r>
        <w:rPr>
          <w:rFonts w:hint="eastAsia"/>
          <w:bCs/>
          <w:color w:val="000000"/>
        </w:rPr>
        <w:t>80%</w:t>
      </w:r>
      <w:r>
        <w:rPr>
          <w:rFonts w:hint="eastAsia"/>
          <w:bCs/>
          <w:color w:val="000000"/>
        </w:rPr>
        <w:t>的城乡人口能够获取安全饮用水和足够的卫生设施。</w:t>
      </w:r>
    </w:p>
    <w:p w:rsidR="00692915" w:rsidRDefault="00692915">
      <w:pPr>
        <w:pStyle w:val="Heading2"/>
        <w:tabs>
          <w:tab w:val="left" w:pos="1170"/>
        </w:tabs>
        <w:jc w:val="both"/>
        <w:rPr>
          <w:b/>
          <w:color w:val="000000"/>
          <w:sz w:val="24"/>
        </w:rPr>
      </w:pPr>
      <w:bookmarkStart w:id="96" w:name="_Toc150514994"/>
      <w:bookmarkStart w:id="97" w:name="_Toc150684897"/>
      <w:r>
        <w:rPr>
          <w:color w:val="000000"/>
          <w:sz w:val="24"/>
        </w:rPr>
        <w:t xml:space="preserve">3.  </w:t>
      </w:r>
      <w:r>
        <w:rPr>
          <w:rFonts w:hint="eastAsia"/>
          <w:color w:val="000000"/>
          <w:sz w:val="24"/>
          <w:u w:val="single"/>
        </w:rPr>
        <w:t>卫生状况</w:t>
      </w:r>
      <w:r>
        <w:rPr>
          <w:rStyle w:val="FootnoteReference"/>
          <w:color w:val="000000"/>
          <w:szCs w:val="24"/>
        </w:rPr>
        <w:footnoteReference w:id="285"/>
      </w:r>
      <w:bookmarkEnd w:id="96"/>
      <w:bookmarkEnd w:id="97"/>
    </w:p>
    <w:p w:rsidR="00692915" w:rsidRDefault="00692915" w:rsidP="009A1C1B">
      <w:pPr>
        <w:tabs>
          <w:tab w:val="left" w:pos="1170"/>
        </w:tabs>
        <w:ind w:firstLine="31680"/>
        <w:rPr>
          <w:rFonts w:hint="eastAsia"/>
          <w:bCs/>
          <w:color w:val="000000"/>
        </w:rPr>
      </w:pPr>
      <w:r>
        <w:rPr>
          <w:bCs/>
          <w:color w:val="000000"/>
        </w:rPr>
        <w:t>544.</w:t>
      </w:r>
      <w:r>
        <w:rPr>
          <w:rFonts w:hint="eastAsia"/>
          <w:bCs/>
          <w:color w:val="000000"/>
        </w:rPr>
        <w:t xml:space="preserve"> </w:t>
      </w:r>
      <w:r>
        <w:rPr>
          <w:rFonts w:hint="eastAsia"/>
          <w:bCs/>
          <w:color w:val="000000"/>
        </w:rPr>
        <w:t>《东帝汶宪法》规定，人人都享有卫生和医疗方面的权利，都有义务保护和促进这种权利。</w:t>
      </w:r>
      <w:r>
        <w:rPr>
          <w:rStyle w:val="FootnoteReference"/>
          <w:bCs/>
          <w:color w:val="000000"/>
        </w:rPr>
        <w:footnoteReference w:id="286"/>
      </w:r>
    </w:p>
    <w:p w:rsidR="00692915" w:rsidRDefault="00692915" w:rsidP="009A1C1B">
      <w:pPr>
        <w:tabs>
          <w:tab w:val="left" w:pos="1170"/>
        </w:tabs>
        <w:ind w:firstLine="31680"/>
        <w:rPr>
          <w:rFonts w:hint="eastAsia"/>
          <w:bCs/>
          <w:color w:val="000000"/>
        </w:rPr>
      </w:pPr>
      <w:r>
        <w:rPr>
          <w:bCs/>
          <w:color w:val="000000"/>
        </w:rPr>
        <w:t>545.</w:t>
      </w:r>
      <w:r>
        <w:rPr>
          <w:rFonts w:hint="eastAsia"/>
          <w:bCs/>
          <w:color w:val="000000"/>
        </w:rPr>
        <w:tab/>
      </w:r>
      <w:r>
        <w:rPr>
          <w:rFonts w:hint="eastAsia"/>
          <w:bCs/>
          <w:color w:val="000000"/>
        </w:rPr>
        <w:t>自</w:t>
      </w:r>
      <w:r>
        <w:rPr>
          <w:rFonts w:hint="eastAsia"/>
          <w:bCs/>
          <w:color w:val="000000"/>
        </w:rPr>
        <w:t>2002</w:t>
      </w:r>
      <w:r>
        <w:rPr>
          <w:rFonts w:hint="eastAsia"/>
          <w:bCs/>
          <w:color w:val="000000"/>
        </w:rPr>
        <w:t>年恢复独立以来，政府已将建立一个现代、方便、经济实惠的卫生体系置于高度优先地位。由于</w:t>
      </w:r>
      <w:r>
        <w:rPr>
          <w:rFonts w:hint="eastAsia"/>
          <w:bCs/>
          <w:color w:val="000000"/>
        </w:rPr>
        <w:t>1999</w:t>
      </w:r>
      <w:r>
        <w:rPr>
          <w:rFonts w:hint="eastAsia"/>
          <w:bCs/>
          <w:color w:val="000000"/>
        </w:rPr>
        <w:t>年卫生方面的物质基础设施普遍被毁，再加上有技术的卫生人员大量撤离，人们易受侵害的可能性大大增加</w:t>
      </w:r>
      <w:r>
        <w:rPr>
          <w:rFonts w:ascii="SimHei" w:eastAsia="SimHei" w:hint="eastAsia"/>
          <w:bCs/>
          <w:color w:val="000000"/>
          <w:spacing w:val="0"/>
        </w:rPr>
        <w:t>——</w:t>
      </w:r>
      <w:r>
        <w:rPr>
          <w:rFonts w:hint="eastAsia"/>
          <w:bCs/>
          <w:color w:val="000000"/>
        </w:rPr>
        <w:t>该地区已出现了一些最差的卫生指标。</w:t>
      </w:r>
    </w:p>
    <w:p w:rsidR="00692915" w:rsidRDefault="00692915" w:rsidP="009A1C1B">
      <w:pPr>
        <w:tabs>
          <w:tab w:val="left" w:pos="1170"/>
        </w:tabs>
        <w:ind w:firstLine="31680"/>
        <w:rPr>
          <w:rFonts w:hint="eastAsia"/>
          <w:bCs/>
          <w:color w:val="000000"/>
        </w:rPr>
      </w:pPr>
      <w:r>
        <w:rPr>
          <w:bCs/>
          <w:color w:val="000000"/>
        </w:rPr>
        <w:t xml:space="preserve">546. </w:t>
      </w:r>
      <w:r>
        <w:rPr>
          <w:rFonts w:hint="eastAsia"/>
          <w:bCs/>
          <w:color w:val="000000"/>
        </w:rPr>
        <w:t>自独立以来，新卫生体系的建立已取得了明显进展，卫生指标似乎正在逐渐改善。不过，最近开始实施的整套综合性卫生改革措施还没有产生预期的益处。</w:t>
      </w:r>
    </w:p>
    <w:p w:rsidR="00692915" w:rsidRDefault="00692915" w:rsidP="009A1C1B">
      <w:pPr>
        <w:tabs>
          <w:tab w:val="left" w:pos="1170"/>
        </w:tabs>
        <w:spacing w:line="360" w:lineRule="auto"/>
        <w:ind w:firstLine="31680"/>
        <w:rPr>
          <w:rFonts w:hint="eastAsia"/>
          <w:bCs/>
          <w:color w:val="000000"/>
        </w:rPr>
      </w:pPr>
      <w:r>
        <w:rPr>
          <w:bCs/>
          <w:color w:val="000000"/>
        </w:rPr>
        <w:br w:type="page"/>
        <w:t xml:space="preserve">547. </w:t>
      </w:r>
      <w:r>
        <w:rPr>
          <w:rFonts w:hint="eastAsia"/>
          <w:bCs/>
          <w:color w:val="000000"/>
        </w:rPr>
        <w:t>总之，东帝汶的卫生指标是东亚地区最低的。最严重的问题就是婴儿以及</w:t>
      </w:r>
      <w:r>
        <w:rPr>
          <w:rFonts w:hint="eastAsia"/>
          <w:bCs/>
          <w:color w:val="000000"/>
        </w:rPr>
        <w:t>5</w:t>
      </w:r>
      <w:r>
        <w:rPr>
          <w:rFonts w:hint="eastAsia"/>
          <w:bCs/>
          <w:color w:val="000000"/>
        </w:rPr>
        <w:t>岁以下幼儿因传染病引起的死亡率很高，其中主要原因包括：在产前保健中缺乏专业协助、生殖卫生差。死亡的主要原因是传染性疾病，包括肺结核和疟疾，以及腹泻和登革热。营养不良也是导致其他疾病的一个直接因素。</w:t>
      </w:r>
    </w:p>
    <w:p w:rsidR="00692915" w:rsidRDefault="00692915" w:rsidP="009A1C1B">
      <w:pPr>
        <w:tabs>
          <w:tab w:val="left" w:pos="1170"/>
        </w:tabs>
        <w:spacing w:line="360" w:lineRule="auto"/>
        <w:ind w:firstLine="31680"/>
        <w:rPr>
          <w:rFonts w:hint="eastAsia"/>
          <w:bCs/>
          <w:color w:val="000000"/>
        </w:rPr>
      </w:pPr>
      <w:r>
        <w:rPr>
          <w:bCs/>
          <w:color w:val="000000"/>
        </w:rPr>
        <w:t>548.</w:t>
      </w:r>
      <w:r>
        <w:rPr>
          <w:bCs/>
          <w:color w:val="000000"/>
        </w:rPr>
        <w:tab/>
      </w:r>
      <w:r>
        <w:rPr>
          <w:rFonts w:hint="eastAsia"/>
          <w:bCs/>
          <w:color w:val="000000"/>
        </w:rPr>
        <w:t>在东帝汶每年的</w:t>
      </w:r>
      <w:r>
        <w:rPr>
          <w:rFonts w:hint="eastAsia"/>
          <w:bCs/>
          <w:color w:val="000000"/>
        </w:rPr>
        <w:t>11</w:t>
      </w:r>
      <w:r>
        <w:rPr>
          <w:rFonts w:hint="eastAsia"/>
          <w:bCs/>
          <w:color w:val="000000"/>
        </w:rPr>
        <w:t>月至次年</w:t>
      </w:r>
      <w:r>
        <w:rPr>
          <w:rFonts w:hint="eastAsia"/>
          <w:bCs/>
          <w:color w:val="000000"/>
        </w:rPr>
        <w:t>2</w:t>
      </w:r>
      <w:r>
        <w:rPr>
          <w:rFonts w:hint="eastAsia"/>
          <w:bCs/>
          <w:color w:val="000000"/>
        </w:rPr>
        <w:t>月期间，有</w:t>
      </w:r>
      <w:r>
        <w:rPr>
          <w:rFonts w:hint="eastAsia"/>
          <w:bCs/>
          <w:color w:val="000000"/>
        </w:rPr>
        <w:t>40%</w:t>
      </w:r>
      <w:r>
        <w:rPr>
          <w:rFonts w:hint="eastAsia"/>
          <w:bCs/>
          <w:color w:val="000000"/>
        </w:rPr>
        <w:t>以上的人口存在粮食短缺问题，这使卫生问题更加严重。粮食缺乏保障的问题在农村地区最为严重，由于粮食短缺期间正好是雨季，国家的某些地方无法通行，因此在这一期间提供救济可能很困难。</w:t>
      </w:r>
    </w:p>
    <w:p w:rsidR="00692915" w:rsidRDefault="00692915" w:rsidP="009A1C1B">
      <w:pPr>
        <w:tabs>
          <w:tab w:val="left" w:pos="1170"/>
        </w:tabs>
        <w:spacing w:line="360" w:lineRule="auto"/>
        <w:ind w:firstLine="31680"/>
        <w:rPr>
          <w:rFonts w:hint="eastAsia"/>
          <w:bCs/>
          <w:color w:val="000000"/>
        </w:rPr>
      </w:pPr>
      <w:r>
        <w:rPr>
          <w:bCs/>
          <w:color w:val="000000"/>
        </w:rPr>
        <w:t>549.</w:t>
      </w:r>
      <w:r>
        <w:rPr>
          <w:bCs/>
          <w:color w:val="000000"/>
        </w:rPr>
        <w:tab/>
      </w:r>
      <w:r>
        <w:rPr>
          <w:rFonts w:hint="eastAsia"/>
          <w:bCs/>
          <w:color w:val="000000"/>
        </w:rPr>
        <w:t>根据估计，孕产妇死亡率（与怀孕、分娩和产后有关的死亡）高达每</w:t>
      </w:r>
      <w:r>
        <w:rPr>
          <w:bCs/>
          <w:color w:val="000000"/>
        </w:rPr>
        <w:t>10</w:t>
      </w:r>
      <w:r>
        <w:rPr>
          <w:rFonts w:hint="eastAsia"/>
          <w:bCs/>
          <w:color w:val="000000"/>
        </w:rPr>
        <w:t xml:space="preserve"> </w:t>
      </w:r>
      <w:r>
        <w:rPr>
          <w:bCs/>
          <w:color w:val="000000"/>
        </w:rPr>
        <w:t>000</w:t>
      </w:r>
      <w:r>
        <w:rPr>
          <w:rFonts w:hint="eastAsia"/>
          <w:bCs/>
          <w:color w:val="000000"/>
        </w:rPr>
        <w:t>名活产婴儿死亡</w:t>
      </w:r>
      <w:r>
        <w:rPr>
          <w:rFonts w:hint="eastAsia"/>
          <w:bCs/>
          <w:color w:val="000000"/>
        </w:rPr>
        <w:t>800</w:t>
      </w:r>
      <w:r>
        <w:rPr>
          <w:rFonts w:hint="eastAsia"/>
          <w:bCs/>
          <w:color w:val="000000"/>
        </w:rPr>
        <w:t>人，这是东帝汶另一个更严重的健康问题。生殖保健差是孕产妇死亡的主要原因，十几岁女孩怀孕的情况增多，怀孕的间隔期缩短。在东帝汶，生育间隔和限制生育几乎闻所未闻，长期以来孕产妇和儿童营养不良的情况一直司空见惯。营养不良、碘和维生素</w:t>
      </w:r>
      <w:r>
        <w:rPr>
          <w:rFonts w:hint="eastAsia"/>
          <w:bCs/>
          <w:color w:val="000000"/>
        </w:rPr>
        <w:t>A</w:t>
      </w:r>
      <w:r>
        <w:rPr>
          <w:rFonts w:hint="eastAsia"/>
          <w:bCs/>
          <w:color w:val="000000"/>
        </w:rPr>
        <w:t>缺乏的情况很普遍。有三分之一</w:t>
      </w:r>
      <w:r>
        <w:rPr>
          <w:rFonts w:hint="eastAsia"/>
          <w:bCs/>
          <w:color w:val="000000"/>
        </w:rPr>
        <w:t>15-49</w:t>
      </w:r>
      <w:r>
        <w:rPr>
          <w:rFonts w:hint="eastAsia"/>
          <w:bCs/>
          <w:color w:val="000000"/>
        </w:rPr>
        <w:t>岁之间的妇女存在营养不良的问题，而且患有慢性能量不足症。</w:t>
      </w:r>
      <w:r>
        <w:rPr>
          <w:rStyle w:val="FootnoteReference"/>
          <w:bCs/>
          <w:color w:val="000000"/>
        </w:rPr>
        <w:footnoteReference w:id="287"/>
      </w:r>
    </w:p>
    <w:p w:rsidR="00692915" w:rsidRDefault="00692915" w:rsidP="009A1C1B">
      <w:pPr>
        <w:tabs>
          <w:tab w:val="left" w:pos="1170"/>
        </w:tabs>
        <w:spacing w:line="360" w:lineRule="auto"/>
        <w:ind w:firstLine="31680"/>
        <w:rPr>
          <w:rFonts w:hint="eastAsia"/>
          <w:bCs/>
          <w:color w:val="000000"/>
        </w:rPr>
      </w:pPr>
      <w:r>
        <w:rPr>
          <w:bCs/>
          <w:color w:val="000000"/>
        </w:rPr>
        <w:t>550.</w:t>
      </w:r>
      <w:r>
        <w:rPr>
          <w:bCs/>
          <w:color w:val="000000"/>
        </w:rPr>
        <w:tab/>
      </w:r>
      <w:r>
        <w:rPr>
          <w:rFonts w:hint="eastAsia"/>
          <w:bCs/>
          <w:color w:val="000000"/>
        </w:rPr>
        <w:t>5</w:t>
      </w:r>
      <w:r>
        <w:rPr>
          <w:rFonts w:hint="eastAsia"/>
          <w:bCs/>
          <w:color w:val="000000"/>
        </w:rPr>
        <w:t>岁以下儿童死亡的原因包括：可以通过免疫预防的疾病（例如：肺结核和疟疾）、传染性疾病（包括腹泻和急性呼吸道感染）。同样，营养不良是导致其他疾病的一个主要因素。</w:t>
      </w:r>
      <w:r>
        <w:rPr>
          <w:rStyle w:val="FootnoteReference"/>
          <w:bCs/>
          <w:color w:val="000000"/>
        </w:rPr>
        <w:footnoteReference w:id="288"/>
      </w:r>
      <w:r>
        <w:rPr>
          <w:rFonts w:hint="eastAsia"/>
          <w:bCs/>
          <w:color w:val="000000"/>
        </w:rPr>
        <w:t>根据</w:t>
      </w:r>
      <w:r>
        <w:rPr>
          <w:rFonts w:hint="eastAsia"/>
          <w:bCs/>
          <w:color w:val="000000"/>
        </w:rPr>
        <w:t>2004</w:t>
      </w:r>
      <w:r>
        <w:rPr>
          <w:rFonts w:hint="eastAsia"/>
          <w:bCs/>
          <w:color w:val="000000"/>
        </w:rPr>
        <w:t>年人口普查的记录，婴儿死亡率为每</w:t>
      </w:r>
      <w:r>
        <w:rPr>
          <w:rFonts w:hint="eastAsia"/>
          <w:bCs/>
          <w:color w:val="000000"/>
        </w:rPr>
        <w:t>1 000</w:t>
      </w:r>
      <w:r>
        <w:rPr>
          <w:rFonts w:hint="eastAsia"/>
          <w:bCs/>
          <w:color w:val="000000"/>
        </w:rPr>
        <w:t>活产婴儿死亡</w:t>
      </w:r>
      <w:r>
        <w:rPr>
          <w:rFonts w:hint="eastAsia"/>
          <w:bCs/>
          <w:color w:val="000000"/>
        </w:rPr>
        <w:t>90</w:t>
      </w:r>
      <w:r>
        <w:rPr>
          <w:rFonts w:hint="eastAsia"/>
          <w:bCs/>
          <w:color w:val="000000"/>
        </w:rPr>
        <w:t>人，最常见的原因是感染、早产和分娩损伤，</w:t>
      </w:r>
      <w:r>
        <w:rPr>
          <w:rFonts w:hint="eastAsia"/>
          <w:bCs/>
          <w:color w:val="000000"/>
        </w:rPr>
        <w:t>5</w:t>
      </w:r>
      <w:r>
        <w:rPr>
          <w:rFonts w:hint="eastAsia"/>
          <w:bCs/>
          <w:color w:val="000000"/>
        </w:rPr>
        <w:t>岁以下儿童死亡率估计为每</w:t>
      </w:r>
      <w:r>
        <w:rPr>
          <w:rFonts w:hint="eastAsia"/>
          <w:bCs/>
          <w:color w:val="000000"/>
        </w:rPr>
        <w:t>1 000</w:t>
      </w:r>
      <w:r>
        <w:rPr>
          <w:rFonts w:hint="eastAsia"/>
          <w:bCs/>
          <w:color w:val="000000"/>
        </w:rPr>
        <w:t>活产婴儿死亡</w:t>
      </w:r>
      <w:r>
        <w:rPr>
          <w:rFonts w:hint="eastAsia"/>
          <w:bCs/>
          <w:color w:val="000000"/>
        </w:rPr>
        <w:t>136</w:t>
      </w:r>
      <w:r>
        <w:rPr>
          <w:rFonts w:hint="eastAsia"/>
          <w:bCs/>
          <w:color w:val="000000"/>
        </w:rPr>
        <w:t>人，儿童死亡率为每</w:t>
      </w:r>
      <w:r>
        <w:rPr>
          <w:rFonts w:hint="eastAsia"/>
          <w:bCs/>
          <w:color w:val="000000"/>
        </w:rPr>
        <w:t>1 000</w:t>
      </w:r>
      <w:r>
        <w:rPr>
          <w:rFonts w:hint="eastAsia"/>
          <w:bCs/>
          <w:color w:val="000000"/>
        </w:rPr>
        <w:t>活产婴儿死亡</w:t>
      </w:r>
      <w:r>
        <w:rPr>
          <w:rFonts w:hint="eastAsia"/>
          <w:bCs/>
          <w:color w:val="000000"/>
        </w:rPr>
        <w:t>46</w:t>
      </w:r>
      <w:r>
        <w:rPr>
          <w:rFonts w:hint="eastAsia"/>
          <w:bCs/>
          <w:color w:val="000000"/>
        </w:rPr>
        <w:t>人。导致这一情况的原因包括：在产前保健中缺乏专业协助、生殖保健差。</w:t>
      </w:r>
    </w:p>
    <w:p w:rsidR="00692915" w:rsidRDefault="00692915" w:rsidP="009A1C1B">
      <w:pPr>
        <w:tabs>
          <w:tab w:val="left" w:pos="1170"/>
        </w:tabs>
        <w:spacing w:line="360" w:lineRule="auto"/>
        <w:ind w:firstLine="31680"/>
        <w:rPr>
          <w:rFonts w:hint="eastAsia"/>
          <w:bCs/>
          <w:color w:val="000000"/>
        </w:rPr>
      </w:pPr>
      <w:r>
        <w:rPr>
          <w:bCs/>
          <w:color w:val="000000"/>
        </w:rPr>
        <w:t xml:space="preserve">551. </w:t>
      </w:r>
      <w:r>
        <w:rPr>
          <w:rFonts w:hint="eastAsia"/>
          <w:bCs/>
          <w:color w:val="000000"/>
        </w:rPr>
        <w:t>根据</w:t>
      </w:r>
      <w:r>
        <w:rPr>
          <w:rFonts w:hint="eastAsia"/>
          <w:bCs/>
          <w:color w:val="000000"/>
        </w:rPr>
        <w:t>2002</w:t>
      </w:r>
      <w:r>
        <w:rPr>
          <w:rFonts w:hint="eastAsia"/>
          <w:bCs/>
          <w:color w:val="000000"/>
        </w:rPr>
        <w:t>年进行的多指标类集调查，在</w:t>
      </w:r>
      <w:r>
        <w:rPr>
          <w:rFonts w:hint="eastAsia"/>
          <w:bCs/>
          <w:color w:val="000000"/>
        </w:rPr>
        <w:t>5</w:t>
      </w:r>
      <w:r>
        <w:rPr>
          <w:rFonts w:hint="eastAsia"/>
          <w:bCs/>
          <w:color w:val="000000"/>
        </w:rPr>
        <w:t>岁以下的儿童中，身体较弱的占</w:t>
      </w:r>
      <w:r>
        <w:rPr>
          <w:rFonts w:hint="eastAsia"/>
          <w:bCs/>
          <w:color w:val="000000"/>
        </w:rPr>
        <w:t>12%</w:t>
      </w:r>
      <w:r>
        <w:rPr>
          <w:rFonts w:hint="eastAsia"/>
          <w:bCs/>
          <w:color w:val="000000"/>
        </w:rPr>
        <w:t>，发育迟缓的占</w:t>
      </w:r>
      <w:r>
        <w:rPr>
          <w:rFonts w:hint="eastAsia"/>
          <w:bCs/>
          <w:color w:val="000000"/>
        </w:rPr>
        <w:t>47%</w:t>
      </w:r>
      <w:r>
        <w:rPr>
          <w:rFonts w:hint="eastAsia"/>
          <w:bCs/>
          <w:color w:val="000000"/>
        </w:rPr>
        <w:t>，体重不足的占</w:t>
      </w:r>
      <w:r>
        <w:rPr>
          <w:rFonts w:hint="eastAsia"/>
          <w:bCs/>
          <w:color w:val="000000"/>
        </w:rPr>
        <w:t>43%</w:t>
      </w:r>
      <w:r>
        <w:rPr>
          <w:rFonts w:hint="eastAsia"/>
          <w:bCs/>
          <w:color w:val="000000"/>
        </w:rPr>
        <w:t>，东帝汶大约有</w:t>
      </w:r>
      <w:r>
        <w:rPr>
          <w:bCs/>
          <w:color w:val="000000"/>
        </w:rPr>
        <w:t>200</w:t>
      </w:r>
      <w:r>
        <w:rPr>
          <w:rFonts w:hint="eastAsia"/>
          <w:bCs/>
          <w:color w:val="000000"/>
        </w:rPr>
        <w:t xml:space="preserve"> </w:t>
      </w:r>
      <w:r>
        <w:rPr>
          <w:bCs/>
          <w:color w:val="000000"/>
        </w:rPr>
        <w:t>000</w:t>
      </w:r>
      <w:r>
        <w:rPr>
          <w:rFonts w:hint="eastAsia"/>
          <w:bCs/>
          <w:color w:val="000000"/>
        </w:rPr>
        <w:t>名</w:t>
      </w:r>
      <w:r>
        <w:rPr>
          <w:rFonts w:hint="eastAsia"/>
          <w:bCs/>
          <w:color w:val="000000"/>
        </w:rPr>
        <w:t>5</w:t>
      </w:r>
      <w:r>
        <w:rPr>
          <w:rFonts w:hint="eastAsia"/>
          <w:bCs/>
          <w:color w:val="000000"/>
        </w:rPr>
        <w:t>岁以下的儿童，这说明其中大约有</w:t>
      </w:r>
      <w:r>
        <w:rPr>
          <w:bCs/>
          <w:color w:val="000000"/>
        </w:rPr>
        <w:t>24</w:t>
      </w:r>
      <w:r>
        <w:rPr>
          <w:rFonts w:hint="eastAsia"/>
          <w:bCs/>
          <w:color w:val="000000"/>
        </w:rPr>
        <w:t xml:space="preserve"> </w:t>
      </w:r>
      <w:r>
        <w:rPr>
          <w:bCs/>
          <w:color w:val="000000"/>
        </w:rPr>
        <w:t>000</w:t>
      </w:r>
      <w:r>
        <w:rPr>
          <w:rFonts w:hint="eastAsia"/>
          <w:bCs/>
          <w:color w:val="000000"/>
        </w:rPr>
        <w:t>名的儿童身体较弱，</w:t>
      </w:r>
      <w:r>
        <w:rPr>
          <w:bCs/>
          <w:color w:val="000000"/>
        </w:rPr>
        <w:t>94</w:t>
      </w:r>
      <w:r>
        <w:rPr>
          <w:rFonts w:hint="eastAsia"/>
          <w:bCs/>
          <w:color w:val="000000"/>
        </w:rPr>
        <w:t xml:space="preserve"> </w:t>
      </w:r>
      <w:r>
        <w:rPr>
          <w:bCs/>
          <w:color w:val="000000"/>
        </w:rPr>
        <w:t>000</w:t>
      </w:r>
      <w:r>
        <w:rPr>
          <w:rFonts w:hint="eastAsia"/>
          <w:bCs/>
          <w:color w:val="000000"/>
        </w:rPr>
        <w:t>名的儿童发育迟缓。</w:t>
      </w:r>
    </w:p>
    <w:p w:rsidR="00692915" w:rsidRDefault="00692915" w:rsidP="009A1C1B">
      <w:pPr>
        <w:tabs>
          <w:tab w:val="left" w:pos="1170"/>
        </w:tabs>
        <w:spacing w:line="360" w:lineRule="auto"/>
        <w:ind w:firstLine="31680"/>
        <w:rPr>
          <w:rFonts w:hint="eastAsia"/>
          <w:bCs/>
          <w:color w:val="000000"/>
        </w:rPr>
      </w:pPr>
      <w:r>
        <w:rPr>
          <w:bCs/>
          <w:color w:val="000000"/>
        </w:rPr>
        <w:t>552.</w:t>
      </w:r>
      <w:r>
        <w:rPr>
          <w:rFonts w:hint="eastAsia"/>
          <w:bCs/>
          <w:color w:val="000000"/>
        </w:rPr>
        <w:tab/>
      </w:r>
      <w:r>
        <w:rPr>
          <w:rFonts w:hint="eastAsia"/>
          <w:bCs/>
          <w:color w:val="000000"/>
        </w:rPr>
        <w:t>有关</w:t>
      </w:r>
      <w:r>
        <w:rPr>
          <w:bCs/>
          <w:color w:val="000000"/>
        </w:rPr>
        <w:t>《消除对妇女一切形式歧视公约》</w:t>
      </w:r>
      <w:r>
        <w:rPr>
          <w:rFonts w:hint="eastAsia"/>
          <w:bCs/>
          <w:color w:val="000000"/>
        </w:rPr>
        <w:t>和</w:t>
      </w:r>
      <w:r>
        <w:rPr>
          <w:bCs/>
          <w:color w:val="000000"/>
        </w:rPr>
        <w:t>《儿童权利公约》</w:t>
      </w:r>
      <w:r>
        <w:rPr>
          <w:rFonts w:hint="eastAsia"/>
          <w:bCs/>
          <w:color w:val="000000"/>
        </w:rPr>
        <w:t>的专门文件将对其中某些问题做进一步探讨。</w:t>
      </w:r>
    </w:p>
    <w:p w:rsidR="00692915" w:rsidRDefault="00692915" w:rsidP="009A1C1B">
      <w:pPr>
        <w:tabs>
          <w:tab w:val="left" w:pos="1170"/>
        </w:tabs>
        <w:autoSpaceDE w:val="0"/>
        <w:autoSpaceDN w:val="0"/>
        <w:spacing w:line="360" w:lineRule="auto"/>
        <w:ind w:firstLine="31680"/>
        <w:rPr>
          <w:rFonts w:hint="eastAsia"/>
          <w:bCs/>
          <w:color w:val="000000"/>
        </w:rPr>
      </w:pPr>
      <w:r>
        <w:rPr>
          <w:bCs/>
          <w:color w:val="000000"/>
        </w:rPr>
        <w:t>553.</w:t>
      </w:r>
      <w:r>
        <w:rPr>
          <w:bCs/>
          <w:color w:val="000000"/>
        </w:rPr>
        <w:tab/>
      </w:r>
      <w:r>
        <w:rPr>
          <w:rFonts w:hint="eastAsia"/>
          <w:bCs/>
          <w:color w:val="000000"/>
        </w:rPr>
        <w:t>可预防传染性疾病（例如：疟疾、肺结核、儿童呼吸道感染、腹泻等）的发生率很高，非传染性疾病的发生率在不断上升。最常见的儿童疾病有急性呼吸道感染和腹泻，其次是疟疾和寄生虫感染。腹泻的情况很普遍，这与缺乏安全饮用水有关。没有安全饮用水的住户比率高达</w:t>
      </w:r>
      <w:r>
        <w:rPr>
          <w:rFonts w:hint="eastAsia"/>
          <w:bCs/>
          <w:color w:val="000000"/>
        </w:rPr>
        <w:t>60%</w:t>
      </w:r>
      <w:r>
        <w:rPr>
          <w:rFonts w:hint="eastAsia"/>
          <w:bCs/>
          <w:color w:val="000000"/>
        </w:rPr>
        <w:t>，按照比例来说，农村地区没有安全饮用水的住户更多。高达</w:t>
      </w:r>
      <w:r>
        <w:rPr>
          <w:rFonts w:hint="eastAsia"/>
          <w:bCs/>
          <w:color w:val="000000"/>
        </w:rPr>
        <w:t>60%</w:t>
      </w:r>
      <w:r>
        <w:rPr>
          <w:rFonts w:hint="eastAsia"/>
          <w:bCs/>
          <w:color w:val="000000"/>
        </w:rPr>
        <w:t>的城市住户使用容易受下水道和其他污染源污染的浅层地下水。疟疾在所有地区都很普遍，其中报告的儿童发病率和死亡率最高。自</w:t>
      </w:r>
      <w:r>
        <w:rPr>
          <w:rFonts w:hint="eastAsia"/>
          <w:bCs/>
          <w:color w:val="000000"/>
        </w:rPr>
        <w:t>1999</w:t>
      </w:r>
      <w:r>
        <w:rPr>
          <w:rFonts w:hint="eastAsia"/>
          <w:bCs/>
          <w:color w:val="000000"/>
        </w:rPr>
        <w:t>年危机后，由于监测系统、病媒控制活动和治疗设施崩溃，东帝汶的疟疾发生情况增至三倍。四个地区（包括首都）为高发区，已有</w:t>
      </w:r>
      <w:r>
        <w:rPr>
          <w:rFonts w:ascii="Arial" w:hAnsi="Arial" w:cs="Arial" w:hint="eastAsia"/>
          <w:color w:val="000000"/>
        </w:rPr>
        <w:t>氯喹抗性株的报告。肺结核是公共健康的主要问题，</w:t>
      </w:r>
      <w:r>
        <w:rPr>
          <w:rFonts w:hint="eastAsia"/>
          <w:color w:val="000000"/>
        </w:rPr>
        <w:t>2002</w:t>
      </w:r>
      <w:r>
        <w:rPr>
          <w:rFonts w:hint="eastAsia"/>
          <w:color w:val="000000"/>
        </w:rPr>
        <w:t>年报告了</w:t>
      </w:r>
      <w:r>
        <w:rPr>
          <w:bCs/>
          <w:color w:val="000000"/>
        </w:rPr>
        <w:t>2</w:t>
      </w:r>
      <w:r>
        <w:rPr>
          <w:rFonts w:hint="eastAsia"/>
          <w:bCs/>
          <w:color w:val="000000"/>
        </w:rPr>
        <w:t xml:space="preserve"> </w:t>
      </w:r>
      <w:r>
        <w:rPr>
          <w:bCs/>
          <w:color w:val="000000"/>
        </w:rPr>
        <w:t>762</w:t>
      </w:r>
      <w:r>
        <w:rPr>
          <w:rFonts w:hint="eastAsia"/>
          <w:bCs/>
          <w:color w:val="000000"/>
        </w:rPr>
        <w:t>例肺结核病例，其中有</w:t>
      </w:r>
      <w:r>
        <w:rPr>
          <w:bCs/>
          <w:color w:val="000000"/>
        </w:rPr>
        <w:t>1</w:t>
      </w:r>
      <w:r>
        <w:rPr>
          <w:rFonts w:hint="eastAsia"/>
          <w:bCs/>
          <w:color w:val="000000"/>
        </w:rPr>
        <w:t xml:space="preserve"> </w:t>
      </w:r>
      <w:r>
        <w:rPr>
          <w:bCs/>
          <w:color w:val="000000"/>
        </w:rPr>
        <w:t>136</w:t>
      </w:r>
      <w:r>
        <w:rPr>
          <w:rFonts w:hint="eastAsia"/>
          <w:bCs/>
          <w:color w:val="000000"/>
        </w:rPr>
        <w:t>例的痰涂片呈阳性。东帝汶的麻风病也很普遍。最近在欧库西地区进行的调查显示，麻风病流行的情况令人吃惊，发病率为每</w:t>
      </w:r>
      <w:r>
        <w:rPr>
          <w:rFonts w:hint="eastAsia"/>
          <w:bCs/>
          <w:color w:val="000000"/>
        </w:rPr>
        <w:t>1 000</w:t>
      </w:r>
      <w:r>
        <w:rPr>
          <w:rFonts w:hint="eastAsia"/>
          <w:bCs/>
          <w:color w:val="000000"/>
        </w:rPr>
        <w:t>人发病</w:t>
      </w:r>
      <w:r>
        <w:rPr>
          <w:rFonts w:hint="eastAsia"/>
          <w:bCs/>
          <w:color w:val="000000"/>
        </w:rPr>
        <w:t>80</w:t>
      </w:r>
      <w:r>
        <w:rPr>
          <w:rFonts w:hint="eastAsia"/>
          <w:bCs/>
          <w:color w:val="000000"/>
        </w:rPr>
        <w:t>人。</w:t>
      </w:r>
    </w:p>
    <w:p w:rsidR="00692915" w:rsidRDefault="00692915" w:rsidP="009A1C1B">
      <w:pPr>
        <w:tabs>
          <w:tab w:val="left" w:pos="1170"/>
        </w:tabs>
        <w:autoSpaceDE w:val="0"/>
        <w:autoSpaceDN w:val="0"/>
        <w:spacing w:line="360" w:lineRule="auto"/>
        <w:ind w:firstLine="31680"/>
        <w:rPr>
          <w:rFonts w:hint="eastAsia"/>
          <w:bCs/>
          <w:color w:val="000000"/>
        </w:rPr>
      </w:pPr>
      <w:r>
        <w:rPr>
          <w:bCs/>
          <w:color w:val="000000"/>
        </w:rPr>
        <w:t>554.</w:t>
      </w:r>
      <w:r>
        <w:rPr>
          <w:bCs/>
          <w:color w:val="000000"/>
        </w:rPr>
        <w:tab/>
      </w:r>
      <w:r>
        <w:rPr>
          <w:rFonts w:hint="eastAsia"/>
          <w:bCs/>
          <w:color w:val="000000"/>
        </w:rPr>
        <w:t>最近，登革热殃及了五个地区，其中包括首都帝力。在</w:t>
      </w:r>
      <w:r>
        <w:rPr>
          <w:rFonts w:hint="eastAsia"/>
          <w:bCs/>
          <w:color w:val="000000"/>
        </w:rPr>
        <w:t>2005</w:t>
      </w:r>
      <w:r>
        <w:rPr>
          <w:rFonts w:hint="eastAsia"/>
          <w:bCs/>
          <w:color w:val="000000"/>
        </w:rPr>
        <w:t>年年初的湿季期间，确诊的病例超过了</w:t>
      </w:r>
      <w:r>
        <w:rPr>
          <w:rFonts w:hint="eastAsia"/>
          <w:bCs/>
          <w:color w:val="000000"/>
        </w:rPr>
        <w:t>700</w:t>
      </w:r>
      <w:r>
        <w:rPr>
          <w:rFonts w:hint="eastAsia"/>
          <w:bCs/>
          <w:color w:val="000000"/>
        </w:rPr>
        <w:t>例，死于登革热的报告病例为</w:t>
      </w:r>
      <w:r>
        <w:rPr>
          <w:rFonts w:hint="eastAsia"/>
          <w:bCs/>
          <w:color w:val="000000"/>
        </w:rPr>
        <w:t>39</w:t>
      </w:r>
      <w:r>
        <w:rPr>
          <w:rFonts w:hint="eastAsia"/>
          <w:bCs/>
          <w:color w:val="000000"/>
        </w:rPr>
        <w:t>例，其中大多数为婴儿和儿童。登革热工作队对此做出了迅速反应，他们向弱势人群发放了蚊账，对那些受登革热影响的地区进行了喷雾消毒和清洁，并通过群众运动（包括利用媒体）让公众了解这种疾病。目前正在制定中期战略以便对蚊媒传播疾病的决定性环境因素做出反应，以此作为更具有可持续性的措施。</w:t>
      </w:r>
    </w:p>
    <w:p w:rsidR="00692915" w:rsidRDefault="00692915" w:rsidP="009A1C1B">
      <w:pPr>
        <w:tabs>
          <w:tab w:val="left" w:pos="1170"/>
        </w:tabs>
        <w:autoSpaceDE w:val="0"/>
        <w:autoSpaceDN w:val="0"/>
        <w:spacing w:line="360" w:lineRule="auto"/>
        <w:ind w:firstLine="31680"/>
        <w:rPr>
          <w:rFonts w:hint="eastAsia"/>
          <w:bCs/>
          <w:color w:val="000000"/>
        </w:rPr>
      </w:pPr>
      <w:r>
        <w:rPr>
          <w:bCs/>
          <w:color w:val="000000"/>
        </w:rPr>
        <w:t xml:space="preserve">555. </w:t>
      </w:r>
      <w:r>
        <w:rPr>
          <w:rFonts w:hint="eastAsia"/>
          <w:bCs/>
          <w:color w:val="000000"/>
        </w:rPr>
        <w:t>参与区域协商的人员还指出，男性，尤其是农村男性饮酒（通常为棕榈酒）过量也加大了男性健康的风险。</w:t>
      </w:r>
      <w:r>
        <w:rPr>
          <w:rStyle w:val="FootnoteReference"/>
          <w:bCs/>
          <w:color w:val="000000"/>
        </w:rPr>
        <w:footnoteReference w:id="289"/>
      </w:r>
      <w:r>
        <w:rPr>
          <w:rFonts w:hint="eastAsia"/>
          <w:bCs/>
          <w:color w:val="000000"/>
        </w:rPr>
        <w:t>人口与健康调查显示，大约有</w:t>
      </w:r>
      <w:r>
        <w:rPr>
          <w:rFonts w:hint="eastAsia"/>
          <w:bCs/>
          <w:color w:val="000000"/>
        </w:rPr>
        <w:t>60%</w:t>
      </w:r>
      <w:r>
        <w:rPr>
          <w:rFonts w:hint="eastAsia"/>
          <w:bCs/>
          <w:color w:val="000000"/>
        </w:rPr>
        <w:t>的男性抽某种形式的烟，而报告的女性抽烟率只有</w:t>
      </w:r>
      <w:r>
        <w:rPr>
          <w:rFonts w:hint="eastAsia"/>
          <w:bCs/>
          <w:color w:val="000000"/>
        </w:rPr>
        <w:t>4%</w:t>
      </w:r>
      <w:r>
        <w:rPr>
          <w:rFonts w:hint="eastAsia"/>
          <w:bCs/>
          <w:color w:val="000000"/>
        </w:rPr>
        <w:t>。</w:t>
      </w:r>
    </w:p>
    <w:p w:rsidR="00692915" w:rsidRDefault="00692915" w:rsidP="009A1C1B">
      <w:pPr>
        <w:tabs>
          <w:tab w:val="left" w:pos="1170"/>
        </w:tabs>
        <w:spacing w:after="240" w:line="360" w:lineRule="auto"/>
        <w:ind w:firstLine="31680"/>
        <w:rPr>
          <w:rFonts w:hint="eastAsia"/>
          <w:bCs/>
          <w:color w:val="000000"/>
        </w:rPr>
      </w:pPr>
      <w:r>
        <w:rPr>
          <w:bCs/>
          <w:color w:val="000000"/>
        </w:rPr>
        <w:t>556.</w:t>
      </w:r>
      <w:r>
        <w:rPr>
          <w:bCs/>
          <w:color w:val="000000"/>
        </w:rPr>
        <w:tab/>
      </w:r>
      <w:r>
        <w:rPr>
          <w:rFonts w:hint="eastAsia"/>
          <w:bCs/>
          <w:color w:val="000000"/>
        </w:rPr>
        <w:t>卫生部门的另一些问题与提供服务的能力有关。在边远地区，人们获取医疗服务的情况较差。各地区之间以及地区之内的通行设施不足，通行很困难，雨季情况尤其严重。尽管目前正在采取措施，但是并不总能为那些前往卫生机构的病童提供全面和优质的理想护理服务。还需要有数量充分、经验丰富和训练有素的医疗工作队伍，以全面满足初级和中级保健系统的需求。</w:t>
      </w:r>
    </w:p>
    <w:p w:rsidR="00692915" w:rsidRDefault="00692915">
      <w:pPr>
        <w:pStyle w:val="Heading2"/>
        <w:tabs>
          <w:tab w:val="left" w:pos="1170"/>
        </w:tabs>
        <w:jc w:val="both"/>
        <w:rPr>
          <w:rFonts w:hint="eastAsia"/>
          <w:b/>
          <w:color w:val="000000"/>
          <w:sz w:val="24"/>
        </w:rPr>
      </w:pPr>
      <w:bookmarkStart w:id="98" w:name="_Toc150514995"/>
      <w:bookmarkStart w:id="99" w:name="_Toc150684898"/>
      <w:r>
        <w:rPr>
          <w:color w:val="000000"/>
          <w:sz w:val="24"/>
        </w:rPr>
        <w:t xml:space="preserve">4. </w:t>
      </w:r>
      <w:bookmarkEnd w:id="98"/>
      <w:bookmarkEnd w:id="99"/>
      <w:r>
        <w:rPr>
          <w:b/>
          <w:color w:val="000000"/>
          <w:sz w:val="24"/>
        </w:rPr>
        <w:t xml:space="preserve"> </w:t>
      </w:r>
      <w:r>
        <w:rPr>
          <w:rFonts w:hint="eastAsia"/>
          <w:color w:val="000000"/>
          <w:sz w:val="24"/>
          <w:u w:val="single"/>
        </w:rPr>
        <w:t>生殖健康</w:t>
      </w:r>
    </w:p>
    <w:p w:rsidR="00692915" w:rsidRDefault="00692915" w:rsidP="009A1C1B">
      <w:pPr>
        <w:tabs>
          <w:tab w:val="left" w:pos="1170"/>
        </w:tabs>
        <w:ind w:firstLine="31680"/>
        <w:rPr>
          <w:rFonts w:hint="eastAsia"/>
          <w:bCs/>
          <w:color w:val="000000"/>
        </w:rPr>
      </w:pPr>
      <w:r>
        <w:rPr>
          <w:bCs/>
          <w:color w:val="000000"/>
        </w:rPr>
        <w:t>557.</w:t>
      </w:r>
      <w:r>
        <w:rPr>
          <w:bCs/>
          <w:color w:val="000000"/>
        </w:rPr>
        <w:tab/>
      </w:r>
      <w:r>
        <w:rPr>
          <w:rFonts w:hint="eastAsia"/>
          <w:bCs/>
          <w:color w:val="000000"/>
        </w:rPr>
        <w:t>在东帝汶，平均每位妇女有</w:t>
      </w:r>
      <w:r>
        <w:rPr>
          <w:rFonts w:hint="eastAsia"/>
          <w:bCs/>
          <w:color w:val="000000"/>
        </w:rPr>
        <w:t>7</w:t>
      </w:r>
      <w:r>
        <w:rPr>
          <w:rFonts w:hint="eastAsia"/>
          <w:bCs/>
          <w:color w:val="000000"/>
        </w:rPr>
        <w:t>个孩子，生育率是世界上最高的，人们对采用避孕或相关知识的了解甚少。人口与健康调查显示，在调查之际，有</w:t>
      </w:r>
      <w:r>
        <w:rPr>
          <w:rFonts w:hint="eastAsia"/>
          <w:bCs/>
          <w:color w:val="000000"/>
        </w:rPr>
        <w:t>80%</w:t>
      </w:r>
      <w:r>
        <w:rPr>
          <w:rFonts w:hint="eastAsia"/>
          <w:bCs/>
          <w:color w:val="000000"/>
        </w:rPr>
        <w:t>的已婚妇女从未采用过任何避孕措施，只有</w:t>
      </w:r>
      <w:r>
        <w:rPr>
          <w:rFonts w:hint="eastAsia"/>
          <w:bCs/>
          <w:color w:val="000000"/>
        </w:rPr>
        <w:t>10%</w:t>
      </w:r>
      <w:r>
        <w:rPr>
          <w:rFonts w:hint="eastAsia"/>
          <w:bCs/>
          <w:color w:val="000000"/>
        </w:rPr>
        <w:t>的人采用过这类措施。据报告，没有使用这类措施的主要原因是“反对使用”（自己或伴侣反对，或宗教禁止）（</w:t>
      </w:r>
      <w:r>
        <w:rPr>
          <w:rFonts w:hint="eastAsia"/>
          <w:bCs/>
          <w:color w:val="000000"/>
        </w:rPr>
        <w:t>29%</w:t>
      </w:r>
      <w:r>
        <w:rPr>
          <w:rFonts w:hint="eastAsia"/>
          <w:bCs/>
          <w:color w:val="000000"/>
        </w:rPr>
        <w:t>），“担心副作用”（</w:t>
      </w:r>
      <w:r>
        <w:rPr>
          <w:rFonts w:hint="eastAsia"/>
          <w:bCs/>
          <w:color w:val="000000"/>
        </w:rPr>
        <w:t>24%</w:t>
      </w:r>
      <w:r>
        <w:rPr>
          <w:rFonts w:hint="eastAsia"/>
          <w:bCs/>
          <w:color w:val="000000"/>
        </w:rPr>
        <w:t>），“想要尽可能多的子女”（</w:t>
      </w:r>
      <w:r>
        <w:rPr>
          <w:rFonts w:hint="eastAsia"/>
          <w:bCs/>
          <w:color w:val="000000"/>
        </w:rPr>
        <w:t>19%</w:t>
      </w:r>
      <w:r>
        <w:rPr>
          <w:rFonts w:hint="eastAsia"/>
          <w:bCs/>
          <w:color w:val="000000"/>
        </w:rPr>
        <w:t>）有</w:t>
      </w:r>
      <w:r>
        <w:rPr>
          <w:rFonts w:hint="eastAsia"/>
          <w:bCs/>
          <w:color w:val="000000"/>
        </w:rPr>
        <w:t>10%</w:t>
      </w:r>
      <w:r>
        <w:rPr>
          <w:rFonts w:hint="eastAsia"/>
          <w:bCs/>
          <w:color w:val="000000"/>
        </w:rPr>
        <w:t>的妇女和</w:t>
      </w:r>
      <w:r>
        <w:rPr>
          <w:rFonts w:hint="eastAsia"/>
          <w:bCs/>
          <w:color w:val="000000"/>
        </w:rPr>
        <w:t>25%</w:t>
      </w:r>
      <w:r>
        <w:rPr>
          <w:rFonts w:hint="eastAsia"/>
          <w:bCs/>
          <w:color w:val="000000"/>
        </w:rPr>
        <w:t>成年男子报告说“缺乏知识”，这与以下情况相矛盾：有</w:t>
      </w:r>
      <w:r>
        <w:rPr>
          <w:rFonts w:hint="eastAsia"/>
          <w:bCs/>
          <w:color w:val="000000"/>
        </w:rPr>
        <w:t>62%</w:t>
      </w:r>
      <w:r>
        <w:rPr>
          <w:rFonts w:hint="eastAsia"/>
          <w:bCs/>
          <w:color w:val="000000"/>
        </w:rPr>
        <w:t>的妇女和</w:t>
      </w:r>
      <w:r>
        <w:rPr>
          <w:rFonts w:hint="eastAsia"/>
          <w:bCs/>
          <w:color w:val="000000"/>
        </w:rPr>
        <w:t>71%</w:t>
      </w:r>
      <w:r>
        <w:rPr>
          <w:rFonts w:hint="eastAsia"/>
          <w:bCs/>
          <w:color w:val="000000"/>
        </w:rPr>
        <w:t>的成年男子不能自然地列出甚至辨别出至少一种避孕方法。</w:t>
      </w:r>
      <w:r>
        <w:rPr>
          <w:rStyle w:val="FootnoteReference"/>
          <w:bCs/>
          <w:color w:val="000000"/>
        </w:rPr>
        <w:footnoteReference w:id="290"/>
      </w:r>
    </w:p>
    <w:p w:rsidR="00692915" w:rsidRDefault="00692915" w:rsidP="009A1C1B">
      <w:pPr>
        <w:tabs>
          <w:tab w:val="left" w:pos="1170"/>
        </w:tabs>
        <w:ind w:firstLine="31680"/>
        <w:rPr>
          <w:rFonts w:hint="eastAsia"/>
          <w:bCs/>
          <w:color w:val="000000"/>
        </w:rPr>
      </w:pPr>
      <w:r>
        <w:rPr>
          <w:bCs/>
          <w:color w:val="000000"/>
        </w:rPr>
        <w:t>558.</w:t>
      </w:r>
      <w:r>
        <w:rPr>
          <w:rFonts w:hint="eastAsia"/>
          <w:bCs/>
          <w:color w:val="000000"/>
        </w:rPr>
        <w:tab/>
      </w:r>
      <w:r>
        <w:rPr>
          <w:rFonts w:hint="eastAsia"/>
          <w:bCs/>
          <w:color w:val="000000"/>
        </w:rPr>
        <w:t>有迹象表明，生育率实际上一直在上升（从</w:t>
      </w:r>
      <w:r>
        <w:rPr>
          <w:bCs/>
          <w:color w:val="000000"/>
        </w:rPr>
        <w:t>1998/99</w:t>
      </w:r>
      <w:r>
        <w:rPr>
          <w:rFonts w:hint="eastAsia"/>
          <w:bCs/>
          <w:color w:val="000000"/>
        </w:rPr>
        <w:t>年的</w:t>
      </w:r>
      <w:r>
        <w:rPr>
          <w:rFonts w:hint="eastAsia"/>
          <w:bCs/>
          <w:color w:val="000000"/>
        </w:rPr>
        <w:t>6.0%</w:t>
      </w:r>
      <w:r>
        <w:rPr>
          <w:rFonts w:hint="eastAsia"/>
          <w:bCs/>
          <w:color w:val="000000"/>
        </w:rPr>
        <w:t>上升到</w:t>
      </w:r>
      <w:r>
        <w:rPr>
          <w:rFonts w:hint="eastAsia"/>
          <w:bCs/>
          <w:color w:val="000000"/>
        </w:rPr>
        <w:t>2004</w:t>
      </w:r>
      <w:r>
        <w:rPr>
          <w:rFonts w:hint="eastAsia"/>
          <w:bCs/>
          <w:color w:val="000000"/>
        </w:rPr>
        <w:t>年的</w:t>
      </w:r>
      <w:r>
        <w:rPr>
          <w:rFonts w:hint="eastAsia"/>
          <w:bCs/>
          <w:color w:val="000000"/>
        </w:rPr>
        <w:t>7.0</w:t>
      </w:r>
      <w:r>
        <w:rPr>
          <w:rFonts w:hint="eastAsia"/>
          <w:bCs/>
          <w:color w:val="000000"/>
        </w:rPr>
        <w:t>），第一次怀孕的年龄中位值一直在下降（与该地区其他国家的正常情况相反），迫切需要采取更有利的措施对年轻妇女进行生殖健康和产妇保健风险方面的教育。</w:t>
      </w:r>
    </w:p>
    <w:p w:rsidR="00692915" w:rsidRDefault="00692915" w:rsidP="009A1C1B">
      <w:pPr>
        <w:tabs>
          <w:tab w:val="left" w:pos="1170"/>
        </w:tabs>
        <w:autoSpaceDE w:val="0"/>
        <w:autoSpaceDN w:val="0"/>
        <w:ind w:firstLine="31680"/>
        <w:rPr>
          <w:rFonts w:hint="eastAsia"/>
          <w:bCs/>
          <w:color w:val="000000"/>
        </w:rPr>
      </w:pPr>
      <w:r>
        <w:rPr>
          <w:bCs/>
          <w:color w:val="000000"/>
        </w:rPr>
        <w:t>559.</w:t>
      </w:r>
      <w:r>
        <w:rPr>
          <w:rFonts w:hint="eastAsia"/>
          <w:bCs/>
          <w:color w:val="000000"/>
        </w:rPr>
        <w:tab/>
      </w:r>
      <w:r>
        <w:rPr>
          <w:rFonts w:hint="eastAsia"/>
          <w:bCs/>
          <w:color w:val="000000"/>
        </w:rPr>
        <w:t>尽管婴儿和儿童死亡率似乎已经下降，但是怀孕、分娩和婴儿保育方面的条件还非常令人担忧。婴儿出生时由专业人员接生的不到</w:t>
      </w:r>
      <w:r>
        <w:rPr>
          <w:rFonts w:hint="eastAsia"/>
          <w:bCs/>
          <w:color w:val="000000"/>
        </w:rPr>
        <w:t>20%</w:t>
      </w:r>
      <w:r>
        <w:rPr>
          <w:rFonts w:hint="eastAsia"/>
          <w:bCs/>
          <w:color w:val="000000"/>
        </w:rPr>
        <w:t>，</w:t>
      </w:r>
      <w:r>
        <w:rPr>
          <w:rStyle w:val="FootnoteReference"/>
          <w:bCs/>
          <w:color w:val="000000"/>
        </w:rPr>
        <w:footnoteReference w:id="291"/>
      </w:r>
      <w:r>
        <w:rPr>
          <w:rFonts w:hint="eastAsia"/>
          <w:bCs/>
          <w:color w:val="000000"/>
        </w:rPr>
        <w:t>其中绝大多数婴儿是在无法及时获得紧急产科护理的背景下出生的。大多数孕妇都存在营养不良的问题，由于生育间隔期短，他们面临生育并发症的风险很大，死亡的可能性也增大了。人口与健康调查还显示只有</w:t>
      </w:r>
      <w:r>
        <w:rPr>
          <w:rFonts w:hint="eastAsia"/>
          <w:bCs/>
          <w:color w:val="000000"/>
        </w:rPr>
        <w:t>61%</w:t>
      </w:r>
      <w:r>
        <w:rPr>
          <w:rFonts w:hint="eastAsia"/>
          <w:bCs/>
          <w:color w:val="000000"/>
        </w:rPr>
        <w:t>的母亲接受过医疗专业人士的产前护理（其中</w:t>
      </w:r>
      <w:r>
        <w:rPr>
          <w:rFonts w:hint="eastAsia"/>
          <w:bCs/>
          <w:color w:val="000000"/>
        </w:rPr>
        <w:t>56%</w:t>
      </w:r>
      <w:r>
        <w:rPr>
          <w:rFonts w:hint="eastAsia"/>
          <w:bCs/>
          <w:color w:val="000000"/>
        </w:rPr>
        <w:t>的母亲接受过护士或接生员的护理），而有</w:t>
      </w:r>
      <w:r>
        <w:rPr>
          <w:rFonts w:hint="eastAsia"/>
          <w:bCs/>
          <w:color w:val="000000"/>
        </w:rPr>
        <w:t>37%</w:t>
      </w:r>
      <w:r>
        <w:rPr>
          <w:rFonts w:hint="eastAsia"/>
          <w:bCs/>
          <w:color w:val="000000"/>
        </w:rPr>
        <w:t>的母亲没有接受过任何此类护理。城市地区的专业护理比率较高，受教育程度较高的妇女获得专业护理的比率也较高。</w:t>
      </w:r>
      <w:r>
        <w:rPr>
          <w:rStyle w:val="FootnoteReference"/>
          <w:bCs/>
          <w:color w:val="000000"/>
        </w:rPr>
        <w:footnoteReference w:id="292"/>
      </w:r>
    </w:p>
    <w:p w:rsidR="00692915" w:rsidRDefault="00692915" w:rsidP="009A1C1B">
      <w:pPr>
        <w:tabs>
          <w:tab w:val="left" w:pos="1170"/>
        </w:tabs>
        <w:ind w:firstLine="31680"/>
        <w:rPr>
          <w:rFonts w:hint="eastAsia"/>
          <w:bCs/>
          <w:color w:val="000000"/>
        </w:rPr>
      </w:pPr>
      <w:r>
        <w:rPr>
          <w:bCs/>
          <w:color w:val="000000"/>
        </w:rPr>
        <w:t>560.</w:t>
      </w:r>
      <w:r>
        <w:rPr>
          <w:bCs/>
          <w:color w:val="000000"/>
        </w:rPr>
        <w:tab/>
      </w:r>
      <w:r>
        <w:rPr>
          <w:rFonts w:hint="eastAsia"/>
          <w:bCs/>
          <w:color w:val="000000"/>
        </w:rPr>
        <w:t>按年龄划分的生育率显示，平均起来，在年龄介于</w:t>
      </w:r>
      <w:r>
        <w:rPr>
          <w:rFonts w:hint="eastAsia"/>
          <w:bCs/>
          <w:color w:val="000000"/>
        </w:rPr>
        <w:t>20-34</w:t>
      </w:r>
      <w:r>
        <w:rPr>
          <w:rFonts w:hint="eastAsia"/>
          <w:bCs/>
          <w:color w:val="000000"/>
        </w:rPr>
        <w:t>岁之间的妇女中，大约有三分之一的妇女每年生育一个活产婴儿。</w:t>
      </w:r>
      <w:r>
        <w:rPr>
          <w:rStyle w:val="FootnoteReference"/>
          <w:bCs/>
          <w:color w:val="000000"/>
        </w:rPr>
        <w:footnoteReference w:id="293"/>
      </w:r>
      <w:r>
        <w:rPr>
          <w:rFonts w:hint="eastAsia"/>
          <w:bCs/>
          <w:color w:val="000000"/>
        </w:rPr>
        <w:t>显然，高生育率，再加上生育间隔短不仅会给母亲的健康带来很大问题，而且也会给其子女带来很大问题，这也正是全国儿童死亡率很高的原因之一（见以上讨论）。</w:t>
      </w:r>
    </w:p>
    <w:p w:rsidR="00692915" w:rsidRDefault="00692915" w:rsidP="009A1C1B">
      <w:pPr>
        <w:tabs>
          <w:tab w:val="left" w:pos="1170"/>
        </w:tabs>
        <w:ind w:firstLine="31680"/>
        <w:rPr>
          <w:rFonts w:hint="eastAsia"/>
          <w:bCs/>
          <w:color w:val="000000"/>
        </w:rPr>
      </w:pPr>
      <w:r>
        <w:rPr>
          <w:bCs/>
          <w:color w:val="000000"/>
        </w:rPr>
        <w:t>561.</w:t>
      </w:r>
      <w:r>
        <w:rPr>
          <w:bCs/>
          <w:color w:val="000000"/>
        </w:rPr>
        <w:tab/>
      </w:r>
      <w:r>
        <w:rPr>
          <w:rFonts w:hint="eastAsia"/>
          <w:bCs/>
          <w:color w:val="000000"/>
        </w:rPr>
        <w:t>提倡改良生育间隔的情况已日益增多，为制定政府报告而召开的地区协商会议也显示，为加强生殖保健知识与教育，已提供了大力支持，包括在正规教育系统内提供支持。</w:t>
      </w:r>
    </w:p>
    <w:p w:rsidR="00692915" w:rsidRDefault="00692915" w:rsidP="009A1C1B">
      <w:pPr>
        <w:tabs>
          <w:tab w:val="left" w:pos="1170"/>
        </w:tabs>
        <w:autoSpaceDE w:val="0"/>
        <w:autoSpaceDN w:val="0"/>
        <w:ind w:firstLine="31680"/>
        <w:rPr>
          <w:rFonts w:hint="eastAsia"/>
          <w:bCs/>
          <w:color w:val="000000"/>
        </w:rPr>
      </w:pPr>
      <w:r>
        <w:rPr>
          <w:bCs/>
          <w:color w:val="000000"/>
        </w:rPr>
        <w:t>562.</w:t>
      </w:r>
      <w:r>
        <w:rPr>
          <w:rFonts w:hint="eastAsia"/>
          <w:bCs/>
          <w:color w:val="000000"/>
        </w:rPr>
        <w:t>不过，希望提高生殖保健知识主要是希望改进生育间隔，而不是希望减少出生数量。在东帝汶进行人口与健康调查之际，有三分之二的妇女在已有了六、七个孩子之后，仍表示愿意要更多的孩子，他们对大家庭所带来的不利因素知之甚少或完全不知道。</w:t>
      </w:r>
    </w:p>
    <w:p w:rsidR="00692915" w:rsidRDefault="00692915" w:rsidP="009A1C1B">
      <w:pPr>
        <w:tabs>
          <w:tab w:val="left" w:pos="1170"/>
        </w:tabs>
        <w:ind w:firstLine="31680"/>
        <w:rPr>
          <w:rFonts w:hint="eastAsia"/>
          <w:color w:val="000000"/>
        </w:rPr>
      </w:pPr>
      <w:r>
        <w:rPr>
          <w:color w:val="000000"/>
        </w:rPr>
        <w:t>563.</w:t>
      </w:r>
      <w:r>
        <w:rPr>
          <w:rFonts w:hint="eastAsia"/>
          <w:color w:val="000000"/>
        </w:rPr>
        <w:t>从总体上来说，生殖保健状况是需要关注的一个问题，政府已将此作为国家卫生发展政策框架的一部分予以了高度重视。政府认为有必要解决计划生育的问题，这是降低婴儿和孕产妇死亡率的基础，另外，还需要改进生育间隔和儿童健康水平，降低家庭贫困率。有鉴于此，卫生部将性别为重点的服务作为其绝大部分干预措施的焦点和核心。基本服务体系直接通过一系列的干预措施，将妇女作为社会中的个人、生育者和生产者来专门满足她们的需要。一方面，所有的服务和干预措施都体现了妇女的这些重要作用；另一方面，卫生部孕产妇保健处专门针对生殖健康制定了相应的方案，该方案重点关注了妇女健康以及妇女作为生育者的营养需求。此外，卫生部正在强化初级到中级的转诊制度，以解决生育期间或生育后孕产妇死亡人数过高的问题。</w:t>
      </w:r>
      <w:r>
        <w:rPr>
          <w:rStyle w:val="FootnoteReference"/>
          <w:bCs/>
          <w:color w:val="000000"/>
        </w:rPr>
        <w:footnoteReference w:id="294"/>
      </w:r>
      <w:r>
        <w:rPr>
          <w:rFonts w:hint="eastAsia"/>
          <w:color w:val="000000"/>
        </w:rPr>
        <w:t>与</w:t>
      </w:r>
      <w:r>
        <w:rPr>
          <w:color w:val="000000"/>
        </w:rPr>
        <w:t>《消除对妇女一切形式歧视公约》</w:t>
      </w:r>
      <w:r>
        <w:rPr>
          <w:rFonts w:hint="eastAsia"/>
          <w:color w:val="000000"/>
        </w:rPr>
        <w:t>有关的专门文件对具体的干预措施做了更详细的介绍。</w:t>
      </w:r>
    </w:p>
    <w:p w:rsidR="00692915" w:rsidRDefault="00692915" w:rsidP="009A1C1B">
      <w:pPr>
        <w:tabs>
          <w:tab w:val="left" w:pos="1170"/>
        </w:tabs>
        <w:spacing w:after="240"/>
        <w:ind w:firstLine="31680"/>
        <w:rPr>
          <w:rFonts w:hint="eastAsia"/>
          <w:bCs/>
          <w:color w:val="000000"/>
        </w:rPr>
      </w:pPr>
      <w:r>
        <w:rPr>
          <w:color w:val="000000"/>
        </w:rPr>
        <w:t>564.</w:t>
      </w:r>
      <w:r>
        <w:rPr>
          <w:color w:val="000000"/>
        </w:rPr>
        <w:tab/>
      </w:r>
      <w:r>
        <w:rPr>
          <w:rFonts w:hint="eastAsia"/>
          <w:bCs/>
          <w:color w:val="000000"/>
        </w:rPr>
        <w:t>仅仅提供专门针对妇女的服务并不能提高妇女的地位及其健康和福利水平。因此，干预措施将向各家庭的男性成员以及个人宣传女性在社会中的特殊需要，包括：生育大量子女的负担；保持总体健康；赋予妇女权力，将其作为能够推进整个社会发展的有价值的个人来对待。</w:t>
      </w:r>
      <w:r>
        <w:rPr>
          <w:rStyle w:val="FootnoteReference"/>
          <w:bCs/>
          <w:color w:val="000000"/>
        </w:rPr>
        <w:footnoteReference w:id="295"/>
      </w:r>
      <w:r>
        <w:rPr>
          <w:rFonts w:hint="eastAsia"/>
          <w:bCs/>
          <w:color w:val="000000"/>
        </w:rPr>
        <w:t>。</w:t>
      </w:r>
      <w:r>
        <w:rPr>
          <w:rFonts w:hint="eastAsia"/>
          <w:bCs/>
          <w:color w:val="000000"/>
        </w:rPr>
        <w:t xml:space="preserve"> </w:t>
      </w:r>
    </w:p>
    <w:p w:rsidR="00692915" w:rsidRDefault="00692915">
      <w:pPr>
        <w:pStyle w:val="Heading2"/>
        <w:tabs>
          <w:tab w:val="left" w:pos="520"/>
        </w:tabs>
        <w:jc w:val="both"/>
        <w:rPr>
          <w:rFonts w:hint="eastAsia"/>
          <w:color w:val="000000"/>
          <w:sz w:val="24"/>
        </w:rPr>
      </w:pPr>
      <w:bookmarkStart w:id="100" w:name="_Toc150514996"/>
      <w:bookmarkStart w:id="101" w:name="_Toc150684899"/>
      <w:r>
        <w:rPr>
          <w:color w:val="000000"/>
          <w:sz w:val="24"/>
        </w:rPr>
        <w:t xml:space="preserve">5.  </w:t>
      </w:r>
      <w:bookmarkEnd w:id="100"/>
      <w:bookmarkEnd w:id="101"/>
      <w:r>
        <w:rPr>
          <w:rFonts w:hint="eastAsia"/>
          <w:color w:val="000000"/>
          <w:sz w:val="24"/>
          <w:u w:val="single"/>
        </w:rPr>
        <w:t>艾滋病毒</w:t>
      </w:r>
      <w:r>
        <w:rPr>
          <w:rFonts w:hint="eastAsia"/>
          <w:color w:val="000000"/>
          <w:sz w:val="24"/>
          <w:u w:val="single"/>
        </w:rPr>
        <w:t>/</w:t>
      </w:r>
      <w:r>
        <w:rPr>
          <w:rFonts w:hint="eastAsia"/>
          <w:color w:val="000000"/>
          <w:sz w:val="24"/>
          <w:u w:val="single"/>
        </w:rPr>
        <w:t>艾滋病</w:t>
      </w:r>
      <w:r>
        <w:rPr>
          <w:rFonts w:hint="eastAsia"/>
          <w:color w:val="000000"/>
          <w:sz w:val="24"/>
        </w:rPr>
        <w:t xml:space="preserve"> </w:t>
      </w:r>
    </w:p>
    <w:p w:rsidR="00692915" w:rsidRDefault="00692915" w:rsidP="009A1C1B">
      <w:pPr>
        <w:tabs>
          <w:tab w:val="left" w:pos="1170"/>
        </w:tabs>
        <w:ind w:firstLine="31680"/>
        <w:rPr>
          <w:rFonts w:hint="eastAsia"/>
          <w:bCs/>
          <w:color w:val="000000"/>
        </w:rPr>
      </w:pPr>
      <w:r>
        <w:rPr>
          <w:bCs/>
          <w:color w:val="000000"/>
        </w:rPr>
        <w:t>565.</w:t>
      </w:r>
      <w:r>
        <w:rPr>
          <w:rFonts w:hint="eastAsia"/>
          <w:bCs/>
          <w:color w:val="000000"/>
        </w:rPr>
        <w:t xml:space="preserve"> 2003</w:t>
      </w:r>
      <w:r>
        <w:rPr>
          <w:rFonts w:hint="eastAsia"/>
          <w:bCs/>
          <w:color w:val="000000"/>
        </w:rPr>
        <w:t>年，在帝力的“危险”人群中首次对艾滋病毒情况进行了调查，结果发现，艾滋病毒的感染水平较低，但可能呈上升趋势，</w:t>
      </w:r>
      <w:r>
        <w:rPr>
          <w:rStyle w:val="FootnoteReference"/>
          <w:bCs/>
          <w:color w:val="000000"/>
        </w:rPr>
        <w:footnoteReference w:id="296"/>
      </w:r>
      <w:r>
        <w:rPr>
          <w:rFonts w:hint="eastAsia"/>
          <w:bCs/>
          <w:color w:val="000000"/>
        </w:rPr>
        <w:t>存在着一定程度的静脉注射吸毒情况，在很多男性（包括已婚男性）中，双性恋情况很普遍，使用安全套的情况极少（甚至在那些有多个性伙伴的人群中也是如此）。到</w:t>
      </w:r>
      <w:r>
        <w:rPr>
          <w:rFonts w:hint="eastAsia"/>
          <w:bCs/>
          <w:color w:val="000000"/>
        </w:rPr>
        <w:t>2005</w:t>
      </w:r>
      <w:r>
        <w:rPr>
          <w:rFonts w:hint="eastAsia"/>
          <w:bCs/>
          <w:color w:val="000000"/>
        </w:rPr>
        <w:t>年，艾滋病毒</w:t>
      </w:r>
      <w:r>
        <w:rPr>
          <w:rFonts w:hint="eastAsia"/>
          <w:bCs/>
          <w:color w:val="000000"/>
        </w:rPr>
        <w:t>/</w:t>
      </w:r>
      <w:r>
        <w:rPr>
          <w:rFonts w:hint="eastAsia"/>
          <w:bCs/>
          <w:color w:val="000000"/>
        </w:rPr>
        <w:t>艾滋病的报告病例大约为</w:t>
      </w:r>
      <w:r>
        <w:rPr>
          <w:rFonts w:hint="eastAsia"/>
          <w:bCs/>
          <w:color w:val="000000"/>
        </w:rPr>
        <w:t>26</w:t>
      </w:r>
      <w:r>
        <w:rPr>
          <w:rFonts w:hint="eastAsia"/>
          <w:bCs/>
          <w:color w:val="000000"/>
        </w:rPr>
        <w:t>例。</w:t>
      </w:r>
      <w:r>
        <w:rPr>
          <w:rStyle w:val="FootnoteReference"/>
          <w:bCs/>
          <w:color w:val="000000"/>
        </w:rPr>
        <w:footnoteReference w:id="297"/>
      </w:r>
      <w:r>
        <w:rPr>
          <w:rFonts w:hint="eastAsia"/>
          <w:bCs/>
          <w:color w:val="000000"/>
        </w:rPr>
        <w:t>但通常会大大低报感染艾滋病毒的病例，在蔓延的早期阶段尤其如此。目前，东帝汶感染艾滋病毒的真实数量尚不明确。</w:t>
      </w:r>
    </w:p>
    <w:p w:rsidR="00692915" w:rsidRDefault="00692915" w:rsidP="009A1C1B">
      <w:pPr>
        <w:tabs>
          <w:tab w:val="left" w:pos="1170"/>
        </w:tabs>
        <w:ind w:firstLine="31680"/>
        <w:rPr>
          <w:rFonts w:hint="eastAsia"/>
          <w:bCs/>
          <w:color w:val="000000"/>
        </w:rPr>
      </w:pPr>
      <w:r>
        <w:rPr>
          <w:bCs/>
          <w:color w:val="000000"/>
        </w:rPr>
        <w:t>566.</w:t>
      </w:r>
      <w:r>
        <w:rPr>
          <w:rFonts w:hint="eastAsia"/>
          <w:bCs/>
          <w:color w:val="000000"/>
        </w:rPr>
        <w:t xml:space="preserve"> </w:t>
      </w:r>
      <w:r>
        <w:rPr>
          <w:rFonts w:hint="eastAsia"/>
          <w:bCs/>
          <w:color w:val="000000"/>
        </w:rPr>
        <w:tab/>
        <w:t>2003</w:t>
      </w:r>
      <w:r>
        <w:rPr>
          <w:rFonts w:hint="eastAsia"/>
          <w:bCs/>
          <w:color w:val="000000"/>
        </w:rPr>
        <w:t>年的调查强调，迫切需要制定预防服务方面的战略，提供性传染疾病方面的教育和获取相关信息与服务的途径，促进“危险”人群使用安全套。</w:t>
      </w:r>
      <w:r>
        <w:rPr>
          <w:rStyle w:val="FootnoteReference"/>
          <w:bCs/>
          <w:color w:val="000000"/>
        </w:rPr>
        <w:footnoteReference w:id="298"/>
      </w:r>
    </w:p>
    <w:p w:rsidR="00692915" w:rsidRDefault="00692915" w:rsidP="009A1C1B">
      <w:pPr>
        <w:tabs>
          <w:tab w:val="left" w:pos="1170"/>
        </w:tabs>
        <w:ind w:firstLine="31680"/>
        <w:rPr>
          <w:rFonts w:hint="eastAsia"/>
          <w:bCs/>
          <w:color w:val="000000"/>
        </w:rPr>
      </w:pPr>
      <w:r>
        <w:rPr>
          <w:bCs/>
          <w:color w:val="000000"/>
        </w:rPr>
        <w:t>567.</w:t>
      </w:r>
      <w:r>
        <w:rPr>
          <w:rFonts w:hint="eastAsia"/>
          <w:bCs/>
          <w:color w:val="000000"/>
        </w:rPr>
        <w:tab/>
      </w:r>
      <w:r>
        <w:rPr>
          <w:rFonts w:hint="eastAsia"/>
          <w:bCs/>
          <w:color w:val="000000"/>
        </w:rPr>
        <w:t>在东帝汶，最危险的传播方式就是肛交，因为静脉吸毒或共用针具的情况并不多见。在有些社会圈中，人们认为男性之间的性行为属于“外来”行为，但数据显示，帝力绝大多数男性之间的性行为是在帝汶人之间进行的。那些自称与其他男性有性行为的男性在很多情况下也与妇女有性行为。</w:t>
      </w:r>
      <w:r>
        <w:rPr>
          <w:rStyle w:val="FootnoteReference"/>
          <w:bCs/>
          <w:color w:val="000000"/>
        </w:rPr>
        <w:footnoteReference w:id="299"/>
      </w:r>
    </w:p>
    <w:p w:rsidR="00692915" w:rsidRDefault="00692915" w:rsidP="009A1C1B">
      <w:pPr>
        <w:tabs>
          <w:tab w:val="left" w:pos="1170"/>
        </w:tabs>
        <w:ind w:firstLine="31680"/>
        <w:rPr>
          <w:rFonts w:hint="eastAsia"/>
          <w:bCs/>
          <w:color w:val="000000"/>
        </w:rPr>
      </w:pPr>
      <w:r>
        <w:rPr>
          <w:bCs/>
          <w:color w:val="000000"/>
        </w:rPr>
        <w:t>568.</w:t>
      </w:r>
      <w:r>
        <w:rPr>
          <w:rFonts w:hint="eastAsia"/>
          <w:bCs/>
          <w:color w:val="000000"/>
        </w:rPr>
        <w:tab/>
      </w:r>
      <w:r>
        <w:rPr>
          <w:rFonts w:hint="eastAsia"/>
          <w:bCs/>
          <w:color w:val="000000"/>
        </w:rPr>
        <w:t>人们普遍认为“青年”是感染艾滋病毒风险最高的人群之一。在对帝力大约</w:t>
      </w:r>
      <w:r>
        <w:rPr>
          <w:rFonts w:hint="eastAsia"/>
          <w:bCs/>
          <w:color w:val="000000"/>
        </w:rPr>
        <w:t>900</w:t>
      </w:r>
      <w:r>
        <w:rPr>
          <w:rFonts w:hint="eastAsia"/>
          <w:bCs/>
          <w:color w:val="000000"/>
        </w:rPr>
        <w:t>名大学生进行初步调查后发现，这是一种误解。但</w:t>
      </w:r>
      <w:r>
        <w:rPr>
          <w:rFonts w:hint="eastAsia"/>
          <w:bCs/>
          <w:color w:val="000000"/>
        </w:rPr>
        <w:t>2003</w:t>
      </w:r>
      <w:r>
        <w:rPr>
          <w:rFonts w:hint="eastAsia"/>
          <w:bCs/>
          <w:color w:val="000000"/>
        </w:rPr>
        <w:t>年的调查显示，女生报告有过性活动的人数微乎其微，而有近四分之三的男性没有活跃的性行为。</w:t>
      </w:r>
      <w:r>
        <w:rPr>
          <w:rStyle w:val="FootnoteReference"/>
          <w:bCs/>
          <w:color w:val="000000"/>
        </w:rPr>
        <w:footnoteReference w:id="300"/>
      </w:r>
      <w:r>
        <w:rPr>
          <w:rFonts w:hint="eastAsia"/>
          <w:bCs/>
          <w:color w:val="000000"/>
        </w:rPr>
        <w:t>不过，随着感染艾滋病毒</w:t>
      </w:r>
      <w:r>
        <w:rPr>
          <w:rFonts w:hint="eastAsia"/>
          <w:bCs/>
          <w:color w:val="000000"/>
        </w:rPr>
        <w:t>/</w:t>
      </w:r>
      <w:r>
        <w:rPr>
          <w:rFonts w:hint="eastAsia"/>
          <w:bCs/>
          <w:color w:val="000000"/>
        </w:rPr>
        <w:t>艾滋病的情况增多，母婴传播的风险也增大了。</w:t>
      </w:r>
    </w:p>
    <w:p w:rsidR="00692915" w:rsidRDefault="00692915" w:rsidP="009A1C1B">
      <w:pPr>
        <w:tabs>
          <w:tab w:val="left" w:pos="1170"/>
        </w:tabs>
        <w:ind w:firstLine="31680"/>
        <w:rPr>
          <w:rFonts w:hint="eastAsia"/>
          <w:bCs/>
          <w:color w:val="000000"/>
        </w:rPr>
      </w:pPr>
      <w:r>
        <w:rPr>
          <w:bCs/>
          <w:color w:val="000000"/>
        </w:rPr>
        <w:t>569.</w:t>
      </w:r>
      <w:r>
        <w:rPr>
          <w:rFonts w:hint="eastAsia"/>
          <w:bCs/>
          <w:color w:val="000000"/>
        </w:rPr>
        <w:t xml:space="preserve"> </w:t>
      </w:r>
      <w:r>
        <w:rPr>
          <w:rFonts w:hint="eastAsia"/>
          <w:bCs/>
          <w:color w:val="000000"/>
        </w:rPr>
        <w:t>关于艾滋病对人口，尤其是对儿童的影响</w:t>
      </w:r>
      <w:r>
        <w:rPr>
          <w:rFonts w:ascii="SimHei" w:eastAsia="SimHei" w:hint="eastAsia"/>
          <w:bCs/>
          <w:color w:val="000000"/>
          <w:spacing w:val="0"/>
        </w:rPr>
        <w:t>——</w:t>
      </w:r>
      <w:r>
        <w:rPr>
          <w:rFonts w:hint="eastAsia"/>
          <w:bCs/>
          <w:color w:val="000000"/>
        </w:rPr>
        <w:t>无论是对十几岁女孩的性传播（尤其是通过年纪较长而且有过更危险性行为的男性传播），还是母婴传播，或是导致第二次孤儿浪潮（这次是因为父母大量死亡造成），东帝汶避免这种情况的机会仍然相当大。</w:t>
      </w:r>
    </w:p>
    <w:p w:rsidR="00692915" w:rsidRDefault="00692915" w:rsidP="009A1C1B">
      <w:pPr>
        <w:tabs>
          <w:tab w:val="left" w:pos="1170"/>
        </w:tabs>
        <w:ind w:firstLine="31680"/>
        <w:rPr>
          <w:rFonts w:hint="eastAsia"/>
          <w:bCs/>
          <w:color w:val="000000"/>
        </w:rPr>
      </w:pPr>
      <w:r>
        <w:rPr>
          <w:bCs/>
          <w:color w:val="000000"/>
        </w:rPr>
        <w:t xml:space="preserve">570. </w:t>
      </w:r>
      <w:r>
        <w:rPr>
          <w:rFonts w:hint="eastAsia"/>
          <w:bCs/>
          <w:color w:val="000000"/>
        </w:rPr>
        <w:t>2002</w:t>
      </w:r>
      <w:r>
        <w:rPr>
          <w:rFonts w:hint="eastAsia"/>
          <w:bCs/>
          <w:color w:val="000000"/>
        </w:rPr>
        <w:t>年</w:t>
      </w:r>
      <w:r>
        <w:rPr>
          <w:rFonts w:hint="eastAsia"/>
          <w:bCs/>
          <w:color w:val="000000"/>
        </w:rPr>
        <w:t>9</w:t>
      </w:r>
      <w:r>
        <w:rPr>
          <w:rFonts w:hint="eastAsia"/>
          <w:bCs/>
          <w:color w:val="000000"/>
        </w:rPr>
        <w:t>月，为了对</w:t>
      </w:r>
      <w:r>
        <w:rPr>
          <w:rFonts w:hint="eastAsia"/>
          <w:bCs/>
          <w:color w:val="000000"/>
        </w:rPr>
        <w:t>2002-2005</w:t>
      </w:r>
      <w:r>
        <w:rPr>
          <w:rFonts w:hint="eastAsia"/>
          <w:bCs/>
          <w:color w:val="000000"/>
        </w:rPr>
        <w:t>年艾滋病毒</w:t>
      </w:r>
      <w:r>
        <w:rPr>
          <w:rFonts w:hint="eastAsia"/>
          <w:bCs/>
          <w:color w:val="000000"/>
        </w:rPr>
        <w:t>/</w:t>
      </w:r>
      <w:r>
        <w:rPr>
          <w:rFonts w:hint="eastAsia"/>
          <w:bCs/>
          <w:color w:val="000000"/>
        </w:rPr>
        <w:t>艾滋病</w:t>
      </w:r>
      <w:r>
        <w:rPr>
          <w:rFonts w:hint="eastAsia"/>
          <w:bCs/>
          <w:color w:val="000000"/>
        </w:rPr>
        <w:t>/</w:t>
      </w:r>
      <w:r>
        <w:rPr>
          <w:rFonts w:hint="eastAsia"/>
          <w:bCs/>
          <w:color w:val="000000"/>
        </w:rPr>
        <w:t>性传染疾病做出多部门的全面反应，政府制定了一项《国家战略计划》。《</w:t>
      </w:r>
      <w:r>
        <w:rPr>
          <w:rFonts w:hint="eastAsia"/>
          <w:bCs/>
          <w:color w:val="000000"/>
        </w:rPr>
        <w:t>2003</w:t>
      </w:r>
      <w:r>
        <w:rPr>
          <w:rFonts w:hint="eastAsia"/>
          <w:bCs/>
          <w:color w:val="000000"/>
        </w:rPr>
        <w:t>年地区卫生调查》为该计划提供了基线度量指标。该调查的结论指出，有</w:t>
      </w:r>
      <w:r>
        <w:rPr>
          <w:rFonts w:hint="eastAsia"/>
          <w:bCs/>
          <w:color w:val="000000"/>
        </w:rPr>
        <w:t>79%</w:t>
      </w:r>
      <w:r>
        <w:rPr>
          <w:rFonts w:hint="eastAsia"/>
          <w:bCs/>
          <w:color w:val="000000"/>
        </w:rPr>
        <w:t>的妇女和</w:t>
      </w:r>
      <w:r>
        <w:rPr>
          <w:rFonts w:hint="eastAsia"/>
          <w:bCs/>
          <w:color w:val="000000"/>
        </w:rPr>
        <w:t>70%</w:t>
      </w:r>
      <w:r>
        <w:rPr>
          <w:rFonts w:hint="eastAsia"/>
          <w:bCs/>
          <w:color w:val="000000"/>
        </w:rPr>
        <w:t>的男性从未听说过艾滋病毒</w:t>
      </w:r>
      <w:r>
        <w:rPr>
          <w:rFonts w:hint="eastAsia"/>
          <w:bCs/>
          <w:color w:val="000000"/>
        </w:rPr>
        <w:t>/</w:t>
      </w:r>
      <w:r>
        <w:rPr>
          <w:rFonts w:hint="eastAsia"/>
          <w:bCs/>
          <w:color w:val="000000"/>
        </w:rPr>
        <w:t>艾滋病，只有</w:t>
      </w:r>
      <w:r>
        <w:rPr>
          <w:rFonts w:hint="eastAsia"/>
          <w:bCs/>
          <w:color w:val="000000"/>
        </w:rPr>
        <w:t>10%</w:t>
      </w:r>
      <w:r>
        <w:rPr>
          <w:rFonts w:hint="eastAsia"/>
          <w:bCs/>
          <w:color w:val="000000"/>
        </w:rPr>
        <w:t>的妇女和</w:t>
      </w:r>
      <w:r>
        <w:rPr>
          <w:rFonts w:hint="eastAsia"/>
          <w:bCs/>
          <w:color w:val="000000"/>
        </w:rPr>
        <w:t>15%</w:t>
      </w:r>
      <w:r>
        <w:rPr>
          <w:rFonts w:hint="eastAsia"/>
          <w:bCs/>
          <w:color w:val="000000"/>
        </w:rPr>
        <w:t>的男性认为可以采取措施避免艾滋病毒的感染。只有</w:t>
      </w:r>
      <w:r>
        <w:rPr>
          <w:rFonts w:hint="eastAsia"/>
          <w:bCs/>
          <w:color w:val="000000"/>
        </w:rPr>
        <w:t>1.9%</w:t>
      </w:r>
      <w:r>
        <w:rPr>
          <w:rFonts w:hint="eastAsia"/>
          <w:bCs/>
          <w:color w:val="000000"/>
        </w:rPr>
        <w:t>的妇女和</w:t>
      </w:r>
      <w:r>
        <w:rPr>
          <w:rFonts w:hint="eastAsia"/>
          <w:bCs/>
          <w:color w:val="000000"/>
        </w:rPr>
        <w:t>2.1%</w:t>
      </w:r>
      <w:r>
        <w:rPr>
          <w:rFonts w:hint="eastAsia"/>
          <w:bCs/>
          <w:color w:val="000000"/>
        </w:rPr>
        <w:t>的男性知道安全套可以预防艾滋病毒传染。</w:t>
      </w:r>
      <w:r>
        <w:rPr>
          <w:rStyle w:val="FootnoteReference"/>
          <w:bCs/>
          <w:color w:val="000000"/>
        </w:rPr>
        <w:footnoteReference w:id="301"/>
      </w:r>
      <w:r>
        <w:rPr>
          <w:rFonts w:hint="eastAsia"/>
          <w:bCs/>
          <w:color w:val="000000"/>
        </w:rPr>
        <w:t>对这些知识的缺乏一方面说明尽管全球意识已经提高了，但在过去十年中，东帝汶一直孤立于全球媒体之外，另一方面也说明东帝汶直到最近才出现了这方面的感染问题。</w:t>
      </w:r>
      <w:r>
        <w:rPr>
          <w:rFonts w:hint="eastAsia"/>
          <w:bCs/>
          <w:color w:val="000000"/>
        </w:rPr>
        <w:t xml:space="preserve"> </w:t>
      </w:r>
    </w:p>
    <w:p w:rsidR="00692915" w:rsidRDefault="00692915" w:rsidP="009A1C1B">
      <w:pPr>
        <w:tabs>
          <w:tab w:val="left" w:pos="1170"/>
        </w:tabs>
        <w:ind w:firstLine="31680"/>
        <w:rPr>
          <w:rFonts w:hint="eastAsia"/>
          <w:bCs/>
          <w:color w:val="000000"/>
        </w:rPr>
      </w:pPr>
      <w:r>
        <w:rPr>
          <w:bCs/>
          <w:color w:val="000000"/>
        </w:rPr>
        <w:t>571.</w:t>
      </w:r>
      <w:r>
        <w:rPr>
          <w:rFonts w:hint="eastAsia"/>
          <w:bCs/>
          <w:color w:val="000000"/>
        </w:rPr>
        <w:t xml:space="preserve"> </w:t>
      </w:r>
      <w:r>
        <w:rPr>
          <w:rFonts w:hint="eastAsia"/>
          <w:bCs/>
          <w:color w:val="000000"/>
        </w:rPr>
        <w:t>对于东帝汶来说，直接的挑战就是迅速提高人们对艾滋病毒</w:t>
      </w:r>
      <w:r>
        <w:rPr>
          <w:rFonts w:hint="eastAsia"/>
          <w:bCs/>
          <w:color w:val="000000"/>
        </w:rPr>
        <w:t>/</w:t>
      </w:r>
      <w:r>
        <w:rPr>
          <w:rFonts w:hint="eastAsia"/>
          <w:bCs/>
          <w:color w:val="000000"/>
        </w:rPr>
        <w:t>艾滋病的知识，并对艾滋病毒</w:t>
      </w:r>
      <w:r>
        <w:rPr>
          <w:rFonts w:hint="eastAsia"/>
          <w:bCs/>
          <w:color w:val="000000"/>
        </w:rPr>
        <w:t>/</w:t>
      </w:r>
      <w:r>
        <w:rPr>
          <w:rFonts w:hint="eastAsia"/>
          <w:bCs/>
          <w:color w:val="000000"/>
        </w:rPr>
        <w:t>艾滋病的情况进行筛查，这应成为国家预防战略的基本内容。目前，东帝汶的感染率较低，这为国家避免世界其他地方所遭遇的破坏性影响提供了一个最佳时机。如果缺乏知识、监测或筛查设施，或者如果不能通过推进安全套的使用来有效防止传播，那么艾滋病毒和艾滋病将有可能在极易受攻击的人群中迅速扎根，并带来无法逆转的后果。</w:t>
      </w:r>
      <w:r>
        <w:rPr>
          <w:rFonts w:hint="eastAsia"/>
          <w:bCs/>
          <w:color w:val="000000"/>
        </w:rPr>
        <w:t xml:space="preserve"> </w:t>
      </w:r>
    </w:p>
    <w:p w:rsidR="00692915" w:rsidRDefault="00692915" w:rsidP="009A1C1B">
      <w:pPr>
        <w:tabs>
          <w:tab w:val="left" w:pos="1170"/>
        </w:tabs>
        <w:ind w:firstLine="31680"/>
        <w:rPr>
          <w:rFonts w:hint="eastAsia"/>
          <w:bCs/>
          <w:color w:val="000000"/>
        </w:rPr>
      </w:pPr>
      <w:r>
        <w:rPr>
          <w:bCs/>
          <w:color w:val="000000"/>
        </w:rPr>
        <w:t>572.</w:t>
      </w:r>
      <w:r>
        <w:rPr>
          <w:rFonts w:hint="eastAsia"/>
          <w:bCs/>
          <w:color w:val="000000"/>
        </w:rPr>
        <w:t xml:space="preserve"> </w:t>
      </w:r>
      <w:r>
        <w:rPr>
          <w:rFonts w:hint="eastAsia"/>
          <w:bCs/>
          <w:color w:val="000000"/>
        </w:rPr>
        <w:t>例如，静脉吸毒是传播艾滋病毒的最快方式，但这种情况在东帝汶还很罕见，艾滋病毒的流行程度还很低。新静脉吸毒人员几乎都是由那些已经吸毒的人员介绍的。因此，如果可以发现现有的少数吸毒人员，并与他们一起努力减少感染艾滋病毒的可能性，在吸毒人员中引进一种更安全的文化氛围，那么从长远来说，这将会给绝大多数的东帝汶非吸毒者带来极大的好处。</w:t>
      </w:r>
      <w:r>
        <w:rPr>
          <w:rStyle w:val="FootnoteReference"/>
          <w:bCs/>
          <w:color w:val="000000"/>
        </w:rPr>
        <w:footnoteReference w:id="302"/>
      </w:r>
    </w:p>
    <w:p w:rsidR="00692915" w:rsidRDefault="00692915" w:rsidP="009A1C1B">
      <w:pPr>
        <w:tabs>
          <w:tab w:val="left" w:pos="1170"/>
        </w:tabs>
        <w:ind w:firstLine="31680"/>
        <w:rPr>
          <w:rFonts w:hint="eastAsia"/>
          <w:bCs/>
          <w:color w:val="000000"/>
        </w:rPr>
      </w:pPr>
      <w:r>
        <w:rPr>
          <w:bCs/>
          <w:color w:val="000000"/>
        </w:rPr>
        <w:t>573.</w:t>
      </w:r>
      <w:r>
        <w:rPr>
          <w:rFonts w:hint="eastAsia"/>
          <w:bCs/>
          <w:color w:val="000000"/>
        </w:rPr>
        <w:t xml:space="preserve"> </w:t>
      </w:r>
      <w:r>
        <w:rPr>
          <w:rFonts w:hint="eastAsia"/>
          <w:bCs/>
          <w:color w:val="000000"/>
        </w:rPr>
        <w:tab/>
        <w:t>2005</w:t>
      </w:r>
      <w:r>
        <w:rPr>
          <w:rFonts w:hint="eastAsia"/>
          <w:bCs/>
          <w:color w:val="000000"/>
        </w:rPr>
        <w:t>年，为制定一项新的战略，卫生部开始对</w:t>
      </w:r>
      <w:r>
        <w:rPr>
          <w:rFonts w:hint="eastAsia"/>
          <w:bCs/>
          <w:color w:val="000000"/>
        </w:rPr>
        <w:t>2002-2005</w:t>
      </w:r>
      <w:r>
        <w:rPr>
          <w:rFonts w:hint="eastAsia"/>
          <w:bCs/>
          <w:color w:val="000000"/>
        </w:rPr>
        <w:t>年国家有关艾滋病毒</w:t>
      </w:r>
      <w:r>
        <w:rPr>
          <w:rFonts w:hint="eastAsia"/>
          <w:bCs/>
          <w:color w:val="000000"/>
        </w:rPr>
        <w:t>/</w:t>
      </w:r>
      <w:r>
        <w:rPr>
          <w:rFonts w:hint="eastAsia"/>
          <w:bCs/>
          <w:color w:val="000000"/>
        </w:rPr>
        <w:t>艾滋病的战略进行评估。为此，建立了一个包括一个指导委员会（决策机构）和一个执行委员会的组织体系，成员包括非政府组织、联合国机构、教会和国家艾滋病委员会。在此过程中，卫生部、澳大利亚援助机构、儿童基金会和教会世界服务社（</w:t>
      </w:r>
      <w:r>
        <w:rPr>
          <w:rFonts w:hint="eastAsia"/>
          <w:bCs/>
          <w:color w:val="000000"/>
        </w:rPr>
        <w:t>CWS</w:t>
      </w:r>
      <w:r>
        <w:rPr>
          <w:rFonts w:hint="eastAsia"/>
          <w:bCs/>
          <w:color w:val="000000"/>
        </w:rPr>
        <w:t>）是财力上的基本合作伙伴，而促进人员小组、卫生部、国际医疗援助组织、儿童基金会、国际家庭保健组织、帝汶建设基金（</w:t>
      </w:r>
      <w:r>
        <w:rPr>
          <w:rFonts w:hint="eastAsia"/>
          <w:bCs/>
          <w:color w:val="000000"/>
        </w:rPr>
        <w:t>FTH</w:t>
      </w:r>
      <w:r>
        <w:rPr>
          <w:rFonts w:hint="eastAsia"/>
          <w:bCs/>
          <w:color w:val="000000"/>
        </w:rPr>
        <w:t>）、东帝汶红十字会和教会世界服务社则负责该项目的协调工作。</w:t>
      </w:r>
    </w:p>
    <w:p w:rsidR="00692915" w:rsidRDefault="00692915" w:rsidP="009A1C1B">
      <w:pPr>
        <w:tabs>
          <w:tab w:val="left" w:pos="1170"/>
        </w:tabs>
        <w:ind w:firstLine="31680"/>
        <w:rPr>
          <w:rFonts w:hint="eastAsia"/>
          <w:bCs/>
          <w:color w:val="000000"/>
        </w:rPr>
      </w:pPr>
      <w:r>
        <w:rPr>
          <w:bCs/>
          <w:color w:val="000000"/>
        </w:rPr>
        <w:t>574.</w:t>
      </w:r>
      <w:r>
        <w:rPr>
          <w:rFonts w:hint="eastAsia"/>
          <w:bCs/>
          <w:color w:val="000000"/>
        </w:rPr>
        <w:tab/>
      </w:r>
      <w:r>
        <w:rPr>
          <w:rFonts w:hint="eastAsia"/>
          <w:bCs/>
          <w:color w:val="000000"/>
        </w:rPr>
        <w:t>整个评估过程分四个阶段，强调参与性、多部门性和全国性，具体步骤如下：</w:t>
      </w:r>
    </w:p>
    <w:p w:rsidR="00692915" w:rsidRDefault="00692915" w:rsidP="009A1C1B">
      <w:pPr>
        <w:numPr>
          <w:ilvl w:val="0"/>
          <w:numId w:val="6"/>
        </w:numPr>
        <w:tabs>
          <w:tab w:val="clear" w:pos="927"/>
          <w:tab w:val="left" w:pos="1690"/>
        </w:tabs>
        <w:ind w:leftChars="450" w:left="31680" w:hangingChars="200" w:firstLine="31680"/>
        <w:rPr>
          <w:bCs/>
          <w:color w:val="000000"/>
        </w:rPr>
      </w:pPr>
      <w:r>
        <w:rPr>
          <w:rFonts w:eastAsia="KaiTi_GB2312" w:hint="eastAsia"/>
          <w:bCs/>
          <w:color w:val="000000"/>
        </w:rPr>
        <w:t>第一阶段</w:t>
      </w:r>
      <w:r>
        <w:rPr>
          <w:rFonts w:hint="eastAsia"/>
          <w:bCs/>
          <w:color w:val="000000"/>
        </w:rPr>
        <w:t>：该阶段为参与过程，通过各地区参与者参加的区域协商会议提高人们对艾滋病毒</w:t>
      </w:r>
      <w:r>
        <w:rPr>
          <w:rFonts w:hint="eastAsia"/>
          <w:bCs/>
          <w:color w:val="000000"/>
        </w:rPr>
        <w:t>/</w:t>
      </w:r>
      <w:r>
        <w:rPr>
          <w:rFonts w:hint="eastAsia"/>
          <w:bCs/>
          <w:color w:val="000000"/>
        </w:rPr>
        <w:t>艾滋病的认识，鼓励参与，收集信息对现有的《国家战略计划》进行审查；</w:t>
      </w:r>
    </w:p>
    <w:p w:rsidR="00692915" w:rsidRDefault="00692915" w:rsidP="009A1C1B">
      <w:pPr>
        <w:numPr>
          <w:ilvl w:val="0"/>
          <w:numId w:val="6"/>
        </w:numPr>
        <w:tabs>
          <w:tab w:val="clear" w:pos="927"/>
          <w:tab w:val="left" w:pos="1690"/>
        </w:tabs>
        <w:ind w:leftChars="450" w:left="31680" w:hangingChars="200" w:firstLine="31680"/>
        <w:rPr>
          <w:bCs/>
          <w:color w:val="000000"/>
        </w:rPr>
      </w:pPr>
      <w:r>
        <w:rPr>
          <w:rFonts w:eastAsia="KaiTi_GB2312" w:hint="eastAsia"/>
          <w:bCs/>
          <w:color w:val="000000"/>
        </w:rPr>
        <w:t>第二阶段</w:t>
      </w:r>
      <w:r>
        <w:rPr>
          <w:rFonts w:hint="eastAsia"/>
          <w:bCs/>
          <w:color w:val="000000"/>
        </w:rPr>
        <w:t>：</w:t>
      </w:r>
      <w:r>
        <w:rPr>
          <w:rFonts w:hint="eastAsia"/>
          <w:bCs/>
          <w:color w:val="000000"/>
        </w:rPr>
        <w:t>2005</w:t>
      </w:r>
      <w:r>
        <w:rPr>
          <w:rFonts w:hint="eastAsia"/>
          <w:bCs/>
          <w:color w:val="000000"/>
        </w:rPr>
        <w:t>年</w:t>
      </w:r>
      <w:r>
        <w:rPr>
          <w:rFonts w:hint="eastAsia"/>
          <w:bCs/>
          <w:color w:val="000000"/>
        </w:rPr>
        <w:t>12</w:t>
      </w:r>
      <w:r>
        <w:rPr>
          <w:rFonts w:hint="eastAsia"/>
          <w:bCs/>
          <w:color w:val="000000"/>
        </w:rPr>
        <w:t>月</w:t>
      </w:r>
      <w:r>
        <w:rPr>
          <w:rFonts w:hint="eastAsia"/>
          <w:bCs/>
          <w:color w:val="000000"/>
        </w:rPr>
        <w:t>5</w:t>
      </w:r>
      <w:r>
        <w:rPr>
          <w:rFonts w:hint="eastAsia"/>
          <w:bCs/>
          <w:color w:val="000000"/>
        </w:rPr>
        <w:t>日至</w:t>
      </w:r>
      <w:r>
        <w:rPr>
          <w:rFonts w:hint="eastAsia"/>
          <w:bCs/>
          <w:color w:val="000000"/>
        </w:rPr>
        <w:t>6</w:t>
      </w:r>
      <w:r>
        <w:rPr>
          <w:rFonts w:hint="eastAsia"/>
          <w:bCs/>
          <w:color w:val="000000"/>
        </w:rPr>
        <w:t>日召开了由</w:t>
      </w:r>
      <w:r>
        <w:rPr>
          <w:rFonts w:hint="eastAsia"/>
          <w:bCs/>
          <w:color w:val="000000"/>
        </w:rPr>
        <w:t>265</w:t>
      </w:r>
      <w:r>
        <w:rPr>
          <w:rFonts w:hint="eastAsia"/>
          <w:bCs/>
          <w:color w:val="000000"/>
        </w:rPr>
        <w:t>名人员参加的全国大会：对《国家战略计划》进行审查，通过计划确定进行能力建设的方法和实施艾滋病毒项目的技能，并提交一份有关新战略计划的草案框架。大会还举行了关于南亚艾滋病毒</w:t>
      </w:r>
      <w:r>
        <w:rPr>
          <w:rFonts w:hint="eastAsia"/>
          <w:bCs/>
          <w:color w:val="000000"/>
        </w:rPr>
        <w:t>/</w:t>
      </w:r>
      <w:r>
        <w:rPr>
          <w:rFonts w:hint="eastAsia"/>
          <w:bCs/>
          <w:color w:val="000000"/>
        </w:rPr>
        <w:t>艾滋病情况以及东帝汶目前情况的全体会议。审查强调指出，</w:t>
      </w:r>
      <w:r>
        <w:rPr>
          <w:rFonts w:hint="eastAsia"/>
          <w:bCs/>
          <w:color w:val="000000"/>
        </w:rPr>
        <w:t>2002-2005</w:t>
      </w:r>
      <w:r>
        <w:rPr>
          <w:rFonts w:hint="eastAsia"/>
          <w:bCs/>
          <w:color w:val="000000"/>
        </w:rPr>
        <w:t>年战略的方案非常不错，但从总体上来说，还缺乏规划和协调。另外，还就更具体的问题进行了十次小组讨论，例如：内容包括有关教育和性别问题的几次主题研讨会。还进行了五次地区研讨会以便为第三阶段“地区实施计划”做准备；</w:t>
      </w:r>
    </w:p>
    <w:p w:rsidR="00692915" w:rsidRDefault="00692915" w:rsidP="009A1C1B">
      <w:pPr>
        <w:numPr>
          <w:ilvl w:val="0"/>
          <w:numId w:val="6"/>
        </w:numPr>
        <w:tabs>
          <w:tab w:val="clear" w:pos="927"/>
          <w:tab w:val="left" w:pos="1690"/>
        </w:tabs>
        <w:ind w:leftChars="450" w:left="31680" w:hangingChars="200" w:firstLine="31680"/>
        <w:rPr>
          <w:bCs/>
          <w:color w:val="000000"/>
        </w:rPr>
      </w:pPr>
      <w:r>
        <w:rPr>
          <w:rFonts w:eastAsia="KaiTi_GB2312" w:hint="eastAsia"/>
          <w:bCs/>
          <w:color w:val="000000"/>
        </w:rPr>
        <w:t>第三阶段</w:t>
      </w:r>
      <w:r>
        <w:rPr>
          <w:rFonts w:hint="eastAsia"/>
          <w:bCs/>
          <w:color w:val="000000"/>
        </w:rPr>
        <w:t>：包括一个专业工作小组，该小组负责编写与艾滋病毒</w:t>
      </w:r>
      <w:r>
        <w:rPr>
          <w:rFonts w:hint="eastAsia"/>
          <w:bCs/>
          <w:color w:val="000000"/>
        </w:rPr>
        <w:t>/</w:t>
      </w:r>
      <w:r>
        <w:rPr>
          <w:rFonts w:hint="eastAsia"/>
          <w:bCs/>
          <w:color w:val="000000"/>
        </w:rPr>
        <w:t>艾滋病有关的新战略，并为各地区编写实施计划。</w:t>
      </w:r>
    </w:p>
    <w:p w:rsidR="00692915" w:rsidRDefault="00692915" w:rsidP="009A1C1B">
      <w:pPr>
        <w:numPr>
          <w:ilvl w:val="0"/>
          <w:numId w:val="6"/>
        </w:numPr>
        <w:tabs>
          <w:tab w:val="clear" w:pos="927"/>
          <w:tab w:val="left" w:pos="1690"/>
        </w:tabs>
        <w:spacing w:after="240"/>
        <w:ind w:leftChars="450" w:left="31680" w:hangingChars="200" w:firstLine="31680"/>
        <w:rPr>
          <w:bCs/>
          <w:color w:val="000000"/>
        </w:rPr>
      </w:pPr>
      <w:r>
        <w:rPr>
          <w:rFonts w:eastAsia="KaiTi_GB2312" w:hint="eastAsia"/>
          <w:bCs/>
          <w:color w:val="000000"/>
        </w:rPr>
        <w:t>第四阶段</w:t>
      </w:r>
      <w:r>
        <w:rPr>
          <w:rFonts w:hint="eastAsia"/>
          <w:bCs/>
          <w:color w:val="000000"/>
        </w:rPr>
        <w:t>：</w:t>
      </w:r>
      <w:r>
        <w:rPr>
          <w:rFonts w:hint="eastAsia"/>
          <w:bCs/>
          <w:color w:val="000000"/>
        </w:rPr>
        <w:t>2006</w:t>
      </w:r>
      <w:r>
        <w:rPr>
          <w:rFonts w:hint="eastAsia"/>
          <w:bCs/>
          <w:color w:val="000000"/>
        </w:rPr>
        <w:t>年</w:t>
      </w:r>
      <w:r>
        <w:rPr>
          <w:rFonts w:hint="eastAsia"/>
          <w:bCs/>
          <w:color w:val="000000"/>
        </w:rPr>
        <w:t>2</w:t>
      </w:r>
      <w:r>
        <w:rPr>
          <w:rFonts w:hint="eastAsia"/>
          <w:bCs/>
          <w:color w:val="000000"/>
        </w:rPr>
        <w:t>月</w:t>
      </w:r>
      <w:r>
        <w:rPr>
          <w:rFonts w:hint="eastAsia"/>
          <w:bCs/>
          <w:color w:val="000000"/>
        </w:rPr>
        <w:t>23</w:t>
      </w:r>
      <w:r>
        <w:rPr>
          <w:rFonts w:hint="eastAsia"/>
          <w:bCs/>
          <w:color w:val="000000"/>
        </w:rPr>
        <w:t>日至</w:t>
      </w:r>
      <w:r>
        <w:rPr>
          <w:rFonts w:hint="eastAsia"/>
          <w:bCs/>
          <w:color w:val="000000"/>
        </w:rPr>
        <w:t>24</w:t>
      </w:r>
      <w:r>
        <w:rPr>
          <w:rFonts w:hint="eastAsia"/>
          <w:bCs/>
          <w:color w:val="000000"/>
        </w:rPr>
        <w:t>日召开了另一次全国大会，决策机构正式批准了新的五年战略和实施计划。在撰写本报告之时，该战略正处于定稿阶段。</w:t>
      </w:r>
    </w:p>
    <w:p w:rsidR="00692915" w:rsidRDefault="00692915">
      <w:pPr>
        <w:pStyle w:val="Heading2"/>
        <w:tabs>
          <w:tab w:val="left" w:pos="520"/>
        </w:tabs>
        <w:jc w:val="both"/>
        <w:rPr>
          <w:iCs/>
          <w:color w:val="000000"/>
          <w:sz w:val="24"/>
        </w:rPr>
      </w:pPr>
      <w:bookmarkStart w:id="102" w:name="_Toc150514997"/>
      <w:bookmarkStart w:id="103" w:name="_Toc150684900"/>
      <w:r>
        <w:rPr>
          <w:color w:val="000000"/>
          <w:sz w:val="24"/>
        </w:rPr>
        <w:t xml:space="preserve">6. </w:t>
      </w:r>
      <w:r>
        <w:rPr>
          <w:color w:val="000000"/>
          <w:sz w:val="24"/>
        </w:rPr>
        <w:tab/>
      </w:r>
      <w:r>
        <w:rPr>
          <w:rFonts w:hint="eastAsia"/>
          <w:color w:val="000000"/>
          <w:sz w:val="24"/>
          <w:u w:val="single"/>
        </w:rPr>
        <w:t>卫生政策</w:t>
      </w:r>
      <w:r>
        <w:rPr>
          <w:rStyle w:val="FootnoteReference"/>
          <w:color w:val="000000"/>
          <w:szCs w:val="24"/>
        </w:rPr>
        <w:footnoteReference w:id="303"/>
      </w:r>
      <w:bookmarkEnd w:id="102"/>
      <w:bookmarkEnd w:id="103"/>
    </w:p>
    <w:p w:rsidR="00692915" w:rsidRDefault="00692915" w:rsidP="009A1C1B">
      <w:pPr>
        <w:tabs>
          <w:tab w:val="left" w:pos="1170"/>
        </w:tabs>
        <w:spacing w:line="348" w:lineRule="auto"/>
        <w:ind w:firstLine="31680"/>
        <w:rPr>
          <w:rFonts w:hint="eastAsia"/>
          <w:bCs/>
          <w:color w:val="000000"/>
        </w:rPr>
      </w:pPr>
      <w:r>
        <w:rPr>
          <w:color w:val="000000"/>
        </w:rPr>
        <w:t>575.</w:t>
      </w:r>
      <w:r>
        <w:rPr>
          <w:rFonts w:hint="eastAsia"/>
          <w:bCs/>
          <w:color w:val="000000"/>
        </w:rPr>
        <w:t xml:space="preserve"> </w:t>
      </w:r>
      <w:r>
        <w:rPr>
          <w:rFonts w:hint="eastAsia"/>
          <w:bCs/>
          <w:color w:val="000000"/>
        </w:rPr>
        <w:t>为了对令人担忧的卫生指标以及人口的明显需求做出反应，实现旨在提高东帝汶所有人健康水平的最终目标，卫生部正在努力制定一整套全面的法律与政策，并且已取得了明显的进展。</w:t>
      </w:r>
    </w:p>
    <w:p w:rsidR="00692915" w:rsidRDefault="00692915" w:rsidP="009A1C1B">
      <w:pPr>
        <w:tabs>
          <w:tab w:val="left" w:pos="1170"/>
        </w:tabs>
        <w:spacing w:line="348" w:lineRule="auto"/>
        <w:ind w:firstLine="31680"/>
        <w:rPr>
          <w:rFonts w:hint="eastAsia"/>
          <w:bCs/>
          <w:color w:val="000000"/>
        </w:rPr>
      </w:pPr>
      <w:r>
        <w:rPr>
          <w:bCs/>
          <w:color w:val="000000"/>
        </w:rPr>
        <w:t>576.</w:t>
      </w:r>
      <w:r>
        <w:rPr>
          <w:rFonts w:hint="eastAsia"/>
          <w:bCs/>
          <w:color w:val="000000"/>
        </w:rPr>
        <w:t xml:space="preserve"> </w:t>
      </w:r>
      <w:r>
        <w:rPr>
          <w:rFonts w:hint="eastAsia"/>
          <w:bCs/>
          <w:color w:val="000000"/>
        </w:rPr>
        <w:t>卫生法律的现有框架包括：</w:t>
      </w:r>
    </w:p>
    <w:p w:rsidR="00692915" w:rsidRDefault="00692915" w:rsidP="009A1C1B">
      <w:pPr>
        <w:numPr>
          <w:ilvl w:val="0"/>
          <w:numId w:val="6"/>
        </w:numPr>
        <w:tabs>
          <w:tab w:val="clear" w:pos="927"/>
          <w:tab w:val="left" w:pos="1690"/>
        </w:tabs>
        <w:spacing w:line="348" w:lineRule="auto"/>
        <w:ind w:leftChars="450" w:left="31680" w:hangingChars="200" w:firstLine="31680"/>
        <w:rPr>
          <w:bCs/>
          <w:color w:val="000000"/>
        </w:rPr>
      </w:pPr>
      <w:r>
        <w:rPr>
          <w:rFonts w:hint="eastAsia"/>
          <w:bCs/>
          <w:color w:val="000000"/>
        </w:rPr>
        <w:t>《卫生系统法》；</w:t>
      </w:r>
      <w:r>
        <w:rPr>
          <w:bCs/>
          <w:color w:val="000000"/>
          <w:vertAlign w:val="superscript"/>
        </w:rPr>
        <w:footnoteReference w:id="304"/>
      </w:r>
    </w:p>
    <w:p w:rsidR="00692915" w:rsidRDefault="00692915" w:rsidP="009A1C1B">
      <w:pPr>
        <w:numPr>
          <w:ilvl w:val="0"/>
          <w:numId w:val="6"/>
        </w:numPr>
        <w:tabs>
          <w:tab w:val="clear" w:pos="927"/>
          <w:tab w:val="left" w:pos="1690"/>
        </w:tabs>
        <w:spacing w:line="348" w:lineRule="auto"/>
        <w:ind w:leftChars="450" w:left="31680" w:hangingChars="200" w:firstLine="31680"/>
        <w:rPr>
          <w:bCs/>
          <w:color w:val="000000"/>
        </w:rPr>
      </w:pPr>
      <w:r>
        <w:rPr>
          <w:rFonts w:hint="eastAsia"/>
          <w:bCs/>
          <w:color w:val="000000"/>
        </w:rPr>
        <w:t>《卫生部组织法》；</w:t>
      </w:r>
    </w:p>
    <w:p w:rsidR="00692915" w:rsidRDefault="00692915" w:rsidP="009A1C1B">
      <w:pPr>
        <w:numPr>
          <w:ilvl w:val="0"/>
          <w:numId w:val="6"/>
        </w:numPr>
        <w:tabs>
          <w:tab w:val="clear" w:pos="927"/>
          <w:tab w:val="left" w:pos="1690"/>
        </w:tabs>
        <w:spacing w:line="348" w:lineRule="auto"/>
        <w:ind w:leftChars="450" w:left="31680" w:hangingChars="200" w:firstLine="31680"/>
        <w:rPr>
          <w:bCs/>
          <w:color w:val="000000"/>
        </w:rPr>
      </w:pPr>
      <w:r>
        <w:rPr>
          <w:rFonts w:hint="eastAsia"/>
          <w:bCs/>
          <w:color w:val="000000"/>
        </w:rPr>
        <w:t>《卫生专业人员执业法》；</w:t>
      </w:r>
      <w:r>
        <w:rPr>
          <w:bCs/>
          <w:color w:val="000000"/>
          <w:vertAlign w:val="superscript"/>
        </w:rPr>
        <w:footnoteReference w:id="305"/>
      </w:r>
    </w:p>
    <w:p w:rsidR="00692915" w:rsidRDefault="00692915" w:rsidP="009A1C1B">
      <w:pPr>
        <w:numPr>
          <w:ilvl w:val="0"/>
          <w:numId w:val="6"/>
        </w:numPr>
        <w:tabs>
          <w:tab w:val="clear" w:pos="927"/>
          <w:tab w:val="left" w:pos="1690"/>
        </w:tabs>
        <w:spacing w:line="348" w:lineRule="auto"/>
        <w:ind w:leftChars="450" w:left="31680" w:hangingChars="200" w:firstLine="31680"/>
        <w:rPr>
          <w:bCs/>
          <w:color w:val="000000"/>
        </w:rPr>
      </w:pPr>
      <w:r>
        <w:rPr>
          <w:rFonts w:hint="eastAsia"/>
          <w:bCs/>
          <w:color w:val="000000"/>
        </w:rPr>
        <w:t>《制药活动法》；</w:t>
      </w:r>
      <w:r>
        <w:rPr>
          <w:bCs/>
          <w:color w:val="000000"/>
          <w:vertAlign w:val="superscript"/>
        </w:rPr>
        <w:footnoteReference w:id="306"/>
      </w:r>
    </w:p>
    <w:p w:rsidR="00692915" w:rsidRDefault="00692915" w:rsidP="009A1C1B">
      <w:pPr>
        <w:numPr>
          <w:ilvl w:val="0"/>
          <w:numId w:val="6"/>
        </w:numPr>
        <w:tabs>
          <w:tab w:val="clear" w:pos="927"/>
          <w:tab w:val="left" w:pos="1690"/>
        </w:tabs>
        <w:spacing w:line="348" w:lineRule="auto"/>
        <w:ind w:leftChars="450" w:left="31680" w:hangingChars="200" w:firstLine="31680"/>
        <w:rPr>
          <w:bCs/>
          <w:color w:val="000000"/>
        </w:rPr>
      </w:pPr>
      <w:r>
        <w:rPr>
          <w:rFonts w:hint="eastAsia"/>
          <w:bCs/>
          <w:color w:val="000000"/>
        </w:rPr>
        <w:t>《私人卫生所法》；</w:t>
      </w:r>
      <w:r>
        <w:rPr>
          <w:bCs/>
          <w:color w:val="000000"/>
          <w:vertAlign w:val="superscript"/>
        </w:rPr>
        <w:footnoteReference w:id="307"/>
      </w:r>
      <w:r>
        <w:rPr>
          <w:bCs/>
          <w:color w:val="000000"/>
          <w:vertAlign w:val="superscript"/>
        </w:rPr>
        <w:t xml:space="preserve"> </w:t>
      </w:r>
    </w:p>
    <w:p w:rsidR="00692915" w:rsidRDefault="00692915" w:rsidP="009A1C1B">
      <w:pPr>
        <w:numPr>
          <w:ilvl w:val="0"/>
          <w:numId w:val="6"/>
        </w:numPr>
        <w:tabs>
          <w:tab w:val="clear" w:pos="927"/>
          <w:tab w:val="left" w:pos="1690"/>
        </w:tabs>
        <w:spacing w:after="240" w:line="348" w:lineRule="auto"/>
        <w:ind w:leftChars="450" w:left="31680" w:hangingChars="200" w:firstLine="31680"/>
        <w:rPr>
          <w:bCs/>
          <w:color w:val="000000"/>
        </w:rPr>
      </w:pPr>
      <w:r>
        <w:rPr>
          <w:rFonts w:hint="eastAsia"/>
          <w:bCs/>
          <w:color w:val="000000"/>
        </w:rPr>
        <w:t>《卫生科学研究院法》。</w:t>
      </w:r>
      <w:r>
        <w:rPr>
          <w:rStyle w:val="FootnoteReference"/>
          <w:bCs/>
          <w:color w:val="000000"/>
        </w:rPr>
        <w:footnoteReference w:id="308"/>
      </w:r>
    </w:p>
    <w:p w:rsidR="00692915" w:rsidRDefault="00692915" w:rsidP="009A1C1B">
      <w:pPr>
        <w:tabs>
          <w:tab w:val="left" w:pos="1170"/>
        </w:tabs>
        <w:autoSpaceDE w:val="0"/>
        <w:autoSpaceDN w:val="0"/>
        <w:spacing w:line="348" w:lineRule="auto"/>
        <w:ind w:firstLine="31680"/>
        <w:rPr>
          <w:rFonts w:hint="eastAsia"/>
          <w:bCs/>
          <w:color w:val="000000"/>
        </w:rPr>
      </w:pPr>
      <w:r>
        <w:rPr>
          <w:bCs/>
          <w:color w:val="000000"/>
        </w:rPr>
        <w:t xml:space="preserve">577. </w:t>
      </w:r>
      <w:r>
        <w:rPr>
          <w:rFonts w:hint="eastAsia"/>
          <w:bCs/>
          <w:color w:val="000000"/>
        </w:rPr>
        <w:t>卫生部的任务是努力确保：东帝汶所有人都可以使用、获得和支付得起卫生服务；对卫生部门进行管制；促进社区和其他利益攸关方（包括其他部门）的参与。</w:t>
      </w:r>
    </w:p>
    <w:p w:rsidR="00692915" w:rsidRDefault="00692915" w:rsidP="009A1C1B">
      <w:pPr>
        <w:tabs>
          <w:tab w:val="left" w:pos="1170"/>
        </w:tabs>
        <w:autoSpaceDE w:val="0"/>
        <w:autoSpaceDN w:val="0"/>
        <w:spacing w:line="348" w:lineRule="auto"/>
        <w:ind w:firstLine="31680"/>
        <w:rPr>
          <w:rFonts w:hint="eastAsia"/>
          <w:bCs/>
          <w:color w:val="000000"/>
        </w:rPr>
      </w:pPr>
      <w:r>
        <w:rPr>
          <w:bCs/>
          <w:color w:val="000000"/>
        </w:rPr>
        <w:t>578.</w:t>
      </w:r>
      <w:r>
        <w:rPr>
          <w:rFonts w:hint="eastAsia"/>
          <w:bCs/>
          <w:color w:val="000000"/>
        </w:rPr>
        <w:t>卫生部于</w:t>
      </w:r>
      <w:r>
        <w:rPr>
          <w:rFonts w:hint="eastAsia"/>
          <w:bCs/>
          <w:color w:val="000000"/>
        </w:rPr>
        <w:t>2002</w:t>
      </w:r>
      <w:r>
        <w:rPr>
          <w:rFonts w:hint="eastAsia"/>
          <w:bCs/>
          <w:color w:val="000000"/>
        </w:rPr>
        <w:t>年</w:t>
      </w:r>
      <w:r>
        <w:rPr>
          <w:rFonts w:hint="eastAsia"/>
          <w:bCs/>
          <w:color w:val="000000"/>
        </w:rPr>
        <w:t>6</w:t>
      </w:r>
      <w:r>
        <w:rPr>
          <w:rFonts w:hint="eastAsia"/>
          <w:bCs/>
          <w:color w:val="000000"/>
        </w:rPr>
        <w:t>月制定的卫生政策框架与《国家发展计划》的卫生目标一致，但范围要广一些，</w:t>
      </w:r>
      <w:r>
        <w:rPr>
          <w:rStyle w:val="FootnoteReference"/>
          <w:bCs/>
          <w:color w:val="000000"/>
        </w:rPr>
        <w:footnoteReference w:id="309"/>
      </w:r>
      <w:r>
        <w:rPr>
          <w:rFonts w:hint="eastAsia"/>
          <w:bCs/>
          <w:color w:val="000000"/>
        </w:rPr>
        <w:t>该框架旨在敦促卫生部为改善国家卫生状况这一总体目标做出贡献，为此将“建立并完善一个低成本高效益、以需求为本的卫生系统，以便通过参与方式，专门解决妇女、儿童和其他弱势人群，尤其是贫困人群的卫生问题，从而向东帝汶人提供优质的保健服务”</w:t>
      </w:r>
      <w:r>
        <w:rPr>
          <w:rStyle w:val="FootnoteReference"/>
          <w:bCs/>
          <w:color w:val="000000"/>
        </w:rPr>
        <w:t xml:space="preserve"> </w:t>
      </w:r>
      <w:r>
        <w:rPr>
          <w:rFonts w:hint="eastAsia"/>
          <w:bCs/>
          <w:color w:val="000000"/>
        </w:rPr>
        <w:t>。</w:t>
      </w:r>
      <w:r>
        <w:rPr>
          <w:rStyle w:val="FootnoteReference"/>
          <w:bCs/>
          <w:color w:val="000000"/>
        </w:rPr>
        <w:footnoteReference w:id="310"/>
      </w:r>
    </w:p>
    <w:p w:rsidR="00692915" w:rsidRDefault="00692915" w:rsidP="009A1C1B">
      <w:pPr>
        <w:tabs>
          <w:tab w:val="left" w:pos="1170"/>
        </w:tabs>
        <w:autoSpaceDE w:val="0"/>
        <w:autoSpaceDN w:val="0"/>
        <w:spacing w:line="348" w:lineRule="auto"/>
        <w:ind w:firstLine="31680"/>
        <w:rPr>
          <w:rFonts w:hint="eastAsia"/>
          <w:bCs/>
          <w:color w:val="000000"/>
        </w:rPr>
      </w:pPr>
      <w:r>
        <w:rPr>
          <w:bCs/>
          <w:color w:val="000000"/>
        </w:rPr>
        <w:t>579.</w:t>
      </w:r>
      <w:r>
        <w:rPr>
          <w:bCs/>
          <w:color w:val="000000"/>
        </w:rPr>
        <w:tab/>
      </w:r>
      <w:r>
        <w:rPr>
          <w:rFonts w:hint="eastAsia"/>
          <w:bCs/>
          <w:color w:val="000000"/>
        </w:rPr>
        <w:t>目前，公众可免费享受卫生服务。但是政府的资源有限，无法全面提供各级所需的全部服务，因此卫生部必须确定一整套可以提供的服务，以确保实现最大的覆盖面，使绝大多数人从中受益。目前的基本服务体系包括基本的卫生服务和低成本高效益的干预措施</w:t>
      </w:r>
      <w:r>
        <w:rPr>
          <w:rFonts w:ascii="SimHei" w:eastAsia="SimHei" w:hint="eastAsia"/>
          <w:bCs/>
          <w:color w:val="000000"/>
          <w:spacing w:val="0"/>
        </w:rPr>
        <w:t>——</w:t>
      </w:r>
      <w:r>
        <w:rPr>
          <w:rFonts w:hint="eastAsia"/>
          <w:bCs/>
          <w:color w:val="000000"/>
        </w:rPr>
        <w:t>这些干预措施旨在预防、控制或处理各种给国家带来最大负担的疾病问题。</w:t>
      </w:r>
      <w:r>
        <w:rPr>
          <w:rStyle w:val="FootnoteReference"/>
          <w:bCs/>
          <w:color w:val="000000"/>
        </w:rPr>
        <w:footnoteReference w:id="311"/>
      </w:r>
      <w:r>
        <w:rPr>
          <w:rFonts w:hint="eastAsia"/>
          <w:bCs/>
          <w:color w:val="000000"/>
        </w:rPr>
        <w:t>东帝汶的疾病问题主要包括可预防的常见地方传染病，其中有很大比例的疾病可以在每个地区的卫生站和卫生中心进行有效处理。</w:t>
      </w:r>
    </w:p>
    <w:p w:rsidR="00692915" w:rsidRDefault="00692915" w:rsidP="009A1C1B">
      <w:pPr>
        <w:tabs>
          <w:tab w:val="left" w:pos="1170"/>
        </w:tabs>
        <w:autoSpaceDE w:val="0"/>
        <w:autoSpaceDN w:val="0"/>
        <w:spacing w:line="348" w:lineRule="auto"/>
        <w:ind w:firstLine="31680"/>
        <w:rPr>
          <w:rFonts w:hint="eastAsia"/>
          <w:bCs/>
          <w:color w:val="000000"/>
        </w:rPr>
      </w:pPr>
      <w:r>
        <w:rPr>
          <w:bCs/>
          <w:color w:val="000000"/>
        </w:rPr>
        <w:t>580.</w:t>
      </w:r>
      <w:r>
        <w:rPr>
          <w:rFonts w:hint="eastAsia"/>
          <w:bCs/>
          <w:color w:val="000000"/>
        </w:rPr>
        <w:t xml:space="preserve"> </w:t>
      </w:r>
      <w:r>
        <w:rPr>
          <w:rFonts w:hint="eastAsia"/>
          <w:bCs/>
          <w:color w:val="000000"/>
        </w:rPr>
        <w:t>基于这种考虑，卫生部已确定了一个基本服务体系，其中包括产妇保健、儿童保健、传染疾病、非传染疾病、健康推广工作和环境健康。</w:t>
      </w:r>
    </w:p>
    <w:p w:rsidR="00692915" w:rsidRDefault="00692915" w:rsidP="009A1C1B">
      <w:pPr>
        <w:tabs>
          <w:tab w:val="left" w:pos="1170"/>
        </w:tabs>
        <w:autoSpaceDE w:val="0"/>
        <w:autoSpaceDN w:val="0"/>
        <w:spacing w:line="348" w:lineRule="auto"/>
        <w:ind w:firstLine="31680"/>
        <w:rPr>
          <w:rFonts w:hint="eastAsia"/>
          <w:bCs/>
          <w:color w:val="000000"/>
        </w:rPr>
      </w:pPr>
      <w:r>
        <w:rPr>
          <w:bCs/>
          <w:color w:val="000000"/>
        </w:rPr>
        <w:t>581.</w:t>
      </w:r>
      <w:r>
        <w:rPr>
          <w:rFonts w:hint="eastAsia"/>
          <w:bCs/>
          <w:color w:val="000000"/>
        </w:rPr>
        <w:t xml:space="preserve"> </w:t>
      </w:r>
      <w:r>
        <w:rPr>
          <w:rFonts w:hint="eastAsia"/>
          <w:bCs/>
          <w:color w:val="000000"/>
        </w:rPr>
        <w:t>在这六个优先领域中，每个领域将由一个包括具体战略、旨在解决每个部门关键问题的支配性政策提供支持。例如，到目前为止，已为营养、计划生育和生殖健康战略通过了产妇保健政策。儿童保健战略也有各种旨在进行免疫和对儿童疾病进行一体化管理的政策作为支持，目前正在制定一项儿童保健政策。用以支持传染疾病战略的肺结核和疟疾政策已获通过，麻风病和艾滋病毒</w:t>
      </w:r>
      <w:r>
        <w:rPr>
          <w:rFonts w:hint="eastAsia"/>
          <w:bCs/>
          <w:color w:val="000000"/>
        </w:rPr>
        <w:t>/</w:t>
      </w:r>
      <w:r>
        <w:rPr>
          <w:rFonts w:hint="eastAsia"/>
          <w:bCs/>
          <w:color w:val="000000"/>
        </w:rPr>
        <w:t>艾滋病方面的政策正处于不同的制定阶段，用以支持非传染疾病战略的口腔和心理保健政策已获通过。健康推广政策也获得通过，而环境健康和食品加工的政策正处于不同的制定阶段。</w:t>
      </w:r>
    </w:p>
    <w:p w:rsidR="00692915" w:rsidRDefault="00692915" w:rsidP="009A1C1B">
      <w:pPr>
        <w:tabs>
          <w:tab w:val="left" w:pos="1170"/>
        </w:tabs>
        <w:autoSpaceDE w:val="0"/>
        <w:autoSpaceDN w:val="0"/>
        <w:ind w:firstLine="31680"/>
        <w:rPr>
          <w:rFonts w:hint="eastAsia"/>
          <w:bCs/>
          <w:color w:val="000000"/>
        </w:rPr>
      </w:pPr>
      <w:r>
        <w:rPr>
          <w:bCs/>
          <w:color w:val="000000"/>
        </w:rPr>
        <w:t>582.</w:t>
      </w:r>
      <w:r>
        <w:rPr>
          <w:rFonts w:hint="eastAsia"/>
          <w:bCs/>
          <w:color w:val="000000"/>
        </w:rPr>
        <w:tab/>
      </w:r>
      <w:r>
        <w:rPr>
          <w:rFonts w:hint="eastAsia"/>
          <w:bCs/>
          <w:color w:val="000000"/>
        </w:rPr>
        <w:t>下放保健服务领域的权力是卫生政策框架的另一个重要特征，这是为了让地方保健工作人员和社区更有效地参与制定和实施卫生方案。放权将包括加强各地区卫生保健部门的管理能力，这些部门将成为编制和实施地区卫生计划的协调单位。</w:t>
      </w:r>
    </w:p>
    <w:p w:rsidR="00692915" w:rsidRDefault="00692915" w:rsidP="009A1C1B">
      <w:pPr>
        <w:tabs>
          <w:tab w:val="left" w:pos="1170"/>
        </w:tabs>
        <w:autoSpaceDE w:val="0"/>
        <w:autoSpaceDN w:val="0"/>
        <w:ind w:firstLine="31680"/>
        <w:rPr>
          <w:rFonts w:hint="eastAsia"/>
          <w:bCs/>
          <w:color w:val="000000"/>
        </w:rPr>
      </w:pPr>
      <w:r>
        <w:rPr>
          <w:bCs/>
          <w:color w:val="000000"/>
        </w:rPr>
        <w:t>583.</w:t>
      </w:r>
      <w:r>
        <w:rPr>
          <w:rFonts w:hint="eastAsia"/>
          <w:bCs/>
          <w:color w:val="000000"/>
        </w:rPr>
        <w:tab/>
      </w:r>
      <w:r>
        <w:rPr>
          <w:rFonts w:hint="eastAsia"/>
          <w:bCs/>
          <w:color w:val="000000"/>
        </w:rPr>
        <w:t>整个政府所采取的放权策略，尤其是诸如财务代理和人员管理领域的放权策略将对保健系统分权的步伐和程度产生影响。到目前为止，已为所有</w:t>
      </w:r>
      <w:r>
        <w:rPr>
          <w:rFonts w:hint="eastAsia"/>
          <w:bCs/>
          <w:color w:val="000000"/>
        </w:rPr>
        <w:t>13</w:t>
      </w:r>
      <w:r>
        <w:rPr>
          <w:rFonts w:hint="eastAsia"/>
          <w:bCs/>
          <w:color w:val="000000"/>
        </w:rPr>
        <w:t>个地区制定了地区保健计划，地区保健管理小组将在每个季度对这些计划进行审查。</w:t>
      </w:r>
    </w:p>
    <w:p w:rsidR="00692915" w:rsidRDefault="00692915" w:rsidP="009A1C1B">
      <w:pPr>
        <w:tabs>
          <w:tab w:val="left" w:pos="1170"/>
        </w:tabs>
        <w:autoSpaceDE w:val="0"/>
        <w:autoSpaceDN w:val="0"/>
        <w:spacing w:line="360" w:lineRule="auto"/>
        <w:ind w:firstLine="31680"/>
        <w:rPr>
          <w:rFonts w:hint="eastAsia"/>
          <w:bCs/>
          <w:color w:val="000000"/>
        </w:rPr>
      </w:pPr>
      <w:r>
        <w:rPr>
          <w:bCs/>
          <w:color w:val="000000"/>
        </w:rPr>
        <w:t>584.</w:t>
      </w:r>
      <w:r>
        <w:rPr>
          <w:rFonts w:hint="eastAsia"/>
          <w:bCs/>
          <w:color w:val="000000"/>
        </w:rPr>
        <w:t xml:space="preserve"> </w:t>
      </w:r>
      <w:r>
        <w:rPr>
          <w:rFonts w:hint="eastAsia"/>
          <w:bCs/>
          <w:color w:val="000000"/>
        </w:rPr>
        <w:t>正如有关生殖保健一节所详细介绍的那样，以性别为焦点的服务是卫生部绝大多数干预措施的主要焦点和核心。</w:t>
      </w:r>
      <w:r>
        <w:rPr>
          <w:rFonts w:hint="eastAsia"/>
          <w:color w:val="000000"/>
        </w:rPr>
        <w:t>基本服务体系直接通过一系列的干预措施，将妇女作为社会中的个人、生育者和生产者来专门满足她们的需要。一方面，所有的服务和干预措施都体现了妇女的这些重要作用；另一方面，卫生部产妇保健处专门针对生殖保健制定了相应的方案，该方案重点关注了妇女健康以及妇女作为生育者的营养需求。</w:t>
      </w:r>
    </w:p>
    <w:p w:rsidR="00692915" w:rsidRDefault="00692915" w:rsidP="009A1C1B">
      <w:pPr>
        <w:tabs>
          <w:tab w:val="left" w:pos="1170"/>
        </w:tabs>
        <w:autoSpaceDE w:val="0"/>
        <w:autoSpaceDN w:val="0"/>
        <w:spacing w:line="360" w:lineRule="auto"/>
        <w:ind w:firstLine="31680"/>
        <w:rPr>
          <w:rFonts w:hint="eastAsia"/>
          <w:bCs/>
          <w:color w:val="000000"/>
        </w:rPr>
      </w:pPr>
      <w:r>
        <w:rPr>
          <w:bCs/>
          <w:color w:val="000000"/>
        </w:rPr>
        <w:t>585.</w:t>
      </w:r>
      <w:r>
        <w:rPr>
          <w:rFonts w:hint="eastAsia"/>
          <w:bCs/>
          <w:color w:val="000000"/>
        </w:rPr>
        <w:t xml:space="preserve"> </w:t>
      </w:r>
      <w:r>
        <w:rPr>
          <w:rFonts w:hint="eastAsia"/>
          <w:bCs/>
          <w:color w:val="000000"/>
        </w:rPr>
        <w:t>在发展全国物质基础设施的同时，已在</w:t>
      </w:r>
      <w:r>
        <w:rPr>
          <w:rFonts w:hint="eastAsia"/>
          <w:bCs/>
          <w:color w:val="000000"/>
        </w:rPr>
        <w:t>2005</w:t>
      </w:r>
      <w:r>
        <w:rPr>
          <w:rFonts w:hint="eastAsia"/>
          <w:bCs/>
          <w:color w:val="000000"/>
        </w:rPr>
        <w:t>年制定了一项稳健的国家政策和资源筹措框架，以便让绝大多数人能够方便地获得保健服务。但是，在服务质量和基本保健方面，仍然存在很多问题，其中包括以下方面。</w:t>
      </w:r>
    </w:p>
    <w:p w:rsidR="00692915" w:rsidRDefault="00692915" w:rsidP="009A1C1B">
      <w:pPr>
        <w:tabs>
          <w:tab w:val="left" w:pos="1170"/>
        </w:tabs>
        <w:autoSpaceDE w:val="0"/>
        <w:autoSpaceDN w:val="0"/>
        <w:spacing w:line="360" w:lineRule="auto"/>
        <w:ind w:firstLine="31680"/>
        <w:rPr>
          <w:rFonts w:hint="eastAsia"/>
          <w:bCs/>
          <w:color w:val="000000"/>
        </w:rPr>
      </w:pPr>
      <w:r>
        <w:rPr>
          <w:bCs/>
          <w:color w:val="000000"/>
        </w:rPr>
        <w:t>586.</w:t>
      </w:r>
      <w:r>
        <w:rPr>
          <w:rFonts w:hint="eastAsia"/>
          <w:bCs/>
          <w:i/>
          <w:color w:val="000000"/>
        </w:rPr>
        <w:t xml:space="preserve"> </w:t>
      </w:r>
      <w:r>
        <w:rPr>
          <w:rFonts w:eastAsia="KaiTi_GB2312" w:hint="eastAsia"/>
          <w:bCs/>
          <w:color w:val="000000"/>
        </w:rPr>
        <w:t>社区对保健问题缺乏意识</w:t>
      </w:r>
      <w:r>
        <w:rPr>
          <w:rFonts w:hint="eastAsia"/>
          <w:bCs/>
          <w:color w:val="000000"/>
        </w:rPr>
        <w:t>。很多社区对基本保健和营养的了解很有限。人们，尤其是妇女对卫生保健问题普遍缺乏意识，对卫生保健的益处也普遍缺乏了解。使这些问题更加严重的是，早婚、怀孕和对性别问题的忽视。</w:t>
      </w:r>
    </w:p>
    <w:p w:rsidR="00692915" w:rsidRDefault="00692915" w:rsidP="009A1C1B">
      <w:pPr>
        <w:tabs>
          <w:tab w:val="left" w:pos="1170"/>
        </w:tabs>
        <w:autoSpaceDE w:val="0"/>
        <w:autoSpaceDN w:val="0"/>
        <w:spacing w:line="360" w:lineRule="auto"/>
        <w:ind w:firstLine="31680"/>
        <w:rPr>
          <w:rFonts w:hint="eastAsia"/>
          <w:bCs/>
          <w:color w:val="000000"/>
        </w:rPr>
      </w:pPr>
      <w:r>
        <w:rPr>
          <w:color w:val="000000"/>
        </w:rPr>
        <w:t>587.</w:t>
      </w:r>
      <w:r>
        <w:rPr>
          <w:rFonts w:hint="eastAsia"/>
          <w:bCs/>
          <w:i/>
          <w:color w:val="000000"/>
        </w:rPr>
        <w:t xml:space="preserve"> </w:t>
      </w:r>
      <w:r>
        <w:rPr>
          <w:rFonts w:eastAsia="KaiTi_GB2312" w:hint="eastAsia"/>
          <w:bCs/>
          <w:color w:val="000000"/>
        </w:rPr>
        <w:t>提供保健服务的能力有限</w:t>
      </w:r>
      <w:r>
        <w:rPr>
          <w:rFonts w:hint="eastAsia"/>
          <w:bCs/>
          <w:color w:val="000000"/>
        </w:rPr>
        <w:t>。</w:t>
      </w:r>
      <w:r>
        <w:rPr>
          <w:rFonts w:hint="eastAsia"/>
          <w:bCs/>
          <w:color w:val="000000"/>
        </w:rPr>
        <w:t xml:space="preserve"> </w:t>
      </w:r>
      <w:r>
        <w:rPr>
          <w:rFonts w:hint="eastAsia"/>
          <w:bCs/>
          <w:color w:val="000000"/>
        </w:rPr>
        <w:t>还存在着各种问题，例如：人员短缺，重视医疗而非预防性护理，报酬低，依赖外国工作人员和管理问题等。</w:t>
      </w:r>
      <w:r>
        <w:rPr>
          <w:rStyle w:val="FootnoteReference"/>
          <w:bCs/>
          <w:color w:val="000000"/>
        </w:rPr>
        <w:footnoteReference w:id="312"/>
      </w:r>
      <w:r>
        <w:rPr>
          <w:rFonts w:hint="eastAsia"/>
          <w:bCs/>
          <w:color w:val="000000"/>
        </w:rPr>
        <w:t>并不总能为那些前往保健机构的病人（包括妇女和儿童）提供全面和优质的理想护理服务。还缺少经验丰富和训练有素的医疗工作人员。</w:t>
      </w:r>
    </w:p>
    <w:p w:rsidR="00692915" w:rsidRDefault="00692915" w:rsidP="009A1C1B">
      <w:pPr>
        <w:tabs>
          <w:tab w:val="left" w:pos="1170"/>
        </w:tabs>
        <w:autoSpaceDE w:val="0"/>
        <w:autoSpaceDN w:val="0"/>
        <w:spacing w:line="360" w:lineRule="auto"/>
        <w:ind w:firstLine="31680"/>
        <w:rPr>
          <w:rFonts w:hint="eastAsia"/>
          <w:bCs/>
          <w:color w:val="000000"/>
        </w:rPr>
      </w:pPr>
      <w:r>
        <w:rPr>
          <w:bCs/>
          <w:iCs/>
          <w:color w:val="000000"/>
        </w:rPr>
        <w:t>588.</w:t>
      </w:r>
      <w:r>
        <w:rPr>
          <w:bCs/>
          <w:iCs/>
          <w:color w:val="000000"/>
        </w:rPr>
        <w:tab/>
      </w:r>
      <w:r>
        <w:rPr>
          <w:rFonts w:eastAsia="KaiTi_GB2312" w:hint="eastAsia"/>
          <w:bCs/>
          <w:color w:val="000000"/>
          <w:spacing w:val="-2"/>
        </w:rPr>
        <w:t>难以获取保健服务</w:t>
      </w:r>
      <w:r>
        <w:rPr>
          <w:rFonts w:hint="eastAsia"/>
          <w:bCs/>
          <w:color w:val="000000"/>
          <w:spacing w:val="-2"/>
        </w:rPr>
        <w:t>。尽管已开始将保健服务放权给各地，但是对于边远农村地区的很多贫困和弱势人群来说，仍然存在着通讯和通行设施不足的问题，在高地和雨季</w:t>
      </w:r>
      <w:r>
        <w:rPr>
          <w:rFonts w:hint="eastAsia"/>
          <w:bCs/>
          <w:color w:val="000000"/>
          <w:spacing w:val="-2"/>
        </w:rPr>
        <w:t>/</w:t>
      </w:r>
      <w:r>
        <w:rPr>
          <w:rFonts w:hint="eastAsia"/>
          <w:bCs/>
          <w:color w:val="000000"/>
          <w:spacing w:val="-2"/>
        </w:rPr>
        <w:t>湿季期间，这种情况尤其突出（有</w:t>
      </w:r>
      <w:r>
        <w:rPr>
          <w:rFonts w:hint="eastAsia"/>
          <w:bCs/>
          <w:color w:val="000000"/>
          <w:spacing w:val="-2"/>
        </w:rPr>
        <w:t>86%</w:t>
      </w:r>
      <w:r>
        <w:rPr>
          <w:rFonts w:hint="eastAsia"/>
          <w:bCs/>
          <w:color w:val="000000"/>
          <w:spacing w:val="-2"/>
        </w:rPr>
        <w:t>的人需要步行到保健服务机构）。</w:t>
      </w:r>
      <w:r>
        <w:rPr>
          <w:rStyle w:val="FootnoteReference"/>
          <w:bCs/>
          <w:color w:val="000000"/>
          <w:spacing w:val="-2"/>
        </w:rPr>
        <w:footnoteReference w:id="313"/>
      </w:r>
    </w:p>
    <w:p w:rsidR="00692915" w:rsidRDefault="00692915" w:rsidP="009A1C1B">
      <w:pPr>
        <w:tabs>
          <w:tab w:val="left" w:pos="1170"/>
        </w:tabs>
        <w:autoSpaceDE w:val="0"/>
        <w:autoSpaceDN w:val="0"/>
        <w:spacing w:line="360" w:lineRule="auto"/>
        <w:ind w:firstLine="31680"/>
        <w:rPr>
          <w:rFonts w:hint="eastAsia"/>
          <w:bCs/>
          <w:color w:val="000000"/>
        </w:rPr>
      </w:pPr>
      <w:r>
        <w:rPr>
          <w:bCs/>
          <w:iCs/>
          <w:color w:val="000000"/>
        </w:rPr>
        <w:t>589.</w:t>
      </w:r>
      <w:r>
        <w:rPr>
          <w:bCs/>
          <w:iCs/>
          <w:color w:val="000000"/>
        </w:rPr>
        <w:tab/>
      </w:r>
      <w:r>
        <w:rPr>
          <w:rFonts w:eastAsia="KaiTi_GB2312" w:hint="eastAsia"/>
          <w:bCs/>
          <w:color w:val="000000"/>
        </w:rPr>
        <w:t>保健服务的使用有限。</w:t>
      </w:r>
      <w:r>
        <w:rPr>
          <w:rFonts w:hint="eastAsia"/>
          <w:bCs/>
          <w:color w:val="000000"/>
        </w:rPr>
        <w:t>尽管在全国建立了适当的保健设施体系，尽管在人们中间继续存在着严重的健康问题，但是相对于其他低收入国家而言，东帝汶医疗服务的使用水平很低。如上所述，观察证据显示这与几个重要因素</w:t>
      </w:r>
      <w:r>
        <w:rPr>
          <w:rStyle w:val="FootnoteReference"/>
          <w:bCs/>
          <w:color w:val="000000"/>
        </w:rPr>
        <w:footnoteReference w:id="314"/>
      </w:r>
      <w:r>
        <w:rPr>
          <w:rFonts w:hint="eastAsia"/>
          <w:bCs/>
          <w:color w:val="000000"/>
        </w:rPr>
        <w:t>有关，其中包括费用、</w:t>
      </w:r>
      <w:r>
        <w:rPr>
          <w:rStyle w:val="FootnoteReference"/>
          <w:bCs/>
          <w:color w:val="000000"/>
        </w:rPr>
        <w:footnoteReference w:id="315"/>
      </w:r>
      <w:r>
        <w:rPr>
          <w:rFonts w:hint="eastAsia"/>
          <w:bCs/>
          <w:color w:val="000000"/>
        </w:rPr>
        <w:t>获取的方便程度、知识与态度、</w:t>
      </w:r>
      <w:r>
        <w:rPr>
          <w:rStyle w:val="FootnoteReference"/>
          <w:bCs/>
          <w:color w:val="000000"/>
        </w:rPr>
        <w:footnoteReference w:id="316"/>
      </w:r>
      <w:r>
        <w:rPr>
          <w:rFonts w:hint="eastAsia"/>
          <w:bCs/>
          <w:color w:val="000000"/>
        </w:rPr>
        <w:t>服务供应等。</w:t>
      </w:r>
    </w:p>
    <w:p w:rsidR="00692915" w:rsidRDefault="00692915" w:rsidP="009A1C1B">
      <w:pPr>
        <w:tabs>
          <w:tab w:val="left" w:pos="1170"/>
        </w:tabs>
        <w:autoSpaceDE w:val="0"/>
        <w:autoSpaceDN w:val="0"/>
        <w:ind w:firstLine="31680"/>
        <w:rPr>
          <w:rFonts w:hint="eastAsia"/>
          <w:bCs/>
          <w:color w:val="000000"/>
        </w:rPr>
      </w:pPr>
      <w:r>
        <w:rPr>
          <w:bCs/>
          <w:iCs/>
          <w:color w:val="000000"/>
        </w:rPr>
        <w:t>590.</w:t>
      </w:r>
      <w:r>
        <w:rPr>
          <w:bCs/>
          <w:iCs/>
          <w:color w:val="000000"/>
        </w:rPr>
        <w:tab/>
      </w:r>
      <w:r>
        <w:rPr>
          <w:rFonts w:hint="eastAsia"/>
          <w:bCs/>
          <w:color w:val="000000"/>
        </w:rPr>
        <w:t>可能影响人口保健状况的其他关键指标包括：</w:t>
      </w:r>
    </w:p>
    <w:p w:rsidR="00692915" w:rsidRDefault="00692915" w:rsidP="009A1C1B">
      <w:pPr>
        <w:numPr>
          <w:ilvl w:val="0"/>
          <w:numId w:val="6"/>
        </w:numPr>
        <w:tabs>
          <w:tab w:val="clear" w:pos="927"/>
          <w:tab w:val="left" w:pos="1690"/>
        </w:tabs>
        <w:ind w:leftChars="450" w:left="31680" w:hangingChars="200" w:firstLine="31680"/>
        <w:rPr>
          <w:bCs/>
          <w:color w:val="000000"/>
        </w:rPr>
      </w:pPr>
      <w:r>
        <w:rPr>
          <w:rFonts w:hint="eastAsia"/>
          <w:bCs/>
          <w:color w:val="000000"/>
        </w:rPr>
        <w:t>绝大多数贫困人口（</w:t>
      </w:r>
      <w:r>
        <w:rPr>
          <w:rFonts w:hint="eastAsia"/>
          <w:bCs/>
          <w:color w:val="000000"/>
        </w:rPr>
        <w:t>85%</w:t>
      </w:r>
      <w:r>
        <w:rPr>
          <w:rFonts w:hint="eastAsia"/>
          <w:bCs/>
          <w:color w:val="000000"/>
        </w:rPr>
        <w:t>）生活在农村地区；</w:t>
      </w:r>
    </w:p>
    <w:p w:rsidR="00692915" w:rsidRDefault="00692915" w:rsidP="009A1C1B">
      <w:pPr>
        <w:numPr>
          <w:ilvl w:val="0"/>
          <w:numId w:val="6"/>
        </w:numPr>
        <w:tabs>
          <w:tab w:val="clear" w:pos="927"/>
          <w:tab w:val="left" w:pos="1690"/>
        </w:tabs>
        <w:ind w:leftChars="450" w:left="31680" w:hangingChars="200" w:firstLine="31680"/>
        <w:rPr>
          <w:bCs/>
          <w:color w:val="000000"/>
        </w:rPr>
      </w:pPr>
      <w:r>
        <w:rPr>
          <w:rFonts w:hint="eastAsia"/>
          <w:bCs/>
          <w:color w:val="000000"/>
        </w:rPr>
        <w:t>约有</w:t>
      </w:r>
      <w:r>
        <w:rPr>
          <w:bCs/>
          <w:color w:val="000000"/>
        </w:rPr>
        <w:t>680</w:t>
      </w:r>
      <w:r>
        <w:rPr>
          <w:rFonts w:hint="eastAsia"/>
          <w:bCs/>
          <w:color w:val="000000"/>
        </w:rPr>
        <w:t xml:space="preserve"> </w:t>
      </w:r>
      <w:r>
        <w:rPr>
          <w:bCs/>
          <w:color w:val="000000"/>
        </w:rPr>
        <w:t>000</w:t>
      </w:r>
      <w:r>
        <w:rPr>
          <w:rFonts w:hint="eastAsia"/>
          <w:bCs/>
          <w:color w:val="000000"/>
        </w:rPr>
        <w:t>名帝汶人的生活里没有电；</w:t>
      </w:r>
    </w:p>
    <w:p w:rsidR="00692915" w:rsidRDefault="00692915" w:rsidP="009A1C1B">
      <w:pPr>
        <w:numPr>
          <w:ilvl w:val="0"/>
          <w:numId w:val="6"/>
        </w:numPr>
        <w:tabs>
          <w:tab w:val="clear" w:pos="927"/>
          <w:tab w:val="left" w:pos="1690"/>
        </w:tabs>
        <w:ind w:leftChars="450" w:left="31680" w:hangingChars="200" w:firstLine="31680"/>
        <w:rPr>
          <w:bCs/>
          <w:color w:val="000000"/>
        </w:rPr>
      </w:pPr>
      <w:r>
        <w:rPr>
          <w:rFonts w:hint="eastAsia"/>
          <w:bCs/>
          <w:color w:val="000000"/>
        </w:rPr>
        <w:t>安全饮用水的获取有限（农村地区尤其明显）；</w:t>
      </w:r>
    </w:p>
    <w:p w:rsidR="00692915" w:rsidRDefault="00692915" w:rsidP="009A1C1B">
      <w:pPr>
        <w:numPr>
          <w:ilvl w:val="0"/>
          <w:numId w:val="6"/>
        </w:numPr>
        <w:tabs>
          <w:tab w:val="clear" w:pos="927"/>
          <w:tab w:val="left" w:pos="1690"/>
        </w:tabs>
        <w:ind w:leftChars="450" w:left="31680" w:hangingChars="200" w:firstLine="31680"/>
        <w:rPr>
          <w:bCs/>
          <w:color w:val="000000"/>
        </w:rPr>
      </w:pPr>
      <w:r>
        <w:rPr>
          <w:rFonts w:hint="eastAsia"/>
          <w:bCs/>
          <w:color w:val="000000"/>
        </w:rPr>
        <w:t>在</w:t>
      </w:r>
      <w:r>
        <w:rPr>
          <w:rFonts w:hint="eastAsia"/>
          <w:bCs/>
          <w:color w:val="000000"/>
        </w:rPr>
        <w:t>15</w:t>
      </w:r>
      <w:r>
        <w:rPr>
          <w:rFonts w:hint="eastAsia"/>
          <w:bCs/>
          <w:color w:val="000000"/>
        </w:rPr>
        <w:t>岁或</w:t>
      </w:r>
      <w:r>
        <w:rPr>
          <w:rFonts w:hint="eastAsia"/>
          <w:bCs/>
          <w:color w:val="000000"/>
        </w:rPr>
        <w:t>15</w:t>
      </w:r>
      <w:r>
        <w:rPr>
          <w:rFonts w:hint="eastAsia"/>
          <w:bCs/>
          <w:color w:val="000000"/>
        </w:rPr>
        <w:t>岁以上的人口中，不能读写的占</w:t>
      </w:r>
      <w:r>
        <w:rPr>
          <w:rFonts w:hint="eastAsia"/>
          <w:bCs/>
          <w:color w:val="000000"/>
        </w:rPr>
        <w:t>40%</w:t>
      </w:r>
      <w:r>
        <w:rPr>
          <w:rFonts w:hint="eastAsia"/>
          <w:bCs/>
          <w:color w:val="000000"/>
        </w:rPr>
        <w:t>以上；</w:t>
      </w:r>
    </w:p>
    <w:p w:rsidR="00692915" w:rsidRDefault="00692915" w:rsidP="009A1C1B">
      <w:pPr>
        <w:numPr>
          <w:ilvl w:val="0"/>
          <w:numId w:val="6"/>
        </w:numPr>
        <w:tabs>
          <w:tab w:val="clear" w:pos="927"/>
          <w:tab w:val="left" w:pos="1690"/>
        </w:tabs>
        <w:ind w:leftChars="450" w:left="31680" w:hangingChars="200" w:firstLine="31680"/>
        <w:rPr>
          <w:bCs/>
          <w:color w:val="000000"/>
        </w:rPr>
      </w:pPr>
      <w:r>
        <w:rPr>
          <w:rFonts w:hint="eastAsia"/>
          <w:bCs/>
          <w:color w:val="000000"/>
        </w:rPr>
        <w:t>家里没有收音机的人大约有</w:t>
      </w:r>
      <w:r>
        <w:rPr>
          <w:bCs/>
          <w:color w:val="000000"/>
        </w:rPr>
        <w:t>560,000</w:t>
      </w:r>
      <w:r>
        <w:rPr>
          <w:rFonts w:hint="eastAsia"/>
          <w:bCs/>
          <w:color w:val="000000"/>
        </w:rPr>
        <w:t>名；</w:t>
      </w:r>
    </w:p>
    <w:p w:rsidR="00692915" w:rsidRDefault="00692915" w:rsidP="009A1C1B">
      <w:pPr>
        <w:numPr>
          <w:ilvl w:val="0"/>
          <w:numId w:val="6"/>
        </w:numPr>
        <w:tabs>
          <w:tab w:val="clear" w:pos="927"/>
          <w:tab w:val="left" w:pos="1690"/>
        </w:tabs>
        <w:spacing w:after="240"/>
        <w:ind w:leftChars="450" w:left="31680" w:hangingChars="200" w:firstLine="31680"/>
        <w:rPr>
          <w:bCs/>
          <w:color w:val="000000"/>
        </w:rPr>
      </w:pPr>
      <w:r>
        <w:rPr>
          <w:rFonts w:hint="eastAsia"/>
          <w:bCs/>
          <w:color w:val="000000"/>
        </w:rPr>
        <w:t>到保健机构的平均步行时间为</w:t>
      </w:r>
      <w:r>
        <w:rPr>
          <w:rFonts w:hint="eastAsia"/>
          <w:bCs/>
          <w:color w:val="000000"/>
        </w:rPr>
        <w:t>35</w:t>
      </w:r>
      <w:r>
        <w:rPr>
          <w:rFonts w:hint="eastAsia"/>
          <w:bCs/>
          <w:color w:val="000000"/>
        </w:rPr>
        <w:t>分钟，而有</w:t>
      </w:r>
      <w:r>
        <w:rPr>
          <w:rFonts w:hint="eastAsia"/>
          <w:bCs/>
          <w:color w:val="000000"/>
        </w:rPr>
        <w:t>25%</w:t>
      </w:r>
      <w:r>
        <w:rPr>
          <w:rFonts w:hint="eastAsia"/>
          <w:bCs/>
          <w:color w:val="000000"/>
        </w:rPr>
        <w:t>的家庭到保健机构需要两个小时。</w:t>
      </w:r>
    </w:p>
    <w:p w:rsidR="00692915" w:rsidRDefault="00692915" w:rsidP="009A1C1B">
      <w:pPr>
        <w:tabs>
          <w:tab w:val="left" w:pos="1170"/>
        </w:tabs>
        <w:ind w:firstLine="31680"/>
        <w:rPr>
          <w:rFonts w:hint="eastAsia"/>
          <w:bCs/>
          <w:color w:val="000000"/>
        </w:rPr>
      </w:pPr>
      <w:r>
        <w:rPr>
          <w:color w:val="000000"/>
        </w:rPr>
        <w:t>591.</w:t>
      </w:r>
      <w:r>
        <w:rPr>
          <w:rFonts w:hint="eastAsia"/>
          <w:bCs/>
          <w:color w:val="000000"/>
        </w:rPr>
        <w:t xml:space="preserve"> </w:t>
      </w:r>
      <w:r>
        <w:rPr>
          <w:rFonts w:hint="eastAsia"/>
          <w:bCs/>
          <w:color w:val="000000"/>
        </w:rPr>
        <w:t>尽管取得了满意的进展，但为了更全面实施基本保健服务体系，需要为各地区保健服务、产妇和儿童保健、艾滋病毒</w:t>
      </w:r>
      <w:r>
        <w:rPr>
          <w:rFonts w:hint="eastAsia"/>
          <w:bCs/>
          <w:color w:val="000000"/>
        </w:rPr>
        <w:t>/</w:t>
      </w:r>
      <w:r>
        <w:rPr>
          <w:rFonts w:hint="eastAsia"/>
          <w:bCs/>
          <w:color w:val="000000"/>
        </w:rPr>
        <w:t>艾滋病、社区保健、疟疾（二型）和肺结核提供更有力的支持。随着政府对各种需要技术能力和进行大量资源投入的项目承担起更大的责任，国家能力建设的重点主要与这些领域的需求有关。在此方面，政府还强调指出，需要大力加强卫生部和一系列双边及多边伙伴的合作。</w:t>
      </w:r>
    </w:p>
    <w:p w:rsidR="00692915" w:rsidRDefault="00692915" w:rsidP="009A1C1B">
      <w:pPr>
        <w:tabs>
          <w:tab w:val="left" w:pos="1170"/>
        </w:tabs>
        <w:ind w:firstLine="31680"/>
        <w:rPr>
          <w:rFonts w:hint="eastAsia"/>
          <w:bCs/>
          <w:color w:val="000000"/>
        </w:rPr>
      </w:pPr>
      <w:r>
        <w:rPr>
          <w:bCs/>
          <w:color w:val="000000"/>
        </w:rPr>
        <w:t>592.</w:t>
      </w:r>
      <w:r>
        <w:rPr>
          <w:rFonts w:hint="eastAsia"/>
          <w:bCs/>
          <w:color w:val="000000"/>
        </w:rPr>
        <w:t xml:space="preserve"> </w:t>
      </w:r>
      <w:r>
        <w:rPr>
          <w:rFonts w:hint="eastAsia"/>
          <w:bCs/>
          <w:color w:val="000000"/>
        </w:rPr>
        <w:t>首先，政府认识到健康的根源和决定性因素不能只靠卫生部来处理，需要采取多部门策略。其次，必须从政治上为变革提供全力支持，使人们能够通过健康干预措施和更健康的生活，自身协助解决健康不佳的根源和改变他们自身的行为，这样就可以落实参与的概念。为了将医疗的可获得性、社会团结、文化、宗教、性别平等和人权纳入考虑，在确定医疗部门投资方案时，认识到了为此建立适当体系的必要性。</w:t>
      </w:r>
    </w:p>
    <w:p w:rsidR="00692915" w:rsidRDefault="00692915" w:rsidP="009A1C1B">
      <w:pPr>
        <w:tabs>
          <w:tab w:val="left" w:pos="1170"/>
        </w:tabs>
        <w:spacing w:after="240"/>
        <w:ind w:firstLine="31680"/>
        <w:rPr>
          <w:rFonts w:hint="eastAsia"/>
          <w:bCs/>
          <w:color w:val="000000"/>
        </w:rPr>
      </w:pPr>
      <w:r>
        <w:rPr>
          <w:bCs/>
          <w:color w:val="000000"/>
        </w:rPr>
        <w:t>593.</w:t>
      </w:r>
      <w:r>
        <w:rPr>
          <w:bCs/>
          <w:color w:val="000000"/>
        </w:rPr>
        <w:tab/>
      </w:r>
      <w:r>
        <w:rPr>
          <w:rFonts w:hint="eastAsia"/>
          <w:bCs/>
          <w:color w:val="000000"/>
        </w:rPr>
        <w:t>保健问题不只是与保健领域有关。事实上，保健服务仅对国家健康状况起到了一定的作用。教育、收入、住房、食品、水与卫生是决定人口健康状况的最重要因素。卫生部意识到决定健康状况的因素有很多，因此从一开始就本着广义的健康理念来进行远景规划。</w:t>
      </w:r>
    </w:p>
    <w:p w:rsidR="00692915" w:rsidRDefault="00692915">
      <w:pPr>
        <w:pStyle w:val="Heading2"/>
        <w:tabs>
          <w:tab w:val="left" w:pos="520"/>
        </w:tabs>
        <w:jc w:val="both"/>
        <w:rPr>
          <w:rFonts w:hint="eastAsia"/>
          <w:color w:val="000000"/>
          <w:sz w:val="24"/>
        </w:rPr>
      </w:pPr>
      <w:bookmarkStart w:id="104" w:name="_Toc150514998"/>
      <w:bookmarkStart w:id="105" w:name="_Toc150684901"/>
      <w:r>
        <w:rPr>
          <w:color w:val="000000"/>
          <w:sz w:val="24"/>
        </w:rPr>
        <w:t xml:space="preserve">7.  </w:t>
      </w:r>
      <w:bookmarkEnd w:id="104"/>
      <w:bookmarkEnd w:id="105"/>
      <w:r>
        <w:rPr>
          <w:rFonts w:hint="eastAsia"/>
          <w:color w:val="000000"/>
          <w:sz w:val="24"/>
          <w:u w:val="single"/>
        </w:rPr>
        <w:t>就业</w:t>
      </w:r>
    </w:p>
    <w:p w:rsidR="00692915" w:rsidRDefault="00692915" w:rsidP="009A1C1B">
      <w:pPr>
        <w:tabs>
          <w:tab w:val="left" w:pos="1170"/>
        </w:tabs>
        <w:ind w:firstLine="31680"/>
        <w:rPr>
          <w:rFonts w:hint="eastAsia"/>
          <w:bCs/>
          <w:color w:val="000000"/>
        </w:rPr>
      </w:pPr>
      <w:r>
        <w:rPr>
          <w:color w:val="000000"/>
        </w:rPr>
        <w:t>594.</w:t>
      </w:r>
      <w:r>
        <w:rPr>
          <w:color w:val="000000"/>
        </w:rPr>
        <w:tab/>
      </w:r>
      <w:r>
        <w:rPr>
          <w:rFonts w:hint="eastAsia"/>
          <w:bCs/>
          <w:color w:val="000000"/>
        </w:rPr>
        <w:t>《宪法》为各种权利奠定了基础，包括：工作权；工人组织和参与集体谈判的权利；享有某些工作条件的权利（包括健康与安全、报酬、休息和休假），所有这些权利的享有与性别无关。根据《宪法》规定，工作既是一项权利也是一项义务，每位公民都保证享有选择职业的自由。</w:t>
      </w:r>
    </w:p>
    <w:p w:rsidR="00692915" w:rsidRDefault="00692915" w:rsidP="009A1C1B">
      <w:pPr>
        <w:tabs>
          <w:tab w:val="left" w:pos="1170"/>
        </w:tabs>
        <w:ind w:firstLine="31680"/>
        <w:rPr>
          <w:rFonts w:hint="eastAsia"/>
          <w:bCs/>
          <w:color w:val="000000"/>
        </w:rPr>
      </w:pPr>
      <w:r>
        <w:rPr>
          <w:bCs/>
          <w:color w:val="000000"/>
        </w:rPr>
        <w:t>595.</w:t>
      </w:r>
      <w:r>
        <w:rPr>
          <w:rFonts w:hint="eastAsia"/>
          <w:bCs/>
          <w:color w:val="000000"/>
        </w:rPr>
        <w:t xml:space="preserve"> </w:t>
      </w:r>
      <w:r>
        <w:rPr>
          <w:rFonts w:hint="eastAsia"/>
          <w:bCs/>
          <w:color w:val="000000"/>
        </w:rPr>
        <w:t>除了《宪法》规定外（还包括罢工和停工方面的规定），一些专门的劳动法还对就业部门规章制度的核心问题做出了规定。其中包括《宪法》第</w:t>
      </w:r>
      <w:r>
        <w:rPr>
          <w:rFonts w:hint="eastAsia"/>
          <w:bCs/>
          <w:color w:val="000000"/>
        </w:rPr>
        <w:t>51-53</w:t>
      </w:r>
      <w:r>
        <w:rPr>
          <w:rFonts w:hint="eastAsia"/>
          <w:bCs/>
          <w:color w:val="000000"/>
        </w:rPr>
        <w:t>条、</w:t>
      </w:r>
      <w:r>
        <w:rPr>
          <w:bCs/>
          <w:color w:val="000000"/>
        </w:rPr>
        <w:t>东帝汶过渡当局</w:t>
      </w:r>
      <w:r>
        <w:rPr>
          <w:rFonts w:hint="eastAsia"/>
          <w:bCs/>
          <w:color w:val="000000"/>
        </w:rPr>
        <w:t>关于制定《东帝汶劳工法典》的第</w:t>
      </w:r>
      <w:r>
        <w:rPr>
          <w:bCs/>
          <w:color w:val="000000"/>
        </w:rPr>
        <w:t>2002/5</w:t>
      </w:r>
      <w:r>
        <w:rPr>
          <w:rFonts w:hint="eastAsia"/>
          <w:bCs/>
          <w:color w:val="000000"/>
        </w:rPr>
        <w:t>号条例、《关于公务员条例》的第</w:t>
      </w:r>
      <w:r>
        <w:rPr>
          <w:bCs/>
          <w:color w:val="000000"/>
        </w:rPr>
        <w:t>8/2004</w:t>
      </w:r>
      <w:r>
        <w:rPr>
          <w:rFonts w:hint="eastAsia"/>
          <w:bCs/>
          <w:color w:val="000000"/>
        </w:rPr>
        <w:t>号法律。</w:t>
      </w:r>
      <w:r>
        <w:rPr>
          <w:rFonts w:hint="eastAsia"/>
          <w:bCs/>
          <w:color w:val="000000"/>
        </w:rPr>
        <w:t xml:space="preserve"> </w:t>
      </w:r>
    </w:p>
    <w:p w:rsidR="00692915" w:rsidRDefault="00692915" w:rsidP="009A1C1B">
      <w:pPr>
        <w:tabs>
          <w:tab w:val="left" w:pos="1170"/>
        </w:tabs>
        <w:ind w:firstLine="31680"/>
        <w:rPr>
          <w:rFonts w:hint="eastAsia"/>
          <w:bCs/>
          <w:color w:val="000000"/>
        </w:rPr>
      </w:pPr>
      <w:r>
        <w:rPr>
          <w:bCs/>
          <w:color w:val="000000"/>
        </w:rPr>
        <w:t>596.</w:t>
      </w:r>
      <w:r>
        <w:rPr>
          <w:bCs/>
          <w:color w:val="000000"/>
        </w:rPr>
        <w:tab/>
      </w:r>
      <w:r>
        <w:rPr>
          <w:rFonts w:hint="eastAsia"/>
          <w:bCs/>
          <w:color w:val="000000"/>
        </w:rPr>
        <w:t>东帝汶于</w:t>
      </w:r>
      <w:r>
        <w:rPr>
          <w:rFonts w:hint="eastAsia"/>
          <w:bCs/>
          <w:color w:val="000000"/>
        </w:rPr>
        <w:t>2003</w:t>
      </w:r>
      <w:r>
        <w:rPr>
          <w:rFonts w:hint="eastAsia"/>
          <w:bCs/>
          <w:color w:val="000000"/>
        </w:rPr>
        <w:t>年</w:t>
      </w:r>
      <w:r>
        <w:rPr>
          <w:rFonts w:hint="eastAsia"/>
          <w:bCs/>
          <w:color w:val="000000"/>
        </w:rPr>
        <w:t>8</w:t>
      </w:r>
      <w:r>
        <w:rPr>
          <w:rFonts w:hint="eastAsia"/>
          <w:bCs/>
          <w:color w:val="000000"/>
        </w:rPr>
        <w:t>月</w:t>
      </w:r>
      <w:r>
        <w:rPr>
          <w:rFonts w:hint="eastAsia"/>
          <w:bCs/>
          <w:color w:val="000000"/>
        </w:rPr>
        <w:t>19</w:t>
      </w:r>
      <w:r>
        <w:rPr>
          <w:rFonts w:hint="eastAsia"/>
          <w:bCs/>
          <w:color w:val="000000"/>
        </w:rPr>
        <w:t>日加入国际劳工组织。尽管政府还没有正式批准国际劳工组织的核心公约（包括第</w:t>
      </w:r>
      <w:r>
        <w:rPr>
          <w:rFonts w:hint="eastAsia"/>
          <w:bCs/>
          <w:color w:val="000000"/>
        </w:rPr>
        <w:t>138</w:t>
      </w:r>
      <w:r>
        <w:rPr>
          <w:rFonts w:hint="eastAsia"/>
          <w:bCs/>
          <w:color w:val="000000"/>
        </w:rPr>
        <w:t>号和第</w:t>
      </w:r>
      <w:r>
        <w:rPr>
          <w:rFonts w:hint="eastAsia"/>
          <w:bCs/>
          <w:color w:val="000000"/>
        </w:rPr>
        <w:t>182</w:t>
      </w:r>
      <w:r>
        <w:rPr>
          <w:rFonts w:hint="eastAsia"/>
          <w:bCs/>
          <w:color w:val="000000"/>
        </w:rPr>
        <w:t>号公约），但是政府承认有义务根据</w:t>
      </w:r>
      <w:r>
        <w:rPr>
          <w:rFonts w:hint="eastAsia"/>
          <w:bCs/>
          <w:color w:val="000000"/>
        </w:rPr>
        <w:t>1998</w:t>
      </w:r>
      <w:r>
        <w:rPr>
          <w:rFonts w:hint="eastAsia"/>
          <w:bCs/>
          <w:color w:val="000000"/>
        </w:rPr>
        <w:t>年国际劳工组织《关于工作中的基本原则和权利宣言》促进其目标</w:t>
      </w:r>
      <w:r>
        <w:rPr>
          <w:rFonts w:ascii="SimHei" w:eastAsia="SimHei" w:hint="eastAsia"/>
          <w:bCs/>
          <w:color w:val="000000"/>
          <w:spacing w:val="0"/>
        </w:rPr>
        <w:t>——</w:t>
      </w:r>
      <w:r>
        <w:rPr>
          <w:rFonts w:hint="eastAsia"/>
          <w:bCs/>
          <w:color w:val="000000"/>
        </w:rPr>
        <w:t>该宣言的规定反映在《劳工法典》中。</w:t>
      </w:r>
    </w:p>
    <w:p w:rsidR="00692915" w:rsidRDefault="00692915" w:rsidP="009A1C1B">
      <w:pPr>
        <w:tabs>
          <w:tab w:val="left" w:pos="1170"/>
        </w:tabs>
        <w:ind w:firstLine="31680"/>
        <w:rPr>
          <w:rFonts w:hint="eastAsia"/>
          <w:bCs/>
          <w:color w:val="000000"/>
        </w:rPr>
      </w:pPr>
      <w:r>
        <w:rPr>
          <w:bCs/>
          <w:color w:val="000000"/>
        </w:rPr>
        <w:t>597.</w:t>
      </w:r>
      <w:r>
        <w:rPr>
          <w:bCs/>
          <w:color w:val="000000"/>
        </w:rPr>
        <w:tab/>
      </w:r>
      <w:r>
        <w:rPr>
          <w:rFonts w:hint="eastAsia"/>
          <w:bCs/>
          <w:color w:val="000000"/>
        </w:rPr>
        <w:t>在撰写本报告之时，负责劳工问题的劳动与社会安置部也准备向部长理事会提交一部新的《劳工法典》。该法典旨在保护工人的权利、责任和义务；促进职场的经济机遇；协助政府制定劳动关系方面的各项政策与条例；并</w:t>
      </w:r>
      <w:r>
        <w:rPr>
          <w:rFonts w:hint="eastAsia"/>
          <w:color w:val="000000"/>
        </w:rPr>
        <w:t>明确支持工人及雇员自由结社和集体谈判原则、禁止强迫劳动、为雇用儿童制定具体和详细的条件，以及就业与职业的非歧视原则等。</w:t>
      </w:r>
      <w:r>
        <w:rPr>
          <w:rStyle w:val="FootnoteReference"/>
          <w:bCs/>
          <w:color w:val="000000"/>
        </w:rPr>
        <w:footnoteReference w:id="317"/>
      </w:r>
      <w:r>
        <w:rPr>
          <w:rFonts w:hint="eastAsia"/>
          <w:bCs/>
          <w:color w:val="000000"/>
        </w:rPr>
        <w:t>另外，还提议将管理就业领域的具体法律（包括《职业安全和健康法》和《外国工人法》）纳入该领域的立法体系中。</w:t>
      </w:r>
    </w:p>
    <w:p w:rsidR="00692915" w:rsidRDefault="00692915" w:rsidP="009A1C1B">
      <w:pPr>
        <w:tabs>
          <w:tab w:val="left" w:pos="1170"/>
        </w:tabs>
        <w:ind w:firstLine="31680"/>
        <w:rPr>
          <w:rFonts w:hint="eastAsia"/>
          <w:bCs/>
          <w:color w:val="000000"/>
        </w:rPr>
      </w:pPr>
      <w:r>
        <w:rPr>
          <w:bCs/>
          <w:color w:val="000000"/>
        </w:rPr>
        <w:t>598.</w:t>
      </w:r>
      <w:r>
        <w:rPr>
          <w:rFonts w:hint="eastAsia"/>
          <w:bCs/>
          <w:color w:val="000000"/>
        </w:rPr>
        <w:t xml:space="preserve"> </w:t>
      </w:r>
      <w:r>
        <w:rPr>
          <w:rFonts w:hint="eastAsia"/>
          <w:bCs/>
          <w:color w:val="000000"/>
        </w:rPr>
        <w:t>在</w:t>
      </w:r>
      <w:r>
        <w:rPr>
          <w:bCs/>
          <w:color w:val="000000"/>
        </w:rPr>
        <w:t>东帝汶过渡当局</w:t>
      </w:r>
      <w:r>
        <w:rPr>
          <w:rFonts w:hint="eastAsia"/>
          <w:bCs/>
          <w:color w:val="000000"/>
        </w:rPr>
        <w:t>期间，通过了《过渡期劳工法典》，目前该《法典》仍然为东帝汶的劳动管理和促进就业、劳工关系、中止雇用和最低工资提供了基本的法律框架。如上所述，该《法典》旨在遵守国际劳工组织的相关公约，包括</w:t>
      </w:r>
      <w:r>
        <w:rPr>
          <w:rFonts w:hint="eastAsia"/>
          <w:bCs/>
          <w:color w:val="000000"/>
        </w:rPr>
        <w:t>1973</w:t>
      </w:r>
      <w:r>
        <w:rPr>
          <w:rFonts w:hint="eastAsia"/>
          <w:bCs/>
          <w:color w:val="000000"/>
        </w:rPr>
        <w:t>年《最低就业年龄公约》（第</w:t>
      </w:r>
      <w:r>
        <w:rPr>
          <w:rFonts w:hint="eastAsia"/>
          <w:bCs/>
          <w:color w:val="000000"/>
        </w:rPr>
        <w:t>138</w:t>
      </w:r>
      <w:r>
        <w:rPr>
          <w:rFonts w:hint="eastAsia"/>
          <w:bCs/>
          <w:color w:val="000000"/>
        </w:rPr>
        <w:t>号公约）和</w:t>
      </w:r>
      <w:r>
        <w:rPr>
          <w:rFonts w:hint="eastAsia"/>
          <w:bCs/>
          <w:color w:val="000000"/>
        </w:rPr>
        <w:t>1999</w:t>
      </w:r>
      <w:r>
        <w:rPr>
          <w:rFonts w:hint="eastAsia"/>
          <w:bCs/>
          <w:color w:val="000000"/>
        </w:rPr>
        <w:t>年《</w:t>
      </w:r>
      <w:r>
        <w:rPr>
          <w:rFonts w:ascii="Arial" w:hAnsi="Arial" w:cs="Arial" w:hint="eastAsia"/>
          <w:color w:val="000000"/>
        </w:rPr>
        <w:t>禁止和立即行动消除最恶劣形式的童工劳动公约</w:t>
      </w:r>
      <w:r>
        <w:rPr>
          <w:rFonts w:hint="eastAsia"/>
          <w:bCs/>
          <w:color w:val="000000"/>
        </w:rPr>
        <w:t>》（第</w:t>
      </w:r>
      <w:r>
        <w:rPr>
          <w:rFonts w:hint="eastAsia"/>
          <w:bCs/>
          <w:color w:val="000000"/>
        </w:rPr>
        <w:t>182</w:t>
      </w:r>
      <w:r>
        <w:rPr>
          <w:rFonts w:hint="eastAsia"/>
          <w:bCs/>
          <w:color w:val="000000"/>
        </w:rPr>
        <w:t>号公约）。</w:t>
      </w:r>
    </w:p>
    <w:p w:rsidR="00692915" w:rsidRDefault="00692915" w:rsidP="009A1C1B">
      <w:pPr>
        <w:tabs>
          <w:tab w:val="left" w:pos="1170"/>
        </w:tabs>
        <w:ind w:firstLine="31680"/>
        <w:rPr>
          <w:rFonts w:hint="eastAsia"/>
          <w:bCs/>
          <w:color w:val="000000"/>
        </w:rPr>
      </w:pPr>
      <w:r>
        <w:rPr>
          <w:bCs/>
          <w:color w:val="000000"/>
        </w:rPr>
        <w:t>599.</w:t>
      </w:r>
      <w:r>
        <w:rPr>
          <w:bCs/>
          <w:color w:val="000000"/>
        </w:rPr>
        <w:tab/>
      </w:r>
      <w:r>
        <w:rPr>
          <w:rFonts w:hint="eastAsia"/>
          <w:bCs/>
          <w:color w:val="000000"/>
        </w:rPr>
        <w:t>《公务员条例》适用于境内外公务员和公共管理机构的工作人员，为劳动关系中的权利、义务和责任，以及公务员的津贴和报酬提供指导。</w:t>
      </w:r>
    </w:p>
    <w:p w:rsidR="00692915" w:rsidRDefault="00692915" w:rsidP="009A1C1B">
      <w:pPr>
        <w:tabs>
          <w:tab w:val="left" w:pos="1170"/>
        </w:tabs>
        <w:ind w:firstLine="31680"/>
        <w:rPr>
          <w:rFonts w:hint="eastAsia"/>
          <w:bCs/>
          <w:color w:val="000000"/>
          <w:szCs w:val="24"/>
        </w:rPr>
      </w:pPr>
      <w:r>
        <w:rPr>
          <w:bCs/>
          <w:color w:val="000000"/>
        </w:rPr>
        <w:t>600.</w:t>
      </w:r>
      <w:r>
        <w:rPr>
          <w:bCs/>
          <w:color w:val="000000"/>
        </w:rPr>
        <w:tab/>
      </w:r>
      <w:r>
        <w:rPr>
          <w:rFonts w:hint="eastAsia"/>
          <w:bCs/>
          <w:color w:val="000000"/>
          <w:szCs w:val="24"/>
        </w:rPr>
        <w:t>为了实施该条例，《劳工法典》规定建立全国劳工委员会。该委员会包括两个专门机构：劳动关系委员会和最低工资委员会。除了其他责任外，劳工委员会还负责为各种有关职业健康与安全、职业培训和技能发展的方案提供独立的建议，另外，还负责根据最低工资委员会的建议，确定国家、地区和部门就业的最低工资。</w:t>
      </w:r>
      <w:r>
        <w:rPr>
          <w:rStyle w:val="FootnoteReference"/>
          <w:bCs/>
          <w:color w:val="000000"/>
          <w:szCs w:val="24"/>
        </w:rPr>
        <w:footnoteReference w:id="318"/>
      </w:r>
      <w:r>
        <w:rPr>
          <w:rFonts w:hint="eastAsia"/>
          <w:bCs/>
          <w:color w:val="000000"/>
          <w:szCs w:val="24"/>
        </w:rPr>
        <w:t>根据《劳工法典》规定，最低工资委员会应就最低工资问题为全国劳工委员会提供建议，每两年至少一次。</w:t>
      </w:r>
    </w:p>
    <w:p w:rsidR="00692915" w:rsidRDefault="00692915" w:rsidP="009A1C1B">
      <w:pPr>
        <w:tabs>
          <w:tab w:val="left" w:pos="1170"/>
        </w:tabs>
        <w:ind w:firstLine="31680"/>
        <w:rPr>
          <w:rFonts w:hint="eastAsia"/>
          <w:bCs/>
          <w:color w:val="000000"/>
        </w:rPr>
      </w:pPr>
      <w:r>
        <w:rPr>
          <w:bCs/>
          <w:color w:val="000000"/>
          <w:szCs w:val="24"/>
        </w:rPr>
        <w:t>601.</w:t>
      </w:r>
      <w:r>
        <w:rPr>
          <w:bCs/>
          <w:color w:val="000000"/>
          <w:szCs w:val="24"/>
        </w:rPr>
        <w:tab/>
      </w:r>
      <w:r>
        <w:rPr>
          <w:rFonts w:hint="eastAsia"/>
          <w:bCs/>
          <w:color w:val="000000"/>
        </w:rPr>
        <w:t>《劳工法典》既没有确定一个固定不变的最低工资水平，也没有为最低工资的确定办法做出具体规定。最低工资委员会（在新《劳工法典》草案中，又称“最低工资裁判庭”）将负责做出最低工资的建议。在提出最低工资的建议时，最低工资委员会有义务考虑到工人及其家庭的需求、工资的一般水平、生活费、社会保障津贴、其他社会团体的相对生活标准以及经济因素（包括：经济发展的需要、生产力水平以及工资可能对就业产生的影响）。</w:t>
      </w:r>
    </w:p>
    <w:p w:rsidR="00692915" w:rsidRDefault="00692915" w:rsidP="009A1C1B">
      <w:pPr>
        <w:tabs>
          <w:tab w:val="left" w:pos="1170"/>
        </w:tabs>
        <w:ind w:firstLine="31680"/>
        <w:rPr>
          <w:rFonts w:hint="eastAsia"/>
          <w:bCs/>
          <w:color w:val="000000"/>
          <w:szCs w:val="24"/>
        </w:rPr>
      </w:pPr>
      <w:r>
        <w:rPr>
          <w:bCs/>
          <w:color w:val="000000"/>
        </w:rPr>
        <w:t>602.</w:t>
      </w:r>
      <w:r>
        <w:rPr>
          <w:bCs/>
          <w:color w:val="000000"/>
        </w:rPr>
        <w:tab/>
      </w:r>
      <w:r>
        <w:rPr>
          <w:rFonts w:hint="eastAsia"/>
          <w:bCs/>
          <w:color w:val="000000"/>
          <w:szCs w:val="24"/>
        </w:rPr>
        <w:t>现有和拟议的新《劳工法典》没有涉及职业安全与健康、职业培训和技能发展方面的问题。但是已经起草了职业健康与安全、职业培训方面的法律，该草案不久将提交给部长理事会审议。</w:t>
      </w:r>
    </w:p>
    <w:p w:rsidR="00692915" w:rsidRDefault="00692915" w:rsidP="009A1C1B">
      <w:pPr>
        <w:tabs>
          <w:tab w:val="left" w:pos="1170"/>
        </w:tabs>
        <w:ind w:firstLine="31680"/>
        <w:rPr>
          <w:rFonts w:hint="eastAsia"/>
          <w:bCs/>
          <w:color w:val="000000"/>
          <w:szCs w:val="24"/>
        </w:rPr>
      </w:pPr>
      <w:r>
        <w:rPr>
          <w:bCs/>
          <w:color w:val="000000"/>
          <w:szCs w:val="24"/>
        </w:rPr>
        <w:t>603.</w:t>
      </w:r>
      <w:r>
        <w:rPr>
          <w:rFonts w:hint="eastAsia"/>
          <w:bCs/>
          <w:color w:val="000000"/>
          <w:szCs w:val="24"/>
        </w:rPr>
        <w:t xml:space="preserve"> </w:t>
      </w:r>
      <w:r>
        <w:rPr>
          <w:rFonts w:hint="eastAsia"/>
          <w:bCs/>
          <w:color w:val="000000"/>
          <w:szCs w:val="24"/>
        </w:rPr>
        <w:t>相对于现行的</w:t>
      </w:r>
      <w:r>
        <w:rPr>
          <w:bCs/>
          <w:color w:val="000000"/>
          <w:szCs w:val="24"/>
        </w:rPr>
        <w:t>东帝汶过渡当局</w:t>
      </w:r>
      <w:r>
        <w:rPr>
          <w:rFonts w:hint="eastAsia"/>
          <w:bCs/>
          <w:color w:val="000000"/>
          <w:szCs w:val="24"/>
        </w:rPr>
        <w:t>法典而言，新的《劳工法典》草案为东帝汶的就业管理问题提供了更全面的法律框架。预计，新《法典》还能解决《宪法》与现有《劳工法典》之间不一致的问题。例如，《宪法》明确禁止停工，</w:t>
      </w:r>
      <w:r>
        <w:rPr>
          <w:rStyle w:val="FootnoteReference"/>
          <w:bCs/>
          <w:color w:val="000000"/>
          <w:szCs w:val="24"/>
        </w:rPr>
        <w:footnoteReference w:id="319"/>
      </w:r>
      <w:r>
        <w:rPr>
          <w:rFonts w:hint="eastAsia"/>
          <w:bCs/>
          <w:color w:val="000000"/>
          <w:szCs w:val="24"/>
        </w:rPr>
        <w:t>而现有《劳工法典》允许雇员采取这种措施解决劳动纠纷问题。</w:t>
      </w:r>
      <w:r>
        <w:rPr>
          <w:rStyle w:val="FootnoteReference"/>
          <w:bCs/>
          <w:color w:val="000000"/>
          <w:szCs w:val="24"/>
        </w:rPr>
        <w:footnoteReference w:id="320"/>
      </w:r>
    </w:p>
    <w:p w:rsidR="00692915" w:rsidRDefault="00692915" w:rsidP="009A1C1B">
      <w:pPr>
        <w:tabs>
          <w:tab w:val="left" w:pos="1170"/>
        </w:tabs>
        <w:ind w:firstLine="31680"/>
        <w:rPr>
          <w:rFonts w:hint="eastAsia"/>
          <w:bCs/>
          <w:color w:val="000000"/>
        </w:rPr>
      </w:pPr>
      <w:r>
        <w:rPr>
          <w:bCs/>
          <w:color w:val="000000"/>
          <w:szCs w:val="24"/>
        </w:rPr>
        <w:t>604.</w:t>
      </w:r>
      <w:r>
        <w:rPr>
          <w:rFonts w:hint="eastAsia"/>
          <w:bCs/>
          <w:color w:val="000000"/>
        </w:rPr>
        <w:t xml:space="preserve"> </w:t>
      </w:r>
      <w:r>
        <w:rPr>
          <w:rFonts w:hint="eastAsia"/>
          <w:bCs/>
          <w:color w:val="000000"/>
        </w:rPr>
        <w:t>尽管有了就业方面的全面立法制度，但要实现东帝汶为创造就业机会所确定的宏伟目标，显然还需要继续做出努力。</w:t>
      </w:r>
    </w:p>
    <w:p w:rsidR="00692915" w:rsidRDefault="00692915" w:rsidP="009A1C1B">
      <w:pPr>
        <w:tabs>
          <w:tab w:val="left" w:pos="1170"/>
        </w:tabs>
        <w:ind w:firstLine="31680"/>
        <w:rPr>
          <w:rFonts w:hint="eastAsia"/>
          <w:bCs/>
          <w:color w:val="000000"/>
        </w:rPr>
      </w:pPr>
      <w:r>
        <w:rPr>
          <w:bCs/>
          <w:color w:val="000000"/>
        </w:rPr>
        <w:t>605.</w:t>
      </w:r>
      <w:r>
        <w:rPr>
          <w:rFonts w:hint="eastAsia"/>
          <w:bCs/>
          <w:color w:val="000000"/>
        </w:rPr>
        <w:t xml:space="preserve"> </w:t>
      </w:r>
      <w:r>
        <w:rPr>
          <w:rFonts w:hint="eastAsia"/>
          <w:bCs/>
          <w:color w:val="000000"/>
        </w:rPr>
        <w:t>人口普查方面的数据显示，自独立以来失业人数增加了。根据</w:t>
      </w:r>
      <w:r>
        <w:rPr>
          <w:rFonts w:hint="eastAsia"/>
          <w:bCs/>
          <w:color w:val="000000"/>
        </w:rPr>
        <w:t>2004</w:t>
      </w:r>
      <w:r>
        <w:rPr>
          <w:rFonts w:hint="eastAsia"/>
          <w:bCs/>
          <w:color w:val="000000"/>
        </w:rPr>
        <w:t>年人口普查的统计数据，就年龄在</w:t>
      </w:r>
      <w:r>
        <w:rPr>
          <w:rFonts w:hint="eastAsia"/>
          <w:bCs/>
          <w:color w:val="000000"/>
        </w:rPr>
        <w:t>15</w:t>
      </w:r>
      <w:r>
        <w:rPr>
          <w:rFonts w:hint="eastAsia"/>
          <w:bCs/>
          <w:color w:val="000000"/>
        </w:rPr>
        <w:t>岁或</w:t>
      </w:r>
      <w:r>
        <w:rPr>
          <w:rFonts w:hint="eastAsia"/>
          <w:bCs/>
          <w:color w:val="000000"/>
        </w:rPr>
        <w:t>15</w:t>
      </w:r>
      <w:r>
        <w:rPr>
          <w:rFonts w:hint="eastAsia"/>
          <w:bCs/>
          <w:color w:val="000000"/>
        </w:rPr>
        <w:t>岁以上的人群而言，劳动市场的总体参与率为</w:t>
      </w:r>
      <w:r>
        <w:rPr>
          <w:rFonts w:hint="eastAsia"/>
          <w:bCs/>
          <w:color w:val="000000"/>
        </w:rPr>
        <w:t>60%</w:t>
      </w:r>
      <w:r>
        <w:rPr>
          <w:rFonts w:hint="eastAsia"/>
          <w:bCs/>
          <w:color w:val="000000"/>
        </w:rPr>
        <w:t>，男性的参与率高于女性（分别为</w:t>
      </w:r>
      <w:r>
        <w:rPr>
          <w:rFonts w:hint="eastAsia"/>
          <w:bCs/>
          <w:color w:val="000000"/>
        </w:rPr>
        <w:t>69%</w:t>
      </w:r>
      <w:r>
        <w:rPr>
          <w:rFonts w:hint="eastAsia"/>
          <w:bCs/>
          <w:color w:val="000000"/>
        </w:rPr>
        <w:t>和</w:t>
      </w:r>
      <w:r>
        <w:rPr>
          <w:rFonts w:hint="eastAsia"/>
          <w:bCs/>
          <w:color w:val="000000"/>
        </w:rPr>
        <w:t>52%</w:t>
      </w:r>
      <w:r>
        <w:rPr>
          <w:rFonts w:hint="eastAsia"/>
          <w:bCs/>
          <w:color w:val="000000"/>
        </w:rPr>
        <w:t>）。有四分之三以上的人口在生计农业或渔业领域就业。</w:t>
      </w:r>
    </w:p>
    <w:p w:rsidR="00692915" w:rsidRDefault="00692915" w:rsidP="009A1C1B">
      <w:pPr>
        <w:tabs>
          <w:tab w:val="left" w:pos="1170"/>
        </w:tabs>
        <w:ind w:firstLine="31680"/>
        <w:rPr>
          <w:rFonts w:hint="eastAsia"/>
          <w:bCs/>
          <w:color w:val="000000"/>
        </w:rPr>
      </w:pPr>
      <w:r>
        <w:rPr>
          <w:bCs/>
          <w:color w:val="000000"/>
        </w:rPr>
        <w:t>606.</w:t>
      </w:r>
      <w:r>
        <w:rPr>
          <w:rFonts w:hint="eastAsia"/>
          <w:bCs/>
          <w:color w:val="000000"/>
        </w:rPr>
        <w:t xml:space="preserve"> </w:t>
      </w:r>
      <w:r>
        <w:rPr>
          <w:rFonts w:hint="eastAsia"/>
          <w:bCs/>
          <w:color w:val="000000"/>
        </w:rPr>
        <w:tab/>
        <w:t>2001</w:t>
      </w:r>
      <w:r>
        <w:rPr>
          <w:rFonts w:hint="eastAsia"/>
          <w:bCs/>
          <w:color w:val="000000"/>
        </w:rPr>
        <w:t>年，全国年轻人（</w:t>
      </w:r>
      <w:r>
        <w:rPr>
          <w:rFonts w:hint="eastAsia"/>
          <w:bCs/>
          <w:color w:val="000000"/>
        </w:rPr>
        <w:t>15-24</w:t>
      </w:r>
      <w:r>
        <w:rPr>
          <w:rFonts w:hint="eastAsia"/>
          <w:bCs/>
          <w:color w:val="000000"/>
        </w:rPr>
        <w:t>岁）的失业率达到</w:t>
      </w:r>
      <w:r>
        <w:rPr>
          <w:rFonts w:hint="eastAsia"/>
          <w:bCs/>
          <w:color w:val="000000"/>
        </w:rPr>
        <w:t>15%</w:t>
      </w:r>
      <w:r>
        <w:rPr>
          <w:rFonts w:hint="eastAsia"/>
          <w:bCs/>
          <w:color w:val="000000"/>
        </w:rPr>
        <w:t>左右，其中大约有</w:t>
      </w:r>
      <w:r>
        <w:rPr>
          <w:rFonts w:hint="eastAsia"/>
          <w:bCs/>
          <w:color w:val="000000"/>
        </w:rPr>
        <w:t>43%</w:t>
      </w:r>
      <w:r>
        <w:rPr>
          <w:rFonts w:hint="eastAsia"/>
          <w:bCs/>
          <w:color w:val="000000"/>
        </w:rPr>
        <w:t>的劳动力来自帝力和包考。</w:t>
      </w:r>
      <w:r>
        <w:rPr>
          <w:rStyle w:val="FootnoteReference"/>
          <w:bCs/>
          <w:color w:val="000000"/>
        </w:rPr>
        <w:footnoteReference w:id="321"/>
      </w:r>
      <w:r>
        <w:rPr>
          <w:rFonts w:hint="eastAsia"/>
          <w:bCs/>
          <w:color w:val="000000"/>
        </w:rPr>
        <w:t>根据</w:t>
      </w:r>
      <w:r>
        <w:rPr>
          <w:rFonts w:hint="eastAsia"/>
          <w:bCs/>
          <w:color w:val="000000"/>
        </w:rPr>
        <w:t>2004</w:t>
      </w:r>
      <w:r>
        <w:rPr>
          <w:rFonts w:hint="eastAsia"/>
          <w:bCs/>
          <w:color w:val="000000"/>
        </w:rPr>
        <w:t>年的人口普查数据，这些数据进一步恶化了，而目前全球的失业率为</w:t>
      </w:r>
      <w:r>
        <w:rPr>
          <w:rFonts w:hint="eastAsia"/>
          <w:bCs/>
          <w:color w:val="000000"/>
        </w:rPr>
        <w:t>8.9%</w:t>
      </w:r>
      <w:r>
        <w:rPr>
          <w:rFonts w:hint="eastAsia"/>
          <w:bCs/>
          <w:color w:val="000000"/>
        </w:rPr>
        <w:t>，青年的失业率为</w:t>
      </w:r>
      <w:r>
        <w:rPr>
          <w:rFonts w:hint="eastAsia"/>
          <w:bCs/>
          <w:color w:val="000000"/>
        </w:rPr>
        <w:t>23%</w:t>
      </w:r>
      <w:r>
        <w:rPr>
          <w:rFonts w:hint="eastAsia"/>
          <w:bCs/>
          <w:color w:val="000000"/>
        </w:rPr>
        <w:t>。劳动市场带薪工作的人员不到</w:t>
      </w:r>
      <w:r>
        <w:rPr>
          <w:rFonts w:hint="eastAsia"/>
          <w:bCs/>
          <w:color w:val="000000"/>
        </w:rPr>
        <w:t>25%</w:t>
      </w:r>
      <w:r>
        <w:rPr>
          <w:rFonts w:ascii="SimHei" w:eastAsia="SimHei" w:hint="eastAsia"/>
          <w:bCs/>
          <w:color w:val="000000"/>
          <w:spacing w:val="0"/>
        </w:rPr>
        <w:t>——</w:t>
      </w:r>
      <w:r>
        <w:rPr>
          <w:rFonts w:hint="eastAsia"/>
          <w:bCs/>
          <w:color w:val="000000"/>
        </w:rPr>
        <w:t>根据定义，这种带薪工作是指：受雇于自营企业、私人行业、政府、非政府组织或联合国的工作。就带薪工作而言，自营企业提供了最多的带薪工作。当然，政府和联合国在这方面也很突出。</w:t>
      </w:r>
    </w:p>
    <w:p w:rsidR="00692915" w:rsidRDefault="00692915" w:rsidP="009A1C1B">
      <w:pPr>
        <w:tabs>
          <w:tab w:val="left" w:pos="1170"/>
        </w:tabs>
        <w:ind w:firstLine="31680"/>
        <w:rPr>
          <w:rFonts w:hint="eastAsia"/>
          <w:bCs/>
          <w:color w:val="000000"/>
        </w:rPr>
      </w:pPr>
      <w:r>
        <w:rPr>
          <w:bCs/>
          <w:color w:val="000000"/>
        </w:rPr>
        <w:t>607.</w:t>
      </w:r>
      <w:r>
        <w:rPr>
          <w:rFonts w:hint="eastAsia"/>
          <w:bCs/>
          <w:color w:val="000000"/>
        </w:rPr>
        <w:t xml:space="preserve"> </w:t>
      </w:r>
      <w:r>
        <w:rPr>
          <w:rFonts w:hint="eastAsia"/>
          <w:bCs/>
          <w:color w:val="000000"/>
          <w:spacing w:val="8"/>
        </w:rPr>
        <w:t>如果劳动力参与率保持在</w:t>
      </w:r>
      <w:r>
        <w:rPr>
          <w:rFonts w:hint="eastAsia"/>
          <w:bCs/>
          <w:color w:val="000000"/>
          <w:spacing w:val="8"/>
        </w:rPr>
        <w:t>59%</w:t>
      </w:r>
      <w:r>
        <w:rPr>
          <w:rFonts w:hint="eastAsia"/>
          <w:bCs/>
          <w:color w:val="000000"/>
          <w:spacing w:val="8"/>
        </w:rPr>
        <w:t>的现有估计水平（比国际水平低），劳动力将按照每年</w:t>
      </w:r>
      <w:r>
        <w:rPr>
          <w:rFonts w:hint="eastAsia"/>
          <w:bCs/>
          <w:color w:val="000000"/>
          <w:spacing w:val="8"/>
        </w:rPr>
        <w:t>3%</w:t>
      </w:r>
      <w:r>
        <w:rPr>
          <w:rFonts w:hint="eastAsia"/>
          <w:bCs/>
          <w:color w:val="000000"/>
          <w:spacing w:val="8"/>
        </w:rPr>
        <w:t>左右的速度增长，这样每年将有</w:t>
      </w:r>
      <w:r>
        <w:rPr>
          <w:bCs/>
          <w:color w:val="000000"/>
          <w:spacing w:val="8"/>
        </w:rPr>
        <w:t>10</w:t>
      </w:r>
      <w:r>
        <w:rPr>
          <w:rFonts w:hint="eastAsia"/>
          <w:bCs/>
          <w:color w:val="000000"/>
          <w:spacing w:val="8"/>
        </w:rPr>
        <w:t xml:space="preserve"> </w:t>
      </w:r>
      <w:r>
        <w:rPr>
          <w:bCs/>
          <w:color w:val="000000"/>
          <w:spacing w:val="8"/>
        </w:rPr>
        <w:t>000</w:t>
      </w:r>
      <w:r>
        <w:rPr>
          <w:rFonts w:hint="eastAsia"/>
          <w:bCs/>
          <w:color w:val="000000"/>
          <w:spacing w:val="8"/>
        </w:rPr>
        <w:t>名新劳动力进入就业市场。如果参与率上升到低收入发展中国家的常见水平，劳动力将按每年</w:t>
      </w:r>
      <w:r>
        <w:rPr>
          <w:rFonts w:hint="eastAsia"/>
          <w:bCs/>
          <w:color w:val="000000"/>
          <w:spacing w:val="8"/>
        </w:rPr>
        <w:t>5%</w:t>
      </w:r>
      <w:r>
        <w:rPr>
          <w:rFonts w:hint="eastAsia"/>
          <w:bCs/>
          <w:color w:val="000000"/>
          <w:spacing w:val="8"/>
        </w:rPr>
        <w:t>的速度增长。在这种情况下，也许未来更有可能的前景就是：在未来</w:t>
      </w:r>
      <w:r>
        <w:rPr>
          <w:rFonts w:hint="eastAsia"/>
          <w:bCs/>
          <w:color w:val="000000"/>
          <w:spacing w:val="8"/>
        </w:rPr>
        <w:t>10</w:t>
      </w:r>
      <w:r>
        <w:rPr>
          <w:rFonts w:hint="eastAsia"/>
          <w:bCs/>
          <w:color w:val="000000"/>
          <w:spacing w:val="8"/>
        </w:rPr>
        <w:t>年中每年将有</w:t>
      </w:r>
      <w:r>
        <w:rPr>
          <w:bCs/>
          <w:color w:val="000000"/>
          <w:spacing w:val="8"/>
        </w:rPr>
        <w:t>17</w:t>
      </w:r>
      <w:r>
        <w:rPr>
          <w:rFonts w:hint="eastAsia"/>
          <w:bCs/>
          <w:color w:val="000000"/>
          <w:spacing w:val="8"/>
        </w:rPr>
        <w:t xml:space="preserve"> </w:t>
      </w:r>
      <w:r>
        <w:rPr>
          <w:bCs/>
          <w:color w:val="000000"/>
          <w:spacing w:val="8"/>
        </w:rPr>
        <w:t>000</w:t>
      </w:r>
      <w:r>
        <w:rPr>
          <w:rFonts w:hint="eastAsia"/>
          <w:bCs/>
          <w:color w:val="000000"/>
          <w:spacing w:val="8"/>
        </w:rPr>
        <w:t>-</w:t>
      </w:r>
      <w:r>
        <w:rPr>
          <w:bCs/>
          <w:color w:val="000000"/>
          <w:spacing w:val="8"/>
        </w:rPr>
        <w:t>20</w:t>
      </w:r>
      <w:r>
        <w:rPr>
          <w:rFonts w:hint="eastAsia"/>
          <w:bCs/>
          <w:color w:val="000000"/>
          <w:spacing w:val="8"/>
        </w:rPr>
        <w:t xml:space="preserve"> </w:t>
      </w:r>
      <w:r>
        <w:rPr>
          <w:bCs/>
          <w:color w:val="000000"/>
          <w:spacing w:val="8"/>
        </w:rPr>
        <w:t>000</w:t>
      </w:r>
      <w:r>
        <w:rPr>
          <w:rFonts w:hint="eastAsia"/>
          <w:bCs/>
          <w:color w:val="000000"/>
        </w:rPr>
        <w:t>新劳动力进入就业市场。</w:t>
      </w:r>
    </w:p>
    <w:p w:rsidR="00692915" w:rsidRDefault="00692915" w:rsidP="009A1C1B">
      <w:pPr>
        <w:tabs>
          <w:tab w:val="left" w:pos="1170"/>
        </w:tabs>
        <w:ind w:firstLine="31680"/>
        <w:rPr>
          <w:rFonts w:hint="eastAsia"/>
          <w:bCs/>
          <w:color w:val="000000"/>
        </w:rPr>
      </w:pPr>
      <w:r>
        <w:rPr>
          <w:bCs/>
          <w:color w:val="000000"/>
        </w:rPr>
        <w:t>608.</w:t>
      </w:r>
      <w:r>
        <w:rPr>
          <w:rFonts w:hint="eastAsia"/>
          <w:bCs/>
          <w:color w:val="000000"/>
        </w:rPr>
        <w:t xml:space="preserve"> </w:t>
      </w:r>
      <w:r>
        <w:rPr>
          <w:rFonts w:hint="eastAsia"/>
          <w:bCs/>
          <w:color w:val="000000"/>
        </w:rPr>
        <w:t>由于非农业商业领域的规模比较小，因此需要为进入就业市场的新劳动力创造足够的生产性就业机会，这是一项重大的挑战。所面临的问题就是要促进非粮食私人部门的快速增长</w:t>
      </w:r>
      <w:r>
        <w:rPr>
          <w:rFonts w:ascii="SimHei" w:eastAsia="SimHei" w:hint="eastAsia"/>
          <w:bCs/>
          <w:color w:val="000000"/>
          <w:spacing w:val="0"/>
        </w:rPr>
        <w:t>——</w:t>
      </w:r>
      <w:r>
        <w:rPr>
          <w:rFonts w:hint="eastAsia"/>
          <w:bCs/>
          <w:color w:val="000000"/>
        </w:rPr>
        <w:t>目前，该领域的平均生产力水平要比其他领域高很多，共雇用了大约</w:t>
      </w:r>
      <w:r>
        <w:rPr>
          <w:bCs/>
          <w:color w:val="000000"/>
        </w:rPr>
        <w:t>50,000</w:t>
      </w:r>
      <w:r>
        <w:rPr>
          <w:rFonts w:hint="eastAsia"/>
          <w:bCs/>
          <w:color w:val="000000"/>
        </w:rPr>
        <w:t>名工人。非粮食私人部门的快速增长将有助于人们逐渐从低生产力水平的农村就业领域走出来。随着劳动生产率水平的提高，收入贫困的发生率将可以随之下降。</w:t>
      </w:r>
    </w:p>
    <w:p w:rsidR="00692915" w:rsidRDefault="00692915" w:rsidP="009A1C1B">
      <w:pPr>
        <w:tabs>
          <w:tab w:val="left" w:pos="1170"/>
        </w:tabs>
        <w:spacing w:afterLines="50" w:after="180"/>
        <w:ind w:firstLine="31680"/>
        <w:rPr>
          <w:rFonts w:hint="eastAsia"/>
          <w:bCs/>
          <w:color w:val="000000"/>
        </w:rPr>
      </w:pPr>
      <w:r>
        <w:rPr>
          <w:bCs/>
          <w:color w:val="000000"/>
        </w:rPr>
        <w:t>609.</w:t>
      </w:r>
      <w:r>
        <w:rPr>
          <w:rFonts w:hint="eastAsia"/>
          <w:bCs/>
          <w:color w:val="000000"/>
        </w:rPr>
        <w:t xml:space="preserve"> </w:t>
      </w:r>
      <w:r>
        <w:rPr>
          <w:rFonts w:hint="eastAsia"/>
          <w:bCs/>
          <w:color w:val="000000"/>
        </w:rPr>
        <w:t>就中期而言，由于每年进入农村劳动力队伍的新人预计为</w:t>
      </w:r>
      <w:r>
        <w:rPr>
          <w:bCs/>
          <w:color w:val="000000"/>
        </w:rPr>
        <w:t>5,000</w:t>
      </w:r>
      <w:r>
        <w:rPr>
          <w:rFonts w:hint="eastAsia"/>
          <w:bCs/>
          <w:color w:val="000000"/>
        </w:rPr>
        <w:t>-</w:t>
      </w:r>
      <w:r>
        <w:rPr>
          <w:bCs/>
          <w:color w:val="000000"/>
        </w:rPr>
        <w:t>9,000</w:t>
      </w:r>
      <w:r>
        <w:rPr>
          <w:rFonts w:hint="eastAsia"/>
          <w:bCs/>
          <w:color w:val="000000"/>
        </w:rPr>
        <w:t>名，因此关键问题在于农业部门到底能够创造多少生产性就业机会。这样，就出现了三个关键的政策问题：是否可以通过私人投资提高农业增长率，从而为国内市场和出口市场提供更多可供销售的剩余产品？是否有更多的人转向城市地区寻求就业？非农业部门的增长速度是否足以吸收生产性就业市场中的更多人员？</w:t>
      </w:r>
      <w:r>
        <w:rPr>
          <w:rStyle w:val="FootnoteReference"/>
          <w:bCs/>
          <w:color w:val="000000"/>
        </w:rPr>
        <w:footnoteReference w:id="322"/>
      </w:r>
    </w:p>
    <w:p w:rsidR="00692915" w:rsidRDefault="00692915">
      <w:pPr>
        <w:pStyle w:val="Heading2"/>
        <w:tabs>
          <w:tab w:val="left" w:pos="520"/>
        </w:tabs>
        <w:jc w:val="both"/>
        <w:rPr>
          <w:rFonts w:hint="eastAsia"/>
          <w:color w:val="000000"/>
          <w:sz w:val="24"/>
        </w:rPr>
      </w:pPr>
      <w:bookmarkStart w:id="106" w:name="_Toc150684902"/>
      <w:r>
        <w:rPr>
          <w:color w:val="000000"/>
          <w:sz w:val="24"/>
        </w:rPr>
        <w:t xml:space="preserve">8.  </w:t>
      </w:r>
      <w:bookmarkEnd w:id="106"/>
      <w:r>
        <w:rPr>
          <w:rFonts w:hint="eastAsia"/>
          <w:color w:val="000000"/>
          <w:sz w:val="24"/>
          <w:u w:val="single"/>
        </w:rPr>
        <w:t>就业机会平等</w:t>
      </w:r>
    </w:p>
    <w:p w:rsidR="00692915" w:rsidRDefault="00692915" w:rsidP="009A1C1B">
      <w:pPr>
        <w:tabs>
          <w:tab w:val="left" w:pos="1170"/>
        </w:tabs>
        <w:ind w:firstLine="31680"/>
        <w:rPr>
          <w:rFonts w:hint="eastAsia"/>
          <w:bCs/>
          <w:color w:val="000000"/>
        </w:rPr>
      </w:pPr>
      <w:r>
        <w:rPr>
          <w:color w:val="000000"/>
        </w:rPr>
        <w:t>610.</w:t>
      </w:r>
      <w:r>
        <w:rPr>
          <w:color w:val="000000"/>
        </w:rPr>
        <w:tab/>
      </w:r>
      <w:r>
        <w:rPr>
          <w:rFonts w:hint="eastAsia"/>
          <w:bCs/>
          <w:color w:val="000000"/>
        </w:rPr>
        <w:t>除非特定工作的性质有具体要求，严厉禁止基于任何原因在就业方面进行歧视。</w:t>
      </w:r>
      <w:r>
        <w:rPr>
          <w:rStyle w:val="FootnoteReference"/>
          <w:bCs/>
          <w:color w:val="000000"/>
        </w:rPr>
        <w:footnoteReference w:id="323"/>
      </w:r>
      <w:r>
        <w:rPr>
          <w:rFonts w:hint="eastAsia"/>
          <w:bCs/>
          <w:color w:val="000000"/>
        </w:rPr>
        <w:t>根据《劳工法典》第</w:t>
      </w:r>
      <w:r>
        <w:rPr>
          <w:bCs/>
          <w:color w:val="000000"/>
        </w:rPr>
        <w:t>11</w:t>
      </w:r>
      <w:r>
        <w:rPr>
          <w:rFonts w:hint="eastAsia"/>
          <w:bCs/>
          <w:color w:val="000000"/>
        </w:rPr>
        <w:t>.</w:t>
      </w:r>
      <w:r>
        <w:rPr>
          <w:bCs/>
          <w:color w:val="000000"/>
        </w:rPr>
        <w:t>18</w:t>
      </w:r>
      <w:r>
        <w:rPr>
          <w:rFonts w:hint="eastAsia"/>
          <w:bCs/>
          <w:color w:val="000000"/>
        </w:rPr>
        <w:t>条的要求，用人单位必须采取措施消除各种可能妨碍人们在培训、就业和就业条件方面获得平等机会和待遇的歧视性做法或观念。</w:t>
      </w:r>
    </w:p>
    <w:p w:rsidR="00692915" w:rsidRDefault="00692915" w:rsidP="009A1C1B">
      <w:pPr>
        <w:tabs>
          <w:tab w:val="left" w:pos="1170"/>
        </w:tabs>
        <w:ind w:firstLine="31680"/>
        <w:rPr>
          <w:rFonts w:hint="eastAsia"/>
          <w:bCs/>
          <w:color w:val="000000"/>
        </w:rPr>
      </w:pPr>
      <w:r>
        <w:rPr>
          <w:rFonts w:eastAsia="PMingLiU"/>
          <w:bCs/>
          <w:color w:val="000000"/>
        </w:rPr>
        <w:t>611.</w:t>
      </w:r>
      <w:r>
        <w:rPr>
          <w:rFonts w:hint="eastAsia"/>
          <w:bCs/>
          <w:color w:val="000000"/>
        </w:rPr>
        <w:t xml:space="preserve"> </w:t>
      </w:r>
      <w:r>
        <w:rPr>
          <w:rFonts w:hint="eastAsia"/>
          <w:bCs/>
          <w:color w:val="000000"/>
        </w:rPr>
        <w:t>建立</w:t>
      </w:r>
      <w:r>
        <w:rPr>
          <w:bCs/>
          <w:color w:val="000000"/>
        </w:rPr>
        <w:t>促进平等事务总理顾问办公室</w:t>
      </w:r>
      <w:r>
        <w:rPr>
          <w:rFonts w:hint="eastAsia"/>
          <w:bCs/>
          <w:color w:val="000000"/>
        </w:rPr>
        <w:t>的初衷是为了将性别平等意识有效纳入东帝汶生活的所有方面。该办公室负责向总理和其他政府部委提供建议，以确保就业方面的机会平等。</w:t>
      </w:r>
    </w:p>
    <w:p w:rsidR="00692915" w:rsidRDefault="00692915" w:rsidP="009A1C1B">
      <w:pPr>
        <w:tabs>
          <w:tab w:val="left" w:pos="1170"/>
        </w:tabs>
        <w:ind w:firstLine="31680"/>
        <w:rPr>
          <w:rFonts w:hint="eastAsia"/>
          <w:bCs/>
          <w:color w:val="000000"/>
        </w:rPr>
      </w:pPr>
      <w:r>
        <w:rPr>
          <w:bCs/>
          <w:color w:val="000000"/>
        </w:rPr>
        <w:t xml:space="preserve">612. </w:t>
      </w:r>
      <w:r>
        <w:rPr>
          <w:rFonts w:hint="eastAsia"/>
          <w:bCs/>
          <w:color w:val="000000"/>
        </w:rPr>
        <w:t>尽管没有正式的政府政策，但在政府部门和私人部门中，一般鼓励妇女与男性一道竞聘工作职位。女候选人通常得到特殊照顾，在诸如工程之类的领域内，尤其如此，因为在这些领域需要有较高资历和较长期工作经验才能解决过去引起的不平等问题。</w:t>
      </w:r>
      <w:r>
        <w:rPr>
          <w:rStyle w:val="FootnoteReference"/>
          <w:bCs/>
          <w:color w:val="000000"/>
        </w:rPr>
        <w:footnoteReference w:id="324"/>
      </w:r>
    </w:p>
    <w:p w:rsidR="00692915" w:rsidRDefault="00692915" w:rsidP="009A1C1B">
      <w:pPr>
        <w:tabs>
          <w:tab w:val="left" w:pos="1170"/>
        </w:tabs>
        <w:ind w:firstLine="31680"/>
        <w:rPr>
          <w:rFonts w:hint="eastAsia"/>
          <w:bCs/>
          <w:color w:val="000000"/>
          <w:lang w:bidi="th-TH"/>
        </w:rPr>
      </w:pPr>
      <w:r>
        <w:rPr>
          <w:bCs/>
          <w:color w:val="000000"/>
        </w:rPr>
        <w:t>613.</w:t>
      </w:r>
      <w:r>
        <w:rPr>
          <w:bCs/>
          <w:color w:val="000000"/>
        </w:rPr>
        <w:tab/>
      </w:r>
      <w:r>
        <w:rPr>
          <w:rFonts w:hint="eastAsia"/>
          <w:bCs/>
          <w:color w:val="000000"/>
          <w:lang w:bidi="th-TH"/>
        </w:rPr>
        <w:t>东帝汶禁止以怀孕为由解雇员工，</w:t>
      </w:r>
      <w:r>
        <w:rPr>
          <w:rStyle w:val="FootnoteReference"/>
          <w:bCs/>
          <w:color w:val="000000"/>
        </w:rPr>
        <w:footnoteReference w:id="325"/>
      </w:r>
      <w:r>
        <w:rPr>
          <w:rFonts w:hint="eastAsia"/>
          <w:bCs/>
          <w:color w:val="000000"/>
          <w:lang w:bidi="th-TH"/>
        </w:rPr>
        <w:t>但曾报告过一些此类事件。</w:t>
      </w:r>
      <w:r>
        <w:rPr>
          <w:rStyle w:val="FootnoteReference"/>
          <w:bCs/>
          <w:color w:val="000000"/>
        </w:rPr>
        <w:footnoteReference w:id="326"/>
      </w:r>
      <w:r>
        <w:rPr>
          <w:rFonts w:hint="eastAsia"/>
          <w:bCs/>
          <w:color w:val="000000"/>
          <w:lang w:bidi="th-TH"/>
        </w:rPr>
        <w:t>《宪法》第</w:t>
      </w:r>
      <w:r>
        <w:rPr>
          <w:bCs/>
          <w:color w:val="000000"/>
        </w:rPr>
        <w:t>39</w:t>
      </w:r>
      <w:r>
        <w:rPr>
          <w:rFonts w:hint="eastAsia"/>
          <w:bCs/>
          <w:color w:val="000000"/>
        </w:rPr>
        <w:t>.4</w:t>
      </w:r>
      <w:r>
        <w:rPr>
          <w:rFonts w:hint="eastAsia"/>
          <w:bCs/>
          <w:color w:val="000000"/>
        </w:rPr>
        <w:t>条</w:t>
      </w:r>
      <w:r>
        <w:rPr>
          <w:rFonts w:hint="eastAsia"/>
          <w:bCs/>
          <w:color w:val="000000"/>
          <w:lang w:bidi="th-TH"/>
        </w:rPr>
        <w:t>规定：母亲的身份是高贵的，应得到保护；所有妇女在怀孕期间和分娩后都应受到特殊保护；在分娩前后，工作的妇女有权依法享有适当时间的休假，其报酬或任何其他福利不应受到影响。</w:t>
      </w:r>
    </w:p>
    <w:p w:rsidR="00692915" w:rsidRDefault="00692915" w:rsidP="009A1C1B">
      <w:pPr>
        <w:tabs>
          <w:tab w:val="left" w:pos="1170"/>
        </w:tabs>
        <w:ind w:firstLine="31680"/>
        <w:rPr>
          <w:rFonts w:ascii="SimSun" w:hAnsi="SimSun" w:hint="eastAsia"/>
          <w:bCs/>
          <w:color w:val="000000"/>
          <w:lang w:bidi="th-TH"/>
        </w:rPr>
      </w:pPr>
      <w:r>
        <w:rPr>
          <w:rFonts w:eastAsia="MS Mincho"/>
          <w:bCs/>
          <w:color w:val="000000"/>
          <w:lang w:bidi="th-TH"/>
        </w:rPr>
        <w:t>614.</w:t>
      </w:r>
      <w:r>
        <w:rPr>
          <w:rFonts w:eastAsia="MS Mincho"/>
          <w:bCs/>
          <w:color w:val="000000"/>
          <w:lang w:bidi="th-TH"/>
        </w:rPr>
        <w:tab/>
      </w:r>
      <w:r>
        <w:rPr>
          <w:rFonts w:hint="eastAsia"/>
          <w:bCs/>
          <w:color w:val="000000"/>
          <w:lang w:bidi="th-TH"/>
        </w:rPr>
        <w:t>《劳工法典》第</w:t>
      </w:r>
      <w:r>
        <w:rPr>
          <w:rFonts w:eastAsia="MS Mincho"/>
          <w:bCs/>
          <w:color w:val="000000"/>
          <w:lang w:bidi="th-TH"/>
        </w:rPr>
        <w:t>11</w:t>
      </w:r>
      <w:r>
        <w:rPr>
          <w:rFonts w:hint="eastAsia"/>
          <w:bCs/>
          <w:color w:val="000000"/>
          <w:lang w:bidi="th-TH"/>
        </w:rPr>
        <w:t>.</w:t>
      </w:r>
      <w:r>
        <w:rPr>
          <w:rFonts w:eastAsia="MS Mincho"/>
          <w:bCs/>
          <w:color w:val="000000"/>
          <w:lang w:bidi="th-TH"/>
        </w:rPr>
        <w:t>10</w:t>
      </w:r>
      <w:r>
        <w:rPr>
          <w:rFonts w:hint="eastAsia"/>
          <w:bCs/>
          <w:color w:val="000000"/>
          <w:lang w:bidi="th-TH"/>
        </w:rPr>
        <w:t>条进一步规定，妇女可享受</w:t>
      </w:r>
      <w:r>
        <w:rPr>
          <w:rFonts w:hint="eastAsia"/>
          <w:bCs/>
          <w:color w:val="000000"/>
          <w:lang w:bidi="th-TH"/>
        </w:rPr>
        <w:t>12</w:t>
      </w:r>
      <w:r>
        <w:rPr>
          <w:rFonts w:hint="eastAsia"/>
          <w:bCs/>
          <w:color w:val="000000"/>
          <w:lang w:bidi="th-TH"/>
        </w:rPr>
        <w:t>周的产假，在休假期间可获得三分之二的报酬，保留其职位的级别，并在产假后恢复这种职位，或重新按照同样的报酬恢复到一个同等职位。第</w:t>
      </w:r>
      <w:r>
        <w:rPr>
          <w:rFonts w:hint="eastAsia"/>
          <w:bCs/>
          <w:color w:val="000000"/>
          <w:lang w:bidi="th-TH"/>
        </w:rPr>
        <w:t>11.11</w:t>
      </w:r>
      <w:r>
        <w:rPr>
          <w:rFonts w:hint="eastAsia"/>
          <w:bCs/>
          <w:color w:val="000000"/>
          <w:lang w:bidi="th-TH"/>
        </w:rPr>
        <w:t>至第</w:t>
      </w:r>
      <w:r>
        <w:rPr>
          <w:rFonts w:hint="eastAsia"/>
          <w:bCs/>
          <w:color w:val="000000"/>
          <w:lang w:bidi="th-TH"/>
        </w:rPr>
        <w:t>11.16</w:t>
      </w:r>
      <w:r>
        <w:rPr>
          <w:rFonts w:hint="eastAsia"/>
          <w:bCs/>
          <w:color w:val="000000"/>
          <w:lang w:bidi="th-TH"/>
        </w:rPr>
        <w:t>条连续做出规定，为怀孕和哺乳期的女职工提供福利保障和支持。有关妇女就业的详细情况，尤其是本规章制度在实践中的影响情况，请参考有关</w:t>
      </w:r>
      <w:r>
        <w:rPr>
          <w:rFonts w:ascii="SimSun" w:hAnsi="SimSun"/>
          <w:bCs/>
          <w:color w:val="000000"/>
          <w:lang w:eastAsia="ja-JP" w:bidi="th-TH"/>
        </w:rPr>
        <w:t>《消除对妇女一切形式歧视公约》</w:t>
      </w:r>
      <w:r>
        <w:rPr>
          <w:rFonts w:ascii="SimSun" w:hAnsi="SimSun" w:hint="eastAsia"/>
          <w:bCs/>
          <w:color w:val="000000"/>
          <w:lang w:bidi="th-TH"/>
        </w:rPr>
        <w:t>的专门文件。</w:t>
      </w:r>
    </w:p>
    <w:p w:rsidR="00692915" w:rsidRDefault="00692915" w:rsidP="009A1C1B">
      <w:pPr>
        <w:tabs>
          <w:tab w:val="left" w:pos="1170"/>
        </w:tabs>
        <w:spacing w:after="240"/>
        <w:ind w:firstLine="31680"/>
        <w:rPr>
          <w:rFonts w:hint="eastAsia"/>
          <w:bCs/>
          <w:color w:val="000000"/>
        </w:rPr>
      </w:pPr>
      <w:r>
        <w:rPr>
          <w:rFonts w:eastAsia="MS Mincho"/>
          <w:bCs/>
          <w:color w:val="000000"/>
          <w:lang w:bidi="th-TH"/>
        </w:rPr>
        <w:t>615.</w:t>
      </w:r>
      <w:r>
        <w:rPr>
          <w:rFonts w:eastAsia="MS Mincho"/>
          <w:bCs/>
          <w:color w:val="000000"/>
          <w:lang w:bidi="th-TH"/>
        </w:rPr>
        <w:tab/>
      </w:r>
      <w:r>
        <w:rPr>
          <w:rFonts w:hint="eastAsia"/>
          <w:bCs/>
          <w:color w:val="000000"/>
        </w:rPr>
        <w:t>在开发计划署和劳工组织的大力支持下，劳动与社会安置部已经启动了一个名为“高收益职业技能培训（</w:t>
      </w:r>
      <w:r>
        <w:rPr>
          <w:bCs/>
          <w:color w:val="000000"/>
        </w:rPr>
        <w:t>STAGE</w:t>
      </w:r>
      <w:r>
        <w:rPr>
          <w:rFonts w:hint="eastAsia"/>
          <w:bCs/>
          <w:color w:val="000000"/>
        </w:rPr>
        <w:t>）”的方案，该方案旨在加强国家能力建设，建立一个以需求为导向的职业技能培训体系，以减轻失业和就业不充分的问题，从而帮助减轻东帝汶的贫困问题，促进经济增长。在发展正规劳动力市场的同时，高收益职业技能培训还将努力促进建立一个分权式的灵活培训体系，以此作为一项过渡性措施。该方案旨在消除就业中的不平等问题，尽管没有专门针对妇女，但是却包括了一些旨在为妇女创造更多机会的具体措施，以便让妇女能够在劳动力市场上竞争，同时也是为了对性别参与情况进行明确跟踪</w:t>
      </w:r>
      <w:r>
        <w:rPr>
          <w:rFonts w:ascii="SimHei" w:eastAsia="SimHei" w:hint="eastAsia"/>
          <w:bCs/>
          <w:color w:val="000000"/>
          <w:spacing w:val="0"/>
        </w:rPr>
        <w:t>——</w:t>
      </w:r>
      <w:r>
        <w:rPr>
          <w:rFonts w:hint="eastAsia"/>
          <w:bCs/>
          <w:color w:val="000000"/>
        </w:rPr>
        <w:t>为此，未来将对职业与技能发展部门以及地区就业中心的数据按性别进行分类，并为寻找工作的妇女提供培训。</w:t>
      </w:r>
    </w:p>
    <w:p w:rsidR="00692915" w:rsidRDefault="00692915">
      <w:pPr>
        <w:pStyle w:val="Heading2"/>
        <w:tabs>
          <w:tab w:val="left" w:pos="1170"/>
        </w:tabs>
        <w:jc w:val="both"/>
        <w:rPr>
          <w:rFonts w:hint="eastAsia"/>
          <w:color w:val="000000"/>
          <w:sz w:val="24"/>
        </w:rPr>
      </w:pPr>
      <w:r>
        <w:rPr>
          <w:color w:val="000000"/>
          <w:sz w:val="24"/>
        </w:rPr>
        <w:t xml:space="preserve">9.  </w:t>
      </w:r>
      <w:r>
        <w:rPr>
          <w:rFonts w:hint="eastAsia"/>
          <w:color w:val="000000"/>
          <w:sz w:val="24"/>
          <w:u w:val="single"/>
        </w:rPr>
        <w:t>就业领域的挑战</w:t>
      </w:r>
    </w:p>
    <w:p w:rsidR="00692915" w:rsidRDefault="00692915" w:rsidP="009A1C1B">
      <w:pPr>
        <w:tabs>
          <w:tab w:val="left" w:pos="1170"/>
        </w:tabs>
        <w:ind w:firstLine="31680"/>
        <w:rPr>
          <w:rFonts w:hint="eastAsia"/>
          <w:bCs/>
          <w:color w:val="000000"/>
        </w:rPr>
      </w:pPr>
      <w:r>
        <w:rPr>
          <w:color w:val="000000"/>
        </w:rPr>
        <w:t>616.</w:t>
      </w:r>
      <w:r>
        <w:rPr>
          <w:rFonts w:hint="eastAsia"/>
          <w:bCs/>
          <w:color w:val="000000"/>
        </w:rPr>
        <w:t xml:space="preserve"> </w:t>
      </w:r>
      <w:r>
        <w:rPr>
          <w:rFonts w:hint="eastAsia"/>
          <w:bCs/>
          <w:color w:val="000000"/>
        </w:rPr>
        <w:t>从就业部门的总体情况来说，自独立以来失业人数增多了。在未来</w:t>
      </w:r>
      <w:r>
        <w:rPr>
          <w:rFonts w:hint="eastAsia"/>
          <w:bCs/>
          <w:color w:val="000000"/>
        </w:rPr>
        <w:t>10</w:t>
      </w:r>
      <w:r>
        <w:rPr>
          <w:rFonts w:hint="eastAsia"/>
          <w:bCs/>
          <w:color w:val="000000"/>
        </w:rPr>
        <w:t>年中，进入劳动力市场的人数将大幅增长。</w:t>
      </w:r>
    </w:p>
    <w:p w:rsidR="00692915" w:rsidRDefault="00692915" w:rsidP="009A1C1B">
      <w:pPr>
        <w:tabs>
          <w:tab w:val="left" w:pos="1170"/>
        </w:tabs>
        <w:ind w:firstLine="31680"/>
        <w:rPr>
          <w:rFonts w:hint="eastAsia"/>
          <w:bCs/>
          <w:color w:val="000000"/>
        </w:rPr>
      </w:pPr>
      <w:r>
        <w:rPr>
          <w:bCs/>
          <w:color w:val="000000"/>
        </w:rPr>
        <w:t>617.</w:t>
      </w:r>
      <w:r>
        <w:rPr>
          <w:rFonts w:hint="eastAsia"/>
          <w:bCs/>
          <w:color w:val="000000"/>
        </w:rPr>
        <w:t xml:space="preserve"> </w:t>
      </w:r>
      <w:r>
        <w:rPr>
          <w:rFonts w:hint="eastAsia"/>
          <w:bCs/>
          <w:color w:val="000000"/>
        </w:rPr>
        <w:t>失业人数增加的原因有很多，其中包括缺乏教育或技术专长，创造就业的资本不足。</w:t>
      </w:r>
      <w:r>
        <w:rPr>
          <w:rStyle w:val="FootnoteReference"/>
          <w:bCs/>
          <w:color w:val="000000"/>
        </w:rPr>
        <w:footnoteReference w:id="327"/>
      </w:r>
      <w:r>
        <w:rPr>
          <w:rFonts w:hint="eastAsia"/>
          <w:bCs/>
          <w:color w:val="000000"/>
        </w:rPr>
        <w:t>自独立以来，男孩和女孩接受正规教育的机会都增加了。但是其中很多学生在完成中等教育后仍然不具备进入劳动力市场的技术专长，或者没有财力接受高等教育。由于创造公共部门就业的能力有限，同时目前的商业投资水平不高，因此缺乏就业机会。由于东帝汶缺乏基础设施和为投资提供保障的适当规章制度，因此到目前为止，还缺乏促进外国企业在东帝汶进行投资的动力。外国企业对劳动力市场缺乏技能的问题表示担忧；同时，对于那些具有创造就业潜力的领域，本地企业又缺乏资本进行这方面的投资。</w:t>
      </w:r>
      <w:r>
        <w:rPr>
          <w:rStyle w:val="FootnoteReference"/>
          <w:bCs/>
          <w:color w:val="000000"/>
        </w:rPr>
        <w:footnoteReference w:id="328"/>
      </w:r>
      <w:r>
        <w:rPr>
          <w:rFonts w:hint="eastAsia"/>
          <w:bCs/>
          <w:color w:val="000000"/>
        </w:rPr>
        <w:t>相对于亚洲地区的邻国而言，东帝汶劳动的成本较高，这进一步妨碍了在东帝汶设立企业的积极性。</w:t>
      </w:r>
    </w:p>
    <w:p w:rsidR="00692915" w:rsidRDefault="00692915" w:rsidP="009A1C1B">
      <w:pPr>
        <w:tabs>
          <w:tab w:val="left" w:pos="1170"/>
        </w:tabs>
        <w:ind w:firstLine="31680"/>
        <w:rPr>
          <w:rFonts w:hint="eastAsia"/>
          <w:bCs/>
          <w:color w:val="000000"/>
        </w:rPr>
      </w:pPr>
      <w:r>
        <w:rPr>
          <w:bCs/>
          <w:color w:val="000000"/>
        </w:rPr>
        <w:t>618.</w:t>
      </w:r>
      <w:r>
        <w:rPr>
          <w:rFonts w:hint="eastAsia"/>
          <w:bCs/>
          <w:color w:val="000000"/>
        </w:rPr>
        <w:t xml:space="preserve"> </w:t>
      </w:r>
      <w:r>
        <w:rPr>
          <w:rFonts w:hint="eastAsia"/>
          <w:bCs/>
          <w:color w:val="000000"/>
        </w:rPr>
        <w:t>在面临这些挑战的情况下，政府已经采取了一些关键措施（包括立法和行政方面的措施），以改善东帝汶目前的就业制度。目前正在起草立法方面的一些重要内容，包括：有关专业培训、工人及失业登记、专业培训中心认证和移徙工人的法令。预计这些将能很快提交给部长理事会。</w:t>
      </w:r>
    </w:p>
    <w:p w:rsidR="00692915" w:rsidRDefault="00692915" w:rsidP="009A1C1B">
      <w:pPr>
        <w:tabs>
          <w:tab w:val="left" w:pos="1170"/>
        </w:tabs>
        <w:ind w:firstLine="31680"/>
        <w:rPr>
          <w:rFonts w:hint="eastAsia"/>
          <w:bCs/>
          <w:color w:val="000000"/>
        </w:rPr>
      </w:pPr>
      <w:r>
        <w:rPr>
          <w:bCs/>
          <w:color w:val="000000"/>
        </w:rPr>
        <w:t>619.</w:t>
      </w:r>
      <w:r>
        <w:rPr>
          <w:rFonts w:hint="eastAsia"/>
          <w:bCs/>
          <w:color w:val="000000"/>
        </w:rPr>
        <w:t xml:space="preserve"> </w:t>
      </w:r>
      <w:r>
        <w:rPr>
          <w:rFonts w:hint="eastAsia"/>
          <w:bCs/>
          <w:color w:val="000000"/>
        </w:rPr>
        <w:t>目前东帝汶有</w:t>
      </w:r>
      <w:r>
        <w:rPr>
          <w:rFonts w:hint="eastAsia"/>
          <w:bCs/>
          <w:color w:val="000000"/>
        </w:rPr>
        <w:t>51</w:t>
      </w:r>
      <w:r>
        <w:rPr>
          <w:rFonts w:hint="eastAsia"/>
          <w:bCs/>
          <w:color w:val="000000"/>
        </w:rPr>
        <w:t>个培训中心，其中具备资格的只有</w:t>
      </w:r>
      <w:r>
        <w:rPr>
          <w:rFonts w:hint="eastAsia"/>
          <w:bCs/>
          <w:color w:val="000000"/>
        </w:rPr>
        <w:t>10</w:t>
      </w:r>
      <w:r>
        <w:rPr>
          <w:rFonts w:hint="eastAsia"/>
          <w:bCs/>
          <w:color w:val="000000"/>
        </w:rPr>
        <w:t>个，包括两个国有培训中心。政府需要确定培训中心的标准，改进和控制中心的培训质量，这一点很关键。到目前为止，职业培训大多是不正规的，人们一般认为正规教育优于职业培训，如果实行职业和专业培训的标准化和认证，则将有助于扭转人们对职业培训的这种误解。</w:t>
      </w:r>
    </w:p>
    <w:p w:rsidR="00692915" w:rsidRDefault="00692915" w:rsidP="009A1C1B">
      <w:pPr>
        <w:tabs>
          <w:tab w:val="left" w:pos="1170"/>
        </w:tabs>
        <w:ind w:firstLine="31680"/>
        <w:rPr>
          <w:rFonts w:hint="eastAsia"/>
          <w:bCs/>
          <w:color w:val="000000"/>
        </w:rPr>
      </w:pPr>
      <w:r>
        <w:rPr>
          <w:bCs/>
          <w:color w:val="000000"/>
        </w:rPr>
        <w:t>620.</w:t>
      </w:r>
      <w:r>
        <w:rPr>
          <w:bCs/>
          <w:color w:val="000000"/>
        </w:rPr>
        <w:tab/>
      </w:r>
      <w:r>
        <w:rPr>
          <w:rFonts w:hint="eastAsia"/>
          <w:bCs/>
          <w:color w:val="000000"/>
        </w:rPr>
        <w:t>除了立法干预措施和技能培养外，政府还努力进行劳动力市场评估和促进微型企业的发展。劳动力市场评估包括：发现国内外的就业机会，为那些满足这些就业要求的求职者安置这方面的工作。政府还与韩国公司达成了一项协议，将近</w:t>
      </w:r>
      <w:r>
        <w:rPr>
          <w:rFonts w:hint="eastAsia"/>
          <w:bCs/>
          <w:color w:val="000000"/>
        </w:rPr>
        <w:t>200</w:t>
      </w:r>
      <w:r>
        <w:rPr>
          <w:rFonts w:hint="eastAsia"/>
          <w:bCs/>
          <w:color w:val="000000"/>
        </w:rPr>
        <w:t>名东帝汶工人派往韩国，其中很多人已经离开东帝汶。劳动与社会安置部正在继续与马来西亚、中国和澳门（中国）签订一系列类似的协议，将东帝汶人派往各个领域工作。微型企业促进活动重点关注家庭式自营企业，尤其是诸如食品加工之类的领域。</w:t>
      </w:r>
    </w:p>
    <w:p w:rsidR="00692915" w:rsidRDefault="00692915" w:rsidP="009A1C1B">
      <w:pPr>
        <w:tabs>
          <w:tab w:val="left" w:pos="1170"/>
        </w:tabs>
        <w:ind w:firstLine="31680"/>
        <w:rPr>
          <w:rFonts w:hint="eastAsia"/>
          <w:bCs/>
          <w:color w:val="000000"/>
        </w:rPr>
      </w:pPr>
      <w:r>
        <w:rPr>
          <w:bCs/>
          <w:color w:val="000000"/>
        </w:rPr>
        <w:t>621.</w:t>
      </w:r>
      <w:r>
        <w:rPr>
          <w:bCs/>
          <w:color w:val="000000"/>
        </w:rPr>
        <w:tab/>
      </w:r>
      <w:r>
        <w:rPr>
          <w:rFonts w:hint="eastAsia"/>
          <w:bCs/>
          <w:color w:val="000000"/>
        </w:rPr>
        <w:t>劳动与社会安置部已建立了四个就业中心，以促进全国的工作。这些中心设在欧库西、马利亚纳、帝力和包考。每个中心有两名职员负责运作，负责促进妇女就业的机会平等，以及促进经济发展的培训。</w:t>
      </w:r>
    </w:p>
    <w:p w:rsidR="00692915" w:rsidRDefault="00692915" w:rsidP="009A1C1B">
      <w:pPr>
        <w:tabs>
          <w:tab w:val="left" w:pos="1170"/>
        </w:tabs>
        <w:spacing w:after="240"/>
        <w:ind w:firstLine="31680"/>
        <w:rPr>
          <w:rFonts w:hint="eastAsia"/>
          <w:bCs/>
          <w:color w:val="000000"/>
        </w:rPr>
      </w:pPr>
      <w:r>
        <w:rPr>
          <w:bCs/>
          <w:color w:val="000000"/>
        </w:rPr>
        <w:t>622.</w:t>
      </w:r>
      <w:r>
        <w:rPr>
          <w:rFonts w:hint="eastAsia"/>
          <w:bCs/>
          <w:color w:val="000000"/>
        </w:rPr>
        <w:t xml:space="preserve"> </w:t>
      </w:r>
      <w:r>
        <w:rPr>
          <w:rFonts w:hint="eastAsia"/>
          <w:bCs/>
          <w:color w:val="000000"/>
        </w:rPr>
        <w:t>政府认识到经济增长可以创造新的就业机会，具有极其重要的意义。为此，政府已开始了一个旨在创造一个有利环境，促进国内外私人投资的重大项目。这将能创造生产性的就业机会，因此对于那些进入劳动力队伍的新人来说，将至关重要。</w:t>
      </w:r>
    </w:p>
    <w:p w:rsidR="00692915" w:rsidRDefault="00692915">
      <w:pPr>
        <w:pStyle w:val="Heading2"/>
        <w:tabs>
          <w:tab w:val="left" w:pos="650"/>
        </w:tabs>
        <w:jc w:val="both"/>
        <w:rPr>
          <w:bCs/>
          <w:color w:val="000000"/>
          <w:sz w:val="24"/>
        </w:rPr>
      </w:pPr>
      <w:bookmarkStart w:id="107" w:name="_Toc150514999"/>
      <w:bookmarkStart w:id="108" w:name="_Toc150684903"/>
      <w:r>
        <w:rPr>
          <w:bCs/>
          <w:color w:val="000000"/>
          <w:sz w:val="24"/>
        </w:rPr>
        <w:t xml:space="preserve">10. </w:t>
      </w:r>
      <w:r>
        <w:rPr>
          <w:rFonts w:hint="eastAsia"/>
          <w:bCs/>
          <w:color w:val="000000"/>
          <w:sz w:val="24"/>
          <w:u w:val="single"/>
        </w:rPr>
        <w:t>教育</w:t>
      </w:r>
      <w:r>
        <w:rPr>
          <w:rStyle w:val="FootnoteReference"/>
          <w:bCs/>
          <w:iCs/>
          <w:color w:val="000000"/>
          <w:szCs w:val="24"/>
        </w:rPr>
        <w:footnoteReference w:id="329"/>
      </w:r>
      <w:bookmarkEnd w:id="107"/>
      <w:bookmarkEnd w:id="108"/>
    </w:p>
    <w:p w:rsidR="00692915" w:rsidRDefault="00692915" w:rsidP="009A1C1B">
      <w:pPr>
        <w:tabs>
          <w:tab w:val="left" w:pos="1170"/>
        </w:tabs>
        <w:ind w:firstLine="31680"/>
        <w:rPr>
          <w:rFonts w:hint="eastAsia"/>
          <w:bCs/>
          <w:color w:val="000000"/>
        </w:rPr>
      </w:pPr>
      <w:r>
        <w:rPr>
          <w:color w:val="000000"/>
        </w:rPr>
        <w:t>623.</w:t>
      </w:r>
      <w:r>
        <w:rPr>
          <w:rFonts w:hint="eastAsia"/>
          <w:bCs/>
          <w:color w:val="000000"/>
        </w:rPr>
        <w:t>《宪法》第</w:t>
      </w:r>
      <w:r>
        <w:rPr>
          <w:rFonts w:hint="eastAsia"/>
          <w:bCs/>
          <w:color w:val="000000"/>
        </w:rPr>
        <w:t>59</w:t>
      </w:r>
      <w:r>
        <w:rPr>
          <w:rFonts w:hint="eastAsia"/>
          <w:bCs/>
          <w:color w:val="000000"/>
        </w:rPr>
        <w:t>条对受教育权做了明确规定，该条指出：</w:t>
      </w:r>
    </w:p>
    <w:p w:rsidR="00692915" w:rsidRDefault="00692915" w:rsidP="009A1C1B">
      <w:pPr>
        <w:numPr>
          <w:ilvl w:val="0"/>
          <w:numId w:val="6"/>
        </w:numPr>
        <w:tabs>
          <w:tab w:val="clear" w:pos="927"/>
          <w:tab w:val="left" w:pos="1690"/>
        </w:tabs>
        <w:ind w:leftChars="450" w:left="31680" w:hangingChars="200" w:firstLine="31680"/>
        <w:rPr>
          <w:bCs/>
          <w:color w:val="000000"/>
        </w:rPr>
      </w:pPr>
      <w:r>
        <w:rPr>
          <w:rFonts w:hint="eastAsia"/>
          <w:bCs/>
          <w:color w:val="000000"/>
        </w:rPr>
        <w:t>国家将承认并保证每位公民都享有教育和文化权利，有义务促进建立一个关于普及性义务基础教育的公共体系，并将根据其能力依法提供免费的基础教育；</w:t>
      </w:r>
    </w:p>
    <w:p w:rsidR="00692915" w:rsidRDefault="00692915" w:rsidP="009A1C1B">
      <w:pPr>
        <w:numPr>
          <w:ilvl w:val="0"/>
          <w:numId w:val="6"/>
        </w:numPr>
        <w:tabs>
          <w:tab w:val="clear" w:pos="927"/>
          <w:tab w:val="left" w:pos="1690"/>
        </w:tabs>
        <w:ind w:leftChars="450" w:left="31680" w:hangingChars="200" w:firstLine="31680"/>
        <w:rPr>
          <w:bCs/>
          <w:color w:val="000000"/>
        </w:rPr>
      </w:pPr>
      <w:r>
        <w:rPr>
          <w:rFonts w:hint="eastAsia"/>
          <w:bCs/>
          <w:color w:val="000000"/>
        </w:rPr>
        <w:t>人人都在教育和职业培训方面享有平等机会；</w:t>
      </w:r>
    </w:p>
    <w:p w:rsidR="00692915" w:rsidRDefault="00692915" w:rsidP="009A1C1B">
      <w:pPr>
        <w:numPr>
          <w:ilvl w:val="0"/>
          <w:numId w:val="6"/>
        </w:numPr>
        <w:tabs>
          <w:tab w:val="clear" w:pos="927"/>
          <w:tab w:val="left" w:pos="1690"/>
        </w:tabs>
        <w:ind w:leftChars="450" w:left="31680" w:hangingChars="200" w:firstLine="31680"/>
        <w:rPr>
          <w:bCs/>
          <w:color w:val="000000"/>
        </w:rPr>
      </w:pPr>
      <w:r>
        <w:rPr>
          <w:rFonts w:hint="eastAsia"/>
          <w:bCs/>
          <w:color w:val="000000"/>
        </w:rPr>
        <w:t>国家将承认并监督私人教育及合作教育；</w:t>
      </w:r>
    </w:p>
    <w:p w:rsidR="00692915" w:rsidRDefault="00692915" w:rsidP="009A1C1B">
      <w:pPr>
        <w:numPr>
          <w:ilvl w:val="0"/>
          <w:numId w:val="6"/>
        </w:numPr>
        <w:tabs>
          <w:tab w:val="clear" w:pos="927"/>
          <w:tab w:val="left" w:pos="1690"/>
        </w:tabs>
        <w:ind w:leftChars="450" w:left="31680" w:hangingChars="200" w:firstLine="31680"/>
        <w:rPr>
          <w:bCs/>
          <w:color w:val="000000"/>
        </w:rPr>
      </w:pPr>
      <w:r>
        <w:rPr>
          <w:rFonts w:hint="eastAsia"/>
          <w:bCs/>
          <w:color w:val="000000"/>
        </w:rPr>
        <w:t>国家将确保每位公民根据其自身能力获取最高水平的教育，进行最高水平的科学研究和艺术创造；</w:t>
      </w:r>
    </w:p>
    <w:p w:rsidR="00692915" w:rsidRDefault="00692915" w:rsidP="009A1C1B">
      <w:pPr>
        <w:numPr>
          <w:ilvl w:val="0"/>
          <w:numId w:val="6"/>
        </w:numPr>
        <w:tabs>
          <w:tab w:val="clear" w:pos="927"/>
          <w:tab w:val="left" w:pos="1690"/>
        </w:tabs>
        <w:spacing w:after="240"/>
        <w:ind w:leftChars="450" w:left="31680" w:hangingChars="200" w:firstLine="31680"/>
        <w:rPr>
          <w:bCs/>
          <w:color w:val="000000"/>
        </w:rPr>
      </w:pPr>
      <w:r>
        <w:rPr>
          <w:rFonts w:hint="eastAsia"/>
          <w:bCs/>
          <w:color w:val="000000"/>
        </w:rPr>
        <w:t>每个人都享有文化娱乐及创造的权利，都有保持、保护和珍视文化遗产的义务。</w:t>
      </w:r>
    </w:p>
    <w:p w:rsidR="00692915" w:rsidRDefault="00692915" w:rsidP="009A1C1B">
      <w:pPr>
        <w:tabs>
          <w:tab w:val="left" w:pos="1170"/>
        </w:tabs>
        <w:ind w:firstLine="31680"/>
        <w:rPr>
          <w:rFonts w:hint="eastAsia"/>
          <w:bCs/>
          <w:color w:val="000000"/>
        </w:rPr>
      </w:pPr>
      <w:r>
        <w:rPr>
          <w:color w:val="000000"/>
        </w:rPr>
        <w:t>624.</w:t>
      </w:r>
      <w:r>
        <w:rPr>
          <w:color w:val="000000"/>
        </w:rPr>
        <w:tab/>
      </w:r>
      <w:r>
        <w:rPr>
          <w:rFonts w:hint="eastAsia"/>
          <w:bCs/>
          <w:color w:val="000000"/>
        </w:rPr>
        <w:t>自</w:t>
      </w:r>
      <w:r>
        <w:rPr>
          <w:rFonts w:hint="eastAsia"/>
          <w:bCs/>
          <w:color w:val="000000"/>
        </w:rPr>
        <w:t>1999</w:t>
      </w:r>
      <w:r>
        <w:rPr>
          <w:rFonts w:hint="eastAsia"/>
          <w:bCs/>
          <w:color w:val="000000"/>
        </w:rPr>
        <w:t>年公民投票引起暴乱后，教育系统很混乱，而且处于崩溃的边缘。将近</w:t>
      </w:r>
      <w:r>
        <w:rPr>
          <w:rFonts w:hint="eastAsia"/>
          <w:bCs/>
          <w:color w:val="000000"/>
        </w:rPr>
        <w:t>90%</w:t>
      </w:r>
      <w:r>
        <w:rPr>
          <w:rFonts w:hint="eastAsia"/>
          <w:bCs/>
          <w:color w:val="000000"/>
        </w:rPr>
        <w:t>的学校和教育设施（实际上包括所有设备和教学材料）都被毁或丢失。大约</w:t>
      </w:r>
      <w:r>
        <w:rPr>
          <w:rFonts w:hint="eastAsia"/>
          <w:bCs/>
          <w:color w:val="000000"/>
        </w:rPr>
        <w:t>20%</w:t>
      </w:r>
      <w:r>
        <w:rPr>
          <w:rFonts w:hint="eastAsia"/>
          <w:bCs/>
          <w:color w:val="000000"/>
        </w:rPr>
        <w:t>的小学教师和大约</w:t>
      </w:r>
      <w:r>
        <w:rPr>
          <w:rFonts w:hint="eastAsia"/>
          <w:bCs/>
          <w:color w:val="000000"/>
        </w:rPr>
        <w:t>80%</w:t>
      </w:r>
      <w:r>
        <w:rPr>
          <w:rFonts w:hint="eastAsia"/>
          <w:bCs/>
          <w:color w:val="000000"/>
        </w:rPr>
        <w:t>小学以上的教师（大多数都不是帝汶人）离开了东帝汶。其中包括几乎所有的教育行政人员和管理人员，这些人员也不是帝汶人。</w:t>
      </w:r>
    </w:p>
    <w:p w:rsidR="00692915" w:rsidRDefault="00692915" w:rsidP="009A1C1B">
      <w:pPr>
        <w:tabs>
          <w:tab w:val="left" w:pos="1170"/>
        </w:tabs>
        <w:ind w:firstLine="31680"/>
        <w:rPr>
          <w:rFonts w:hint="eastAsia"/>
          <w:bCs/>
          <w:color w:val="000000"/>
        </w:rPr>
      </w:pPr>
      <w:r>
        <w:rPr>
          <w:color w:val="000000"/>
        </w:rPr>
        <w:t>625.</w:t>
      </w:r>
      <w:r>
        <w:rPr>
          <w:rFonts w:hint="eastAsia"/>
          <w:bCs/>
          <w:color w:val="000000"/>
        </w:rPr>
        <w:t xml:space="preserve"> </w:t>
      </w:r>
      <w:r>
        <w:rPr>
          <w:bCs/>
          <w:color w:val="000000"/>
        </w:rPr>
        <w:tab/>
      </w:r>
      <w:r>
        <w:rPr>
          <w:rFonts w:hint="eastAsia"/>
          <w:bCs/>
          <w:color w:val="000000"/>
        </w:rPr>
        <w:t>1999</w:t>
      </w:r>
      <w:r>
        <w:rPr>
          <w:rFonts w:hint="eastAsia"/>
          <w:bCs/>
          <w:color w:val="000000"/>
        </w:rPr>
        <w:t>年事件后所面临的直接挑战就是重建教育系统，让儿童重返学校。这两方面都取得了重大进展。学校系统的基层业务已开始运行，自</w:t>
      </w:r>
      <w:r>
        <w:rPr>
          <w:rFonts w:hint="eastAsia"/>
          <w:bCs/>
          <w:color w:val="000000"/>
        </w:rPr>
        <w:t>2000</w:t>
      </w:r>
      <w:r>
        <w:rPr>
          <w:rFonts w:hint="eastAsia"/>
          <w:bCs/>
          <w:color w:val="000000"/>
        </w:rPr>
        <w:t>年以来，政府的各级教育都已运行将近六个学年，学校入学人数猛增。在东帝汶</w:t>
      </w:r>
      <w:r>
        <w:rPr>
          <w:bCs/>
          <w:color w:val="000000"/>
        </w:rPr>
        <w:t>285</w:t>
      </w:r>
      <w:r>
        <w:rPr>
          <w:rFonts w:hint="eastAsia"/>
          <w:bCs/>
          <w:color w:val="000000"/>
        </w:rPr>
        <w:t xml:space="preserve"> </w:t>
      </w:r>
      <w:r>
        <w:rPr>
          <w:bCs/>
          <w:color w:val="000000"/>
        </w:rPr>
        <w:t>000</w:t>
      </w:r>
      <w:r>
        <w:rPr>
          <w:rFonts w:hint="eastAsia"/>
          <w:bCs/>
          <w:color w:val="000000"/>
        </w:rPr>
        <w:t>名学龄儿童中，有四分之三以上的儿童已获得了正常的学校教育。最重要的成就就是贫困儿童、女童和农村儿童的入学水平大幅上升。不过，贫困情况与教育之间的关联度很强。在户主没有小学毕业的家庭中，有将近二分之一是贫困人口；而在户主至少接受过高中教育的家庭中，贫困人口不足七分之一。</w:t>
      </w:r>
    </w:p>
    <w:p w:rsidR="00692915" w:rsidRDefault="00692915" w:rsidP="009A1C1B">
      <w:pPr>
        <w:tabs>
          <w:tab w:val="left" w:pos="1170"/>
        </w:tabs>
        <w:ind w:firstLine="31680"/>
        <w:rPr>
          <w:rFonts w:hint="eastAsia"/>
          <w:bCs/>
          <w:color w:val="000000"/>
        </w:rPr>
      </w:pPr>
      <w:r>
        <w:rPr>
          <w:bCs/>
          <w:color w:val="000000"/>
        </w:rPr>
        <w:t>626.</w:t>
      </w:r>
      <w:r>
        <w:rPr>
          <w:bCs/>
          <w:color w:val="000000"/>
        </w:rPr>
        <w:tab/>
      </w:r>
      <w:r>
        <w:rPr>
          <w:rFonts w:hint="eastAsia"/>
          <w:bCs/>
          <w:color w:val="000000"/>
        </w:rPr>
        <w:t>在成功度过紧急局势之后，政府目前正将重点放在教育与培训方面的长期发展挑战上，这方面的挑战有很多。</w:t>
      </w:r>
    </w:p>
    <w:p w:rsidR="00692915" w:rsidRDefault="00692915" w:rsidP="009A1C1B">
      <w:pPr>
        <w:tabs>
          <w:tab w:val="left" w:pos="1170"/>
        </w:tabs>
        <w:ind w:firstLine="31680"/>
        <w:rPr>
          <w:rFonts w:hint="eastAsia"/>
          <w:bCs/>
          <w:color w:val="000000"/>
        </w:rPr>
      </w:pPr>
      <w:r>
        <w:rPr>
          <w:bCs/>
          <w:color w:val="000000"/>
        </w:rPr>
        <w:t>627.</w:t>
      </w:r>
      <w:r>
        <w:rPr>
          <w:bCs/>
          <w:color w:val="000000"/>
        </w:rPr>
        <w:tab/>
      </w:r>
      <w:r>
        <w:rPr>
          <w:rFonts w:hint="eastAsia"/>
          <w:bCs/>
          <w:color w:val="000000"/>
        </w:rPr>
        <w:t>大约有半数的东帝汶成人为文盲，尽管在过去</w:t>
      </w:r>
      <w:r>
        <w:rPr>
          <w:rFonts w:hint="eastAsia"/>
          <w:bCs/>
          <w:color w:val="000000"/>
        </w:rPr>
        <w:t>4</w:t>
      </w:r>
      <w:r>
        <w:rPr>
          <w:rFonts w:hint="eastAsia"/>
          <w:bCs/>
          <w:color w:val="000000"/>
        </w:rPr>
        <w:t>年中取得了显著进步，但大量的儿童仍然不能获得基本的或优质的教育。</w:t>
      </w:r>
    </w:p>
    <w:p w:rsidR="00692915" w:rsidRDefault="00692915" w:rsidP="009A1C1B">
      <w:pPr>
        <w:tabs>
          <w:tab w:val="left" w:pos="1170"/>
        </w:tabs>
        <w:ind w:firstLine="31680"/>
        <w:rPr>
          <w:rFonts w:hint="eastAsia"/>
          <w:bCs/>
          <w:color w:val="000000"/>
        </w:rPr>
      </w:pPr>
      <w:r>
        <w:rPr>
          <w:bCs/>
          <w:color w:val="000000"/>
        </w:rPr>
        <w:t>628.</w:t>
      </w:r>
      <w:r>
        <w:rPr>
          <w:bCs/>
          <w:color w:val="000000"/>
        </w:rPr>
        <w:tab/>
      </w:r>
      <w:r>
        <w:rPr>
          <w:rFonts w:hint="eastAsia"/>
          <w:bCs/>
          <w:color w:val="000000"/>
        </w:rPr>
        <w:t>目前，教育部门还缺乏相应的法律基础，不过为解决现有差距问题，政府已提出了一整套法律提议。</w:t>
      </w:r>
    </w:p>
    <w:p w:rsidR="00692915" w:rsidRDefault="00692915" w:rsidP="009A1C1B">
      <w:pPr>
        <w:tabs>
          <w:tab w:val="left" w:pos="1170"/>
        </w:tabs>
        <w:ind w:firstLine="31680"/>
        <w:rPr>
          <w:rFonts w:hint="eastAsia"/>
          <w:color w:val="000000"/>
        </w:rPr>
      </w:pPr>
      <w:r>
        <w:rPr>
          <w:color w:val="000000"/>
        </w:rPr>
        <w:t>629.</w:t>
      </w:r>
      <w:r>
        <w:rPr>
          <w:color w:val="000000"/>
        </w:rPr>
        <w:tab/>
      </w:r>
      <w:r>
        <w:rPr>
          <w:rFonts w:hint="eastAsia"/>
          <w:color w:val="000000"/>
        </w:rPr>
        <w:t>教育部门的政策与实际困难包括：</w:t>
      </w:r>
    </w:p>
    <w:p w:rsidR="00692915" w:rsidRDefault="00692915" w:rsidP="009A1C1B">
      <w:pPr>
        <w:numPr>
          <w:ilvl w:val="0"/>
          <w:numId w:val="6"/>
        </w:numPr>
        <w:tabs>
          <w:tab w:val="clear" w:pos="927"/>
          <w:tab w:val="left" w:pos="1690"/>
        </w:tabs>
        <w:ind w:leftChars="450" w:left="31680" w:hangingChars="200" w:firstLine="31680"/>
        <w:rPr>
          <w:bCs/>
          <w:color w:val="000000"/>
        </w:rPr>
      </w:pPr>
      <w:r>
        <w:rPr>
          <w:rFonts w:hint="eastAsia"/>
          <w:bCs/>
          <w:color w:val="000000"/>
        </w:rPr>
        <w:t>受教育机会有限；</w:t>
      </w:r>
    </w:p>
    <w:p w:rsidR="00692915" w:rsidRDefault="00692915" w:rsidP="009A1C1B">
      <w:pPr>
        <w:numPr>
          <w:ilvl w:val="0"/>
          <w:numId w:val="6"/>
        </w:numPr>
        <w:tabs>
          <w:tab w:val="clear" w:pos="927"/>
          <w:tab w:val="left" w:pos="1690"/>
        </w:tabs>
        <w:ind w:leftChars="450" w:left="31680" w:hangingChars="200" w:firstLine="31680"/>
        <w:rPr>
          <w:bCs/>
          <w:color w:val="000000"/>
        </w:rPr>
      </w:pPr>
      <w:r>
        <w:rPr>
          <w:rFonts w:hint="eastAsia"/>
          <w:bCs/>
          <w:color w:val="000000"/>
        </w:rPr>
        <w:t>辍学率（</w:t>
      </w:r>
      <w:r>
        <w:rPr>
          <w:rFonts w:hint="eastAsia"/>
          <w:bCs/>
          <w:color w:val="000000"/>
        </w:rPr>
        <w:t>10%</w:t>
      </w:r>
      <w:r>
        <w:rPr>
          <w:rStyle w:val="FootnoteReference"/>
          <w:bCs/>
          <w:color w:val="000000"/>
        </w:rPr>
        <w:footnoteReference w:id="330"/>
      </w:r>
      <w:r>
        <w:rPr>
          <w:rFonts w:hint="eastAsia"/>
          <w:bCs/>
          <w:color w:val="000000"/>
        </w:rPr>
        <w:t>）和留级率（</w:t>
      </w:r>
      <w:r>
        <w:rPr>
          <w:rFonts w:hint="eastAsia"/>
          <w:bCs/>
          <w:color w:val="000000"/>
        </w:rPr>
        <w:t>20-25%</w:t>
      </w:r>
      <w:r>
        <w:rPr>
          <w:rFonts w:hint="eastAsia"/>
          <w:bCs/>
          <w:color w:val="000000"/>
        </w:rPr>
        <w:t>）都很高；</w:t>
      </w:r>
    </w:p>
    <w:p w:rsidR="00692915" w:rsidRDefault="00692915" w:rsidP="009A1C1B">
      <w:pPr>
        <w:numPr>
          <w:ilvl w:val="0"/>
          <w:numId w:val="6"/>
        </w:numPr>
        <w:tabs>
          <w:tab w:val="clear" w:pos="927"/>
          <w:tab w:val="left" w:pos="1690"/>
        </w:tabs>
        <w:ind w:leftChars="450" w:left="31680" w:hangingChars="200" w:firstLine="31680"/>
        <w:rPr>
          <w:bCs/>
          <w:color w:val="000000"/>
        </w:rPr>
      </w:pPr>
      <w:r>
        <w:rPr>
          <w:rFonts w:hint="eastAsia"/>
          <w:bCs/>
          <w:color w:val="000000"/>
        </w:rPr>
        <w:t>教育质量差；</w:t>
      </w:r>
    </w:p>
    <w:p w:rsidR="00692915" w:rsidRDefault="00692915" w:rsidP="009A1C1B">
      <w:pPr>
        <w:numPr>
          <w:ilvl w:val="0"/>
          <w:numId w:val="6"/>
        </w:numPr>
        <w:tabs>
          <w:tab w:val="clear" w:pos="927"/>
          <w:tab w:val="left" w:pos="1690"/>
        </w:tabs>
        <w:ind w:leftChars="450" w:left="31680" w:hangingChars="200" w:firstLine="31680"/>
        <w:rPr>
          <w:rFonts w:hint="eastAsia"/>
          <w:bCs/>
          <w:color w:val="000000"/>
        </w:rPr>
      </w:pPr>
      <w:r>
        <w:rPr>
          <w:rFonts w:hint="eastAsia"/>
          <w:bCs/>
          <w:color w:val="000000"/>
        </w:rPr>
        <w:t>缺乏合格的专业教师人员；</w:t>
      </w:r>
    </w:p>
    <w:p w:rsidR="00692915" w:rsidRDefault="00692915" w:rsidP="009A1C1B">
      <w:pPr>
        <w:numPr>
          <w:ilvl w:val="0"/>
          <w:numId w:val="6"/>
        </w:numPr>
        <w:tabs>
          <w:tab w:val="clear" w:pos="927"/>
          <w:tab w:val="left" w:pos="1690"/>
        </w:tabs>
        <w:ind w:leftChars="450" w:left="31680" w:hangingChars="200" w:firstLine="31680"/>
        <w:rPr>
          <w:bCs/>
          <w:color w:val="000000"/>
        </w:rPr>
      </w:pPr>
      <w:r>
        <w:rPr>
          <w:rFonts w:hint="eastAsia"/>
          <w:bCs/>
          <w:color w:val="000000"/>
        </w:rPr>
        <w:t>缺乏教学资料和资源；</w:t>
      </w:r>
    </w:p>
    <w:p w:rsidR="00692915" w:rsidRDefault="00692915" w:rsidP="009A1C1B">
      <w:pPr>
        <w:numPr>
          <w:ilvl w:val="0"/>
          <w:numId w:val="6"/>
        </w:numPr>
        <w:tabs>
          <w:tab w:val="clear" w:pos="927"/>
          <w:tab w:val="left" w:pos="1690"/>
        </w:tabs>
        <w:ind w:leftChars="450" w:left="31680" w:hangingChars="200" w:firstLine="31680"/>
        <w:rPr>
          <w:bCs/>
          <w:color w:val="000000"/>
        </w:rPr>
      </w:pPr>
      <w:r>
        <w:rPr>
          <w:rFonts w:hint="eastAsia"/>
          <w:bCs/>
          <w:color w:val="000000"/>
        </w:rPr>
        <w:t>学校向葡萄牙语过渡面临困难；</w:t>
      </w:r>
    </w:p>
    <w:p w:rsidR="00692915" w:rsidRDefault="00692915" w:rsidP="009A1C1B">
      <w:pPr>
        <w:numPr>
          <w:ilvl w:val="0"/>
          <w:numId w:val="6"/>
        </w:numPr>
        <w:tabs>
          <w:tab w:val="clear" w:pos="927"/>
          <w:tab w:val="left" w:pos="1690"/>
        </w:tabs>
        <w:ind w:leftChars="450" w:left="31680" w:hangingChars="200" w:firstLine="31680"/>
        <w:rPr>
          <w:bCs/>
          <w:color w:val="000000"/>
        </w:rPr>
      </w:pPr>
      <w:r>
        <w:rPr>
          <w:rFonts w:hint="eastAsia"/>
          <w:bCs/>
          <w:color w:val="000000"/>
        </w:rPr>
        <w:t>高层教育中男孩比女孩优先；</w:t>
      </w:r>
    </w:p>
    <w:p w:rsidR="00692915" w:rsidRDefault="00692915" w:rsidP="009A1C1B">
      <w:pPr>
        <w:numPr>
          <w:ilvl w:val="0"/>
          <w:numId w:val="6"/>
        </w:numPr>
        <w:tabs>
          <w:tab w:val="clear" w:pos="927"/>
          <w:tab w:val="left" w:pos="1690"/>
        </w:tabs>
        <w:spacing w:after="240"/>
        <w:ind w:leftChars="450" w:left="31680" w:hangingChars="200" w:firstLine="31680"/>
        <w:rPr>
          <w:bCs/>
          <w:color w:val="000000"/>
        </w:rPr>
      </w:pPr>
      <w:r>
        <w:rPr>
          <w:rFonts w:hint="eastAsia"/>
          <w:bCs/>
          <w:color w:val="000000"/>
        </w:rPr>
        <w:t>教育管理结构薄弱。</w:t>
      </w:r>
    </w:p>
    <w:p w:rsidR="00692915" w:rsidRDefault="00692915" w:rsidP="009A1C1B">
      <w:pPr>
        <w:tabs>
          <w:tab w:val="left" w:pos="1170"/>
        </w:tabs>
        <w:ind w:firstLine="31680"/>
        <w:rPr>
          <w:rFonts w:hint="eastAsia"/>
          <w:color w:val="000000"/>
        </w:rPr>
      </w:pPr>
      <w:r>
        <w:rPr>
          <w:color w:val="000000"/>
        </w:rPr>
        <w:t>630.</w:t>
      </w:r>
      <w:r>
        <w:rPr>
          <w:rFonts w:hint="eastAsia"/>
          <w:color w:val="000000"/>
        </w:rPr>
        <w:t xml:space="preserve"> </w:t>
      </w:r>
      <w:r>
        <w:rPr>
          <w:rFonts w:hint="eastAsia"/>
          <w:color w:val="000000"/>
        </w:rPr>
        <w:t>在农村地区，由于上学路远，而且儿童缺乏交通工具，所以就学很困难。地方报告也显示，有些学校的费用昂贵得令人望而却步，对于最贫困家庭来说尤其如此。直到最近，国营小学还乱收学费，对于来自孤儿院的儿童也不例外。乱收学费及其给就学所带来的抑制性影响是政府极为关注的一个问题。</w:t>
      </w:r>
    </w:p>
    <w:p w:rsidR="00692915" w:rsidRDefault="00692915" w:rsidP="009A1C1B">
      <w:pPr>
        <w:tabs>
          <w:tab w:val="left" w:pos="1170"/>
        </w:tabs>
        <w:ind w:firstLine="31680"/>
        <w:rPr>
          <w:rFonts w:hint="eastAsia"/>
          <w:bCs/>
          <w:color w:val="000000"/>
        </w:rPr>
      </w:pPr>
      <w:r>
        <w:rPr>
          <w:color w:val="000000"/>
        </w:rPr>
        <w:t>631.</w:t>
      </w:r>
      <w:r>
        <w:rPr>
          <w:rFonts w:hint="eastAsia"/>
          <w:bCs/>
          <w:color w:val="000000"/>
        </w:rPr>
        <w:t xml:space="preserve"> </w:t>
      </w:r>
      <w:r>
        <w:rPr>
          <w:bCs/>
          <w:color w:val="000000"/>
        </w:rPr>
        <w:tab/>
      </w:r>
      <w:r>
        <w:rPr>
          <w:rFonts w:hint="eastAsia"/>
          <w:iCs/>
          <w:color w:val="000000"/>
        </w:rPr>
        <w:t>2002</w:t>
      </w:r>
      <w:r>
        <w:rPr>
          <w:rFonts w:hint="eastAsia"/>
          <w:iCs/>
          <w:color w:val="000000"/>
        </w:rPr>
        <w:t>年</w:t>
      </w:r>
      <w:r>
        <w:rPr>
          <w:rFonts w:hint="eastAsia"/>
          <w:iCs/>
          <w:color w:val="000000"/>
        </w:rPr>
        <w:t>11</w:t>
      </w:r>
      <w:r>
        <w:rPr>
          <w:rFonts w:hint="eastAsia"/>
          <w:iCs/>
          <w:color w:val="000000"/>
        </w:rPr>
        <w:t>月，教育、文化、青年和体育部（即目前的教育与文化部）发出了一份通知，对全国各级学校的学费进行了规范：</w:t>
      </w:r>
    </w:p>
    <w:p w:rsidR="00692915" w:rsidRDefault="00692915" w:rsidP="009A1C1B">
      <w:pPr>
        <w:numPr>
          <w:ilvl w:val="0"/>
          <w:numId w:val="6"/>
        </w:numPr>
        <w:tabs>
          <w:tab w:val="clear" w:pos="927"/>
          <w:tab w:val="left" w:pos="1690"/>
        </w:tabs>
        <w:ind w:leftChars="450" w:left="31680" w:hangingChars="200" w:firstLine="31680"/>
        <w:rPr>
          <w:bCs/>
          <w:color w:val="000000"/>
        </w:rPr>
      </w:pPr>
      <w:r>
        <w:rPr>
          <w:rFonts w:hint="eastAsia"/>
          <w:bCs/>
          <w:color w:val="000000"/>
        </w:rPr>
        <w:t>小学</w:t>
      </w:r>
      <w:r>
        <w:rPr>
          <w:rFonts w:ascii="SimHei" w:eastAsia="SimHei" w:hint="eastAsia"/>
          <w:bCs/>
          <w:color w:val="000000"/>
          <w:spacing w:val="0"/>
        </w:rPr>
        <w:t>——</w:t>
      </w:r>
      <w:r>
        <w:rPr>
          <w:rFonts w:hint="eastAsia"/>
          <w:bCs/>
          <w:color w:val="000000"/>
        </w:rPr>
        <w:t>每月</w:t>
      </w:r>
      <w:r>
        <w:rPr>
          <w:rFonts w:hint="eastAsia"/>
          <w:bCs/>
          <w:color w:val="000000"/>
        </w:rPr>
        <w:t>1</w:t>
      </w:r>
      <w:r>
        <w:rPr>
          <w:rFonts w:hint="eastAsia"/>
          <w:bCs/>
          <w:color w:val="000000"/>
        </w:rPr>
        <w:t>美元；</w:t>
      </w:r>
    </w:p>
    <w:p w:rsidR="00692915" w:rsidRDefault="00692915" w:rsidP="009A1C1B">
      <w:pPr>
        <w:numPr>
          <w:ilvl w:val="0"/>
          <w:numId w:val="6"/>
        </w:numPr>
        <w:tabs>
          <w:tab w:val="clear" w:pos="927"/>
          <w:tab w:val="left" w:pos="1690"/>
        </w:tabs>
        <w:ind w:leftChars="450" w:left="31680" w:hangingChars="200" w:firstLine="31680"/>
        <w:rPr>
          <w:bCs/>
          <w:color w:val="000000"/>
        </w:rPr>
      </w:pPr>
      <w:r>
        <w:rPr>
          <w:rFonts w:hint="eastAsia"/>
          <w:bCs/>
          <w:color w:val="000000"/>
        </w:rPr>
        <w:t>中学预科</w:t>
      </w:r>
      <w:r>
        <w:rPr>
          <w:rFonts w:ascii="SimHei" w:eastAsia="SimHei" w:hint="eastAsia"/>
          <w:bCs/>
          <w:color w:val="000000"/>
          <w:spacing w:val="0"/>
        </w:rPr>
        <w:t>——</w:t>
      </w:r>
      <w:r>
        <w:rPr>
          <w:rFonts w:hint="eastAsia"/>
          <w:bCs/>
          <w:color w:val="000000"/>
        </w:rPr>
        <w:t>每月</w:t>
      </w:r>
      <w:r>
        <w:rPr>
          <w:rFonts w:hint="eastAsia"/>
          <w:bCs/>
          <w:color w:val="000000"/>
        </w:rPr>
        <w:t>1.5</w:t>
      </w:r>
      <w:r>
        <w:rPr>
          <w:rFonts w:hint="eastAsia"/>
          <w:bCs/>
          <w:color w:val="000000"/>
        </w:rPr>
        <w:t>美元；</w:t>
      </w:r>
    </w:p>
    <w:p w:rsidR="00692915" w:rsidRDefault="00692915" w:rsidP="009A1C1B">
      <w:pPr>
        <w:numPr>
          <w:ilvl w:val="0"/>
          <w:numId w:val="6"/>
        </w:numPr>
        <w:tabs>
          <w:tab w:val="clear" w:pos="927"/>
          <w:tab w:val="left" w:pos="1690"/>
        </w:tabs>
        <w:spacing w:after="240"/>
        <w:ind w:leftChars="450" w:left="31680" w:hangingChars="200" w:firstLine="31680"/>
        <w:rPr>
          <w:bCs/>
          <w:color w:val="000000"/>
        </w:rPr>
      </w:pPr>
      <w:r>
        <w:rPr>
          <w:rFonts w:hint="eastAsia"/>
          <w:bCs/>
          <w:color w:val="000000"/>
        </w:rPr>
        <w:t>中学</w:t>
      </w:r>
      <w:r>
        <w:rPr>
          <w:rFonts w:ascii="SimHei" w:eastAsia="SimHei" w:hint="eastAsia"/>
          <w:bCs/>
          <w:color w:val="000000"/>
          <w:spacing w:val="0"/>
        </w:rPr>
        <w:t>——</w:t>
      </w:r>
      <w:r>
        <w:rPr>
          <w:rFonts w:hint="eastAsia"/>
          <w:bCs/>
          <w:color w:val="000000"/>
        </w:rPr>
        <w:t>每月</w:t>
      </w:r>
      <w:r>
        <w:rPr>
          <w:rFonts w:hint="eastAsia"/>
          <w:bCs/>
          <w:color w:val="000000"/>
        </w:rPr>
        <w:t>2</w:t>
      </w:r>
      <w:r>
        <w:rPr>
          <w:rFonts w:hint="eastAsia"/>
          <w:bCs/>
          <w:color w:val="000000"/>
        </w:rPr>
        <w:t>美元。</w:t>
      </w:r>
    </w:p>
    <w:p w:rsidR="00692915" w:rsidRDefault="00692915" w:rsidP="009A1C1B">
      <w:pPr>
        <w:tabs>
          <w:tab w:val="left" w:pos="1170"/>
        </w:tabs>
        <w:ind w:firstLine="31680"/>
        <w:rPr>
          <w:rFonts w:hint="eastAsia"/>
          <w:bCs/>
          <w:color w:val="000000"/>
        </w:rPr>
      </w:pPr>
      <w:r>
        <w:rPr>
          <w:color w:val="000000"/>
        </w:rPr>
        <w:t>632.</w:t>
      </w:r>
      <w:r>
        <w:rPr>
          <w:rFonts w:hint="eastAsia"/>
          <w:bCs/>
          <w:color w:val="000000"/>
        </w:rPr>
        <w:t xml:space="preserve"> </w:t>
      </w:r>
      <w:r>
        <w:rPr>
          <w:rFonts w:hint="eastAsia"/>
          <w:bCs/>
          <w:color w:val="000000"/>
        </w:rPr>
        <w:t>这样，自</w:t>
      </w:r>
      <w:r>
        <w:rPr>
          <w:rFonts w:hint="eastAsia"/>
          <w:bCs/>
          <w:color w:val="000000"/>
        </w:rPr>
        <w:t>2005</w:t>
      </w:r>
      <w:r>
        <w:rPr>
          <w:rFonts w:hint="eastAsia"/>
          <w:bCs/>
          <w:color w:val="000000"/>
        </w:rPr>
        <w:t>年以来，帝力地区各级学校，以及其余</w:t>
      </w:r>
      <w:r>
        <w:rPr>
          <w:rFonts w:hint="eastAsia"/>
          <w:bCs/>
          <w:color w:val="000000"/>
        </w:rPr>
        <w:t>12</w:t>
      </w:r>
      <w:r>
        <w:rPr>
          <w:rFonts w:hint="eastAsia"/>
          <w:bCs/>
          <w:color w:val="000000"/>
        </w:rPr>
        <w:t>个地区所有小学的学费都暂时免收了。</w:t>
      </w:r>
      <w:r>
        <w:rPr>
          <w:rStyle w:val="FootnoteReference"/>
          <w:bCs/>
          <w:color w:val="000000"/>
        </w:rPr>
        <w:footnoteReference w:id="331"/>
      </w:r>
      <w:r>
        <w:rPr>
          <w:rFonts w:hint="eastAsia"/>
          <w:bCs/>
          <w:color w:val="000000"/>
        </w:rPr>
        <w:t>已做出决定，要将这种情况至少维持到</w:t>
      </w:r>
      <w:r>
        <w:rPr>
          <w:bCs/>
          <w:color w:val="000000"/>
        </w:rPr>
        <w:t>2006/2007</w:t>
      </w:r>
      <w:r>
        <w:rPr>
          <w:rFonts w:hint="eastAsia"/>
          <w:bCs/>
          <w:color w:val="000000"/>
        </w:rPr>
        <w:t>学年结束后。预计这将会大大推进东帝汶的学校入学水平。</w:t>
      </w:r>
    </w:p>
    <w:p w:rsidR="00692915" w:rsidRDefault="00692915" w:rsidP="009A1C1B">
      <w:pPr>
        <w:tabs>
          <w:tab w:val="left" w:pos="1170"/>
        </w:tabs>
        <w:ind w:firstLine="31680"/>
        <w:rPr>
          <w:rFonts w:hint="eastAsia"/>
          <w:bCs/>
          <w:color w:val="000000"/>
        </w:rPr>
      </w:pPr>
      <w:r>
        <w:rPr>
          <w:bCs/>
          <w:color w:val="000000"/>
        </w:rPr>
        <w:t>633.</w:t>
      </w:r>
      <w:r>
        <w:rPr>
          <w:rFonts w:hint="eastAsia"/>
          <w:bCs/>
          <w:color w:val="000000"/>
        </w:rPr>
        <w:t xml:space="preserve"> </w:t>
      </w:r>
      <w:r>
        <w:rPr>
          <w:rFonts w:hint="eastAsia"/>
          <w:bCs/>
          <w:color w:val="000000"/>
        </w:rPr>
        <w:t>文化水平低，以及令人头疼的葡萄牙殖民化后遗症</w:t>
      </w:r>
      <w:r>
        <w:rPr>
          <w:rStyle w:val="FootnoteReference"/>
          <w:bCs/>
          <w:color w:val="000000"/>
        </w:rPr>
        <w:footnoteReference w:id="332"/>
      </w:r>
      <w:r>
        <w:rPr>
          <w:rFonts w:hint="eastAsia"/>
          <w:bCs/>
          <w:color w:val="000000"/>
        </w:rPr>
        <w:t>是另一个严重障碍，它们不利于政府加速采取措施，纠正教育水平差的问题。基本的衡量标准就是读写能力。</w:t>
      </w:r>
      <w:r>
        <w:rPr>
          <w:rFonts w:hint="eastAsia"/>
          <w:bCs/>
          <w:color w:val="000000"/>
        </w:rPr>
        <w:t>2004</w:t>
      </w:r>
      <w:r>
        <w:rPr>
          <w:rFonts w:hint="eastAsia"/>
          <w:bCs/>
          <w:color w:val="000000"/>
        </w:rPr>
        <w:t>年人口普查的结果显示，在年龄至少为</w:t>
      </w:r>
      <w:r>
        <w:rPr>
          <w:rFonts w:hint="eastAsia"/>
          <w:bCs/>
          <w:color w:val="000000"/>
        </w:rPr>
        <w:t>15</w:t>
      </w:r>
      <w:r>
        <w:rPr>
          <w:rFonts w:hint="eastAsia"/>
          <w:bCs/>
          <w:color w:val="000000"/>
        </w:rPr>
        <w:t>岁的人群中，有读写能力的人占</w:t>
      </w:r>
      <w:r>
        <w:rPr>
          <w:bCs/>
          <w:color w:val="000000"/>
        </w:rPr>
        <w:t>49.9</w:t>
      </w:r>
      <w:r>
        <w:rPr>
          <w:rFonts w:hint="eastAsia"/>
          <w:bCs/>
          <w:color w:val="000000"/>
        </w:rPr>
        <w:t>%</w:t>
      </w:r>
      <w:r>
        <w:rPr>
          <w:rFonts w:hint="eastAsia"/>
          <w:bCs/>
          <w:color w:val="000000"/>
        </w:rPr>
        <w:t>，这一比率随着年龄的增长而下降（</w:t>
      </w:r>
      <w:r>
        <w:rPr>
          <w:rFonts w:hint="eastAsia"/>
          <w:bCs/>
          <w:color w:val="000000"/>
        </w:rPr>
        <w:t>35-44</w:t>
      </w:r>
      <w:r>
        <w:rPr>
          <w:rFonts w:hint="eastAsia"/>
          <w:bCs/>
          <w:color w:val="000000"/>
        </w:rPr>
        <w:t>岁为</w:t>
      </w:r>
      <w:r>
        <w:rPr>
          <w:rFonts w:hint="eastAsia"/>
          <w:bCs/>
          <w:color w:val="000000"/>
        </w:rPr>
        <w:t>41%</w:t>
      </w:r>
      <w:r>
        <w:rPr>
          <w:rFonts w:hint="eastAsia"/>
          <w:bCs/>
          <w:color w:val="000000"/>
        </w:rPr>
        <w:t>，</w:t>
      </w:r>
      <w:r>
        <w:rPr>
          <w:rFonts w:hint="eastAsia"/>
          <w:bCs/>
          <w:color w:val="000000"/>
        </w:rPr>
        <w:t>45-54</w:t>
      </w:r>
      <w:r>
        <w:rPr>
          <w:rFonts w:hint="eastAsia"/>
          <w:bCs/>
          <w:color w:val="000000"/>
        </w:rPr>
        <w:t>岁为</w:t>
      </w:r>
      <w:r>
        <w:rPr>
          <w:rFonts w:hint="eastAsia"/>
          <w:bCs/>
          <w:color w:val="000000"/>
        </w:rPr>
        <w:t>24%</w:t>
      </w:r>
      <w:r>
        <w:rPr>
          <w:rFonts w:hint="eastAsia"/>
          <w:bCs/>
          <w:color w:val="000000"/>
        </w:rPr>
        <w:t>，</w:t>
      </w:r>
      <w:r>
        <w:rPr>
          <w:rFonts w:hint="eastAsia"/>
          <w:bCs/>
          <w:color w:val="000000"/>
        </w:rPr>
        <w:t>55</w:t>
      </w:r>
      <w:r>
        <w:rPr>
          <w:rFonts w:hint="eastAsia"/>
          <w:bCs/>
          <w:color w:val="000000"/>
        </w:rPr>
        <w:t>岁及</w:t>
      </w:r>
      <w:r>
        <w:rPr>
          <w:rFonts w:hint="eastAsia"/>
          <w:bCs/>
          <w:color w:val="000000"/>
        </w:rPr>
        <w:t>55</w:t>
      </w:r>
      <w:r>
        <w:rPr>
          <w:rFonts w:hint="eastAsia"/>
          <w:bCs/>
          <w:color w:val="000000"/>
        </w:rPr>
        <w:t>岁以上的人群只有</w:t>
      </w:r>
      <w:r>
        <w:rPr>
          <w:rFonts w:hint="eastAsia"/>
          <w:bCs/>
          <w:color w:val="000000"/>
        </w:rPr>
        <w:t>7%</w:t>
      </w:r>
      <w:r>
        <w:rPr>
          <w:rFonts w:hint="eastAsia"/>
          <w:bCs/>
          <w:color w:val="000000"/>
        </w:rPr>
        <w:t>）。女性文化水平比男性低，在</w:t>
      </w:r>
      <w:r>
        <w:rPr>
          <w:rFonts w:hint="eastAsia"/>
          <w:bCs/>
          <w:color w:val="000000"/>
        </w:rPr>
        <w:t>30</w:t>
      </w:r>
      <w:r>
        <w:rPr>
          <w:rFonts w:hint="eastAsia"/>
          <w:bCs/>
          <w:color w:val="000000"/>
        </w:rPr>
        <w:t>岁及</w:t>
      </w:r>
      <w:r>
        <w:rPr>
          <w:rFonts w:hint="eastAsia"/>
          <w:bCs/>
          <w:color w:val="000000"/>
        </w:rPr>
        <w:t>30</w:t>
      </w:r>
      <w:r>
        <w:rPr>
          <w:rFonts w:hint="eastAsia"/>
          <w:bCs/>
          <w:color w:val="000000"/>
        </w:rPr>
        <w:t>岁以上的人群中，这种差异最大。高地和农村地区，以及较贫困家庭中的识字水平也较低。文盲情况很普遍，在农村地区尤其突出，这给各种旨在减贫和培养劳动力技能的方案带来了极大挑战。</w:t>
      </w:r>
    </w:p>
    <w:p w:rsidR="00692915" w:rsidRDefault="00692915" w:rsidP="009A1C1B">
      <w:pPr>
        <w:tabs>
          <w:tab w:val="left" w:pos="1170"/>
        </w:tabs>
        <w:ind w:firstLine="31680"/>
        <w:rPr>
          <w:rFonts w:hint="eastAsia"/>
          <w:bCs/>
          <w:color w:val="000000"/>
        </w:rPr>
      </w:pPr>
      <w:r>
        <w:rPr>
          <w:bCs/>
          <w:color w:val="000000"/>
        </w:rPr>
        <w:t>634.</w:t>
      </w:r>
      <w:r>
        <w:rPr>
          <w:rFonts w:hint="eastAsia"/>
          <w:bCs/>
          <w:color w:val="000000"/>
        </w:rPr>
        <w:t xml:space="preserve"> </w:t>
      </w:r>
      <w:r>
        <w:rPr>
          <w:rFonts w:hint="eastAsia"/>
          <w:bCs/>
          <w:color w:val="000000"/>
        </w:rPr>
        <w:t>入学晚、留级率（</w:t>
      </w:r>
      <w:r>
        <w:rPr>
          <w:rFonts w:hint="eastAsia"/>
          <w:bCs/>
          <w:color w:val="000000"/>
        </w:rPr>
        <w:t>20%</w:t>
      </w:r>
      <w:r>
        <w:rPr>
          <w:rFonts w:hint="eastAsia"/>
          <w:bCs/>
          <w:color w:val="000000"/>
        </w:rPr>
        <w:t>）和辍学率（</w:t>
      </w:r>
      <w:r>
        <w:rPr>
          <w:rFonts w:hint="eastAsia"/>
          <w:bCs/>
          <w:color w:val="000000"/>
        </w:rPr>
        <w:t>10%</w:t>
      </w:r>
      <w:r>
        <w:rPr>
          <w:rFonts w:hint="eastAsia"/>
          <w:bCs/>
          <w:color w:val="000000"/>
        </w:rPr>
        <w:t>）高以及教师和学生的缺勤影响了教育的效率。按照政府的规定，基础教育包括前</w:t>
      </w:r>
      <w:r>
        <w:rPr>
          <w:rFonts w:hint="eastAsia"/>
          <w:bCs/>
          <w:color w:val="000000"/>
        </w:rPr>
        <w:t>9</w:t>
      </w:r>
      <w:r>
        <w:rPr>
          <w:rFonts w:hint="eastAsia"/>
          <w:bCs/>
          <w:color w:val="000000"/>
        </w:rPr>
        <w:t>年的学校教育，即：小学和初中教育。假设儿童</w:t>
      </w:r>
      <w:r>
        <w:rPr>
          <w:rFonts w:hint="eastAsia"/>
          <w:bCs/>
          <w:color w:val="000000"/>
        </w:rPr>
        <w:t>6</w:t>
      </w:r>
      <w:r>
        <w:rPr>
          <w:rFonts w:hint="eastAsia"/>
          <w:bCs/>
          <w:color w:val="000000"/>
        </w:rPr>
        <w:t>岁入学，那么直到</w:t>
      </w:r>
      <w:r>
        <w:rPr>
          <w:rFonts w:hint="eastAsia"/>
          <w:bCs/>
          <w:color w:val="000000"/>
        </w:rPr>
        <w:t>15</w:t>
      </w:r>
      <w:r>
        <w:rPr>
          <w:rFonts w:hint="eastAsia"/>
          <w:bCs/>
          <w:color w:val="000000"/>
        </w:rPr>
        <w:t>岁才能完成基础教育。在入学晚、留级率和辍学率高的情况下，这根本不切合实际。如果将所有因素考虑在内，升入六年级并毕业的儿童似乎不足</w:t>
      </w:r>
      <w:r>
        <w:rPr>
          <w:rFonts w:hint="eastAsia"/>
          <w:bCs/>
          <w:color w:val="000000"/>
        </w:rPr>
        <w:t>50%</w:t>
      </w:r>
      <w:r>
        <w:rPr>
          <w:rFonts w:hint="eastAsia"/>
          <w:bCs/>
          <w:color w:val="000000"/>
        </w:rPr>
        <w:t>。</w:t>
      </w:r>
      <w:r>
        <w:rPr>
          <w:rStyle w:val="FootnoteReference"/>
          <w:bCs/>
          <w:color w:val="000000"/>
        </w:rPr>
        <w:footnoteReference w:id="333"/>
      </w:r>
    </w:p>
    <w:p w:rsidR="00692915" w:rsidRDefault="00692915" w:rsidP="009A1C1B">
      <w:pPr>
        <w:tabs>
          <w:tab w:val="left" w:pos="1170"/>
        </w:tabs>
        <w:ind w:firstLine="31680"/>
        <w:rPr>
          <w:rFonts w:hint="eastAsia"/>
          <w:bCs/>
          <w:color w:val="000000"/>
        </w:rPr>
      </w:pPr>
      <w:r>
        <w:rPr>
          <w:bCs/>
          <w:color w:val="000000"/>
        </w:rPr>
        <w:t>635.</w:t>
      </w:r>
      <w:r>
        <w:rPr>
          <w:rFonts w:hint="eastAsia"/>
          <w:bCs/>
          <w:color w:val="000000"/>
        </w:rPr>
        <w:t xml:space="preserve"> </w:t>
      </w:r>
      <w:r>
        <w:rPr>
          <w:rFonts w:hint="eastAsia"/>
          <w:bCs/>
          <w:color w:val="000000"/>
        </w:rPr>
        <w:t>还需要改进教育质量。成绩测试显示，初等教育质量低下，在数学方面尤其突出。</w:t>
      </w:r>
      <w:r>
        <w:rPr>
          <w:rStyle w:val="FootnoteReference"/>
          <w:bCs/>
          <w:color w:val="000000"/>
        </w:rPr>
        <w:footnoteReference w:id="334"/>
      </w:r>
      <w:r>
        <w:rPr>
          <w:rFonts w:hint="eastAsia"/>
          <w:bCs/>
          <w:color w:val="000000"/>
        </w:rPr>
        <w:t>尽管学生</w:t>
      </w:r>
      <w:r>
        <w:rPr>
          <w:rFonts w:hint="eastAsia"/>
          <w:bCs/>
          <w:color w:val="000000"/>
        </w:rPr>
        <w:t>/</w:t>
      </w:r>
      <w:r>
        <w:rPr>
          <w:rFonts w:hint="eastAsia"/>
          <w:bCs/>
          <w:color w:val="000000"/>
        </w:rPr>
        <w:t>教师比下降了，但水平仍然很高，教师素质参差不齐，对官方语言（葡萄牙语）教学不熟悉。葡萄牙语正被逐渐引入学校系统：</w:t>
      </w:r>
      <w:r>
        <w:rPr>
          <w:rFonts w:hint="eastAsia"/>
          <w:bCs/>
          <w:color w:val="000000"/>
        </w:rPr>
        <w:t>2000</w:t>
      </w:r>
      <w:r>
        <w:rPr>
          <w:rFonts w:hint="eastAsia"/>
          <w:bCs/>
          <w:color w:val="000000"/>
        </w:rPr>
        <w:t>年在一年级和二年级引进，并自此以后每年向更高的一个年级引进，到</w:t>
      </w:r>
      <w:r>
        <w:rPr>
          <w:bCs/>
          <w:color w:val="000000"/>
        </w:rPr>
        <w:t>2003/</w:t>
      </w:r>
      <w:r>
        <w:rPr>
          <w:rFonts w:hint="eastAsia"/>
          <w:bCs/>
          <w:color w:val="000000"/>
        </w:rPr>
        <w:t>20</w:t>
      </w:r>
      <w:r>
        <w:rPr>
          <w:bCs/>
          <w:color w:val="000000"/>
        </w:rPr>
        <w:t>04</w:t>
      </w:r>
      <w:r>
        <w:rPr>
          <w:rFonts w:hint="eastAsia"/>
          <w:bCs/>
          <w:color w:val="000000"/>
        </w:rPr>
        <w:t>学年在五年级引进。在那些已经引进葡萄牙语的年级，已不再使用印度尼西亚语教材，但却没有足够的葡萄牙语书籍来作为替代。无论是教师还是学生，对语言的理解都有困难，但在上课时，教师可以采用德顿语向学生解释。</w:t>
      </w:r>
    </w:p>
    <w:p w:rsidR="00692915" w:rsidRDefault="00692915" w:rsidP="009A1C1B">
      <w:pPr>
        <w:tabs>
          <w:tab w:val="left" w:pos="1170"/>
        </w:tabs>
        <w:ind w:firstLine="31680"/>
        <w:rPr>
          <w:rFonts w:hint="eastAsia"/>
          <w:bCs/>
          <w:color w:val="000000"/>
        </w:rPr>
      </w:pPr>
      <w:r>
        <w:rPr>
          <w:bCs/>
          <w:color w:val="000000"/>
        </w:rPr>
        <w:t>636.</w:t>
      </w:r>
      <w:r>
        <w:rPr>
          <w:rFonts w:hint="eastAsia"/>
          <w:bCs/>
          <w:color w:val="000000"/>
        </w:rPr>
        <w:t xml:space="preserve"> </w:t>
      </w:r>
      <w:r>
        <w:rPr>
          <w:rFonts w:hint="eastAsia"/>
          <w:bCs/>
          <w:color w:val="000000"/>
        </w:rPr>
        <w:t>为提高教育质量，已经建立了家长</w:t>
      </w:r>
      <w:r>
        <w:rPr>
          <w:rFonts w:ascii="SimHei" w:eastAsia="SimHei" w:hint="eastAsia"/>
          <w:bCs/>
          <w:color w:val="000000"/>
          <w:spacing w:val="0"/>
        </w:rPr>
        <w:t>——</w:t>
      </w:r>
      <w:r>
        <w:rPr>
          <w:rFonts w:hint="eastAsia"/>
          <w:bCs/>
          <w:color w:val="000000"/>
        </w:rPr>
        <w:t>教师协会和校本管理培训方案。对该方案进行的评估显示，在采用这一模式的学校中，教学效果得到了改善，地方社区也做出了更大的努力。</w:t>
      </w:r>
      <w:r>
        <w:rPr>
          <w:rStyle w:val="FootnoteReference"/>
          <w:bCs/>
          <w:color w:val="000000"/>
        </w:rPr>
        <w:footnoteReference w:id="335"/>
      </w:r>
      <w:r>
        <w:rPr>
          <w:rFonts w:hint="eastAsia"/>
          <w:bCs/>
          <w:color w:val="000000"/>
        </w:rPr>
        <w:t>尽管采取了这些积极措施来提高教育质量，但仍然有必要加强教学队伍，为学校提供受教育程度更高、受教育更正规、地区分布更均衡和更有教学经验的教师。学习材料和学校设施的严重不足加剧了这些问题，只有不断恢复、改进和建设更多的学校，提供更多的学生场所，大力改善教学材料、图书馆和实验室的状况，才能使这些问题得到解决。以下将详细阐述政府就这些活动所提出的建议。</w:t>
      </w:r>
      <w:r>
        <w:rPr>
          <w:rFonts w:hint="eastAsia"/>
          <w:bCs/>
          <w:color w:val="000000"/>
        </w:rPr>
        <w:t xml:space="preserve"> </w:t>
      </w:r>
    </w:p>
    <w:p w:rsidR="00692915" w:rsidRDefault="00692915" w:rsidP="009A1C1B">
      <w:pPr>
        <w:tabs>
          <w:tab w:val="left" w:pos="1170"/>
        </w:tabs>
        <w:ind w:firstLine="31680"/>
        <w:rPr>
          <w:rFonts w:hint="eastAsia"/>
          <w:bCs/>
          <w:color w:val="000000"/>
        </w:rPr>
      </w:pPr>
      <w:r>
        <w:rPr>
          <w:bCs/>
          <w:color w:val="000000"/>
        </w:rPr>
        <w:t>637.</w:t>
      </w:r>
      <w:r>
        <w:rPr>
          <w:rFonts w:hint="eastAsia"/>
          <w:bCs/>
          <w:color w:val="000000"/>
        </w:rPr>
        <w:t xml:space="preserve"> </w:t>
      </w:r>
      <w:r>
        <w:rPr>
          <w:rFonts w:hint="eastAsia"/>
          <w:bCs/>
          <w:color w:val="000000"/>
        </w:rPr>
        <w:t>东帝汶小学教育入学的性别比较均衡，男孩和女孩的入学比例为</w:t>
      </w:r>
      <w:r>
        <w:rPr>
          <w:bCs/>
          <w:color w:val="000000"/>
        </w:rPr>
        <w:t>50/50</w:t>
      </w:r>
      <w:r>
        <w:rPr>
          <w:rFonts w:hint="eastAsia"/>
          <w:bCs/>
          <w:color w:val="000000"/>
        </w:rPr>
        <w:t>。</w:t>
      </w:r>
      <w:r>
        <w:rPr>
          <w:rStyle w:val="FootnoteReference"/>
          <w:bCs/>
          <w:color w:val="000000"/>
        </w:rPr>
        <w:footnoteReference w:id="336"/>
      </w:r>
      <w:r>
        <w:rPr>
          <w:rFonts w:hint="eastAsia"/>
          <w:bCs/>
          <w:color w:val="000000"/>
        </w:rPr>
        <w:t>在较高级别的教育体系中，女孩入学水平急剧下降。根据观察，在成人扫盲方案中，尽管方案组织者有意识做出努力让更多的女性参加，以解决妇女文盲率较高的问题，但是女性入学率还是远远低于男性。</w:t>
      </w:r>
    </w:p>
    <w:p w:rsidR="00692915" w:rsidRDefault="00692915" w:rsidP="009A1C1B">
      <w:pPr>
        <w:tabs>
          <w:tab w:val="left" w:pos="1170"/>
        </w:tabs>
        <w:ind w:firstLine="31680"/>
        <w:rPr>
          <w:rFonts w:hint="eastAsia"/>
          <w:bCs/>
          <w:color w:val="000000"/>
        </w:rPr>
      </w:pPr>
      <w:r>
        <w:rPr>
          <w:bCs/>
          <w:color w:val="000000"/>
        </w:rPr>
        <w:t>638.</w:t>
      </w:r>
      <w:r>
        <w:rPr>
          <w:bCs/>
          <w:color w:val="000000"/>
        </w:rPr>
        <w:tab/>
      </w:r>
      <w:r>
        <w:rPr>
          <w:rFonts w:hint="eastAsia"/>
          <w:bCs/>
          <w:color w:val="000000"/>
        </w:rPr>
        <w:t>在学校教育中，女性入学率较低的原因有很多，其中大多数都与社会文化有关，例如：对于妇女和女孩在家庭和社会中的角色问题，人们的观念还很传统和陈旧。</w:t>
      </w:r>
      <w:r>
        <w:rPr>
          <w:rStyle w:val="FootnoteReference"/>
          <w:bCs/>
          <w:color w:val="000000"/>
        </w:rPr>
        <w:footnoteReference w:id="337"/>
      </w:r>
      <w:r>
        <w:rPr>
          <w:rFonts w:hint="eastAsia"/>
          <w:bCs/>
          <w:color w:val="000000"/>
        </w:rPr>
        <w:t>当然，正如</w:t>
      </w:r>
      <w:r>
        <w:rPr>
          <w:bCs/>
          <w:color w:val="000000"/>
        </w:rPr>
        <w:t>儿童基金会</w:t>
      </w:r>
      <w:r>
        <w:rPr>
          <w:rFonts w:hint="eastAsia"/>
          <w:bCs/>
          <w:color w:val="000000"/>
        </w:rPr>
        <w:t>最近的一份报告所显示的那样，尽管这并不是结论性的观点：</w:t>
      </w:r>
      <w:r>
        <w:rPr>
          <w:rStyle w:val="FootnoteReference"/>
          <w:bCs/>
          <w:color w:val="000000"/>
        </w:rPr>
        <w:footnoteReference w:id="338"/>
      </w:r>
    </w:p>
    <w:p w:rsidR="00692915" w:rsidRDefault="00692915" w:rsidP="009A1C1B">
      <w:pPr>
        <w:pStyle w:val="BodyTextIndent2"/>
        <w:tabs>
          <w:tab w:val="left" w:pos="1170"/>
        </w:tabs>
        <w:ind w:firstLine="31680"/>
        <w:rPr>
          <w:rFonts w:hint="eastAsia"/>
          <w:color w:val="000000"/>
          <w:lang w:eastAsia="zh-CN"/>
        </w:rPr>
      </w:pPr>
      <w:r>
        <w:rPr>
          <w:rFonts w:hint="eastAsia"/>
          <w:color w:val="000000"/>
          <w:lang w:eastAsia="zh-CN"/>
        </w:rPr>
        <w:t xml:space="preserve"> </w:t>
      </w:r>
      <w:r>
        <w:rPr>
          <w:rFonts w:hint="eastAsia"/>
          <w:color w:val="000000"/>
          <w:lang w:eastAsia="zh-CN"/>
        </w:rPr>
        <w:t>“结果显示的差异很大，父母不让男孩上学的情况要比不让女孩上学的情况更常见。这一发现令人意外，因为东帝汶人通常报告说不让女孩上学的情况比不让男孩上学的情况更多。”</w:t>
      </w:r>
    </w:p>
    <w:p w:rsidR="00692915" w:rsidRDefault="00692915" w:rsidP="009A1C1B">
      <w:pPr>
        <w:tabs>
          <w:tab w:val="left" w:pos="1170"/>
        </w:tabs>
        <w:ind w:firstLine="31680"/>
        <w:rPr>
          <w:rFonts w:hint="eastAsia"/>
          <w:bCs/>
          <w:color w:val="000000"/>
        </w:rPr>
      </w:pPr>
      <w:r>
        <w:rPr>
          <w:color w:val="000000"/>
        </w:rPr>
        <w:t>639.</w:t>
      </w:r>
      <w:r>
        <w:rPr>
          <w:color w:val="000000"/>
        </w:rPr>
        <w:tab/>
      </w:r>
      <w:r>
        <w:rPr>
          <w:rFonts w:hint="eastAsia"/>
          <w:bCs/>
          <w:color w:val="000000"/>
        </w:rPr>
        <w:t>东帝汶人口生育率非常高，人口每年以</w:t>
      </w:r>
      <w:r>
        <w:rPr>
          <w:rFonts w:hint="eastAsia"/>
          <w:bCs/>
          <w:color w:val="000000"/>
        </w:rPr>
        <w:t>3%</w:t>
      </w:r>
      <w:r>
        <w:rPr>
          <w:rFonts w:hint="eastAsia"/>
          <w:bCs/>
          <w:color w:val="000000"/>
        </w:rPr>
        <w:t>或以上的速度增长。因此在未来</w:t>
      </w:r>
      <w:r>
        <w:rPr>
          <w:rFonts w:hint="eastAsia"/>
          <w:bCs/>
          <w:color w:val="000000"/>
        </w:rPr>
        <w:t>10</w:t>
      </w:r>
      <w:r>
        <w:rPr>
          <w:rFonts w:hint="eastAsia"/>
          <w:bCs/>
          <w:color w:val="000000"/>
        </w:rPr>
        <w:t>年或更长的期间内，教育系统将面临着更大的压力。从总体来说，为解决这些问题，需要制定并实施一项着眼于后代的教育战略。在这样一个新兴的国家中，减贫是发展战略的核心。国际经验明确显示，提高教育水平是减贫战略的关键。因此，提高东帝汶人的教育地位是政府的高度优先事项，同时还应提高保健水平，创造更多的就业机会。</w:t>
      </w:r>
    </w:p>
    <w:p w:rsidR="00692915" w:rsidRDefault="00692915" w:rsidP="009A1C1B">
      <w:pPr>
        <w:tabs>
          <w:tab w:val="left" w:pos="1170"/>
        </w:tabs>
        <w:spacing w:after="240"/>
        <w:ind w:firstLine="31680"/>
        <w:rPr>
          <w:rFonts w:hint="eastAsia"/>
          <w:bCs/>
          <w:color w:val="000000"/>
        </w:rPr>
      </w:pPr>
      <w:r>
        <w:rPr>
          <w:bCs/>
          <w:color w:val="000000"/>
        </w:rPr>
        <w:t xml:space="preserve">640. </w:t>
      </w:r>
      <w:r>
        <w:rPr>
          <w:rFonts w:hint="eastAsia"/>
          <w:bCs/>
          <w:color w:val="000000"/>
        </w:rPr>
        <w:t>从中期来说，最重要的优先事项仍然是小学和初中教育，这是长期目标（即：向所有儿童提供</w:t>
      </w:r>
      <w:r>
        <w:rPr>
          <w:rFonts w:hint="eastAsia"/>
          <w:bCs/>
          <w:color w:val="000000"/>
        </w:rPr>
        <w:t>9</w:t>
      </w:r>
      <w:r>
        <w:rPr>
          <w:rFonts w:hint="eastAsia"/>
          <w:bCs/>
          <w:color w:val="000000"/>
        </w:rPr>
        <w:t>年基础教育）的一部分。由于在东帝汶仍然有</w:t>
      </w:r>
      <w:r>
        <w:rPr>
          <w:bCs/>
          <w:color w:val="000000"/>
        </w:rPr>
        <w:t>87</w:t>
      </w:r>
      <w:r>
        <w:rPr>
          <w:rFonts w:hint="eastAsia"/>
          <w:bCs/>
          <w:color w:val="000000"/>
        </w:rPr>
        <w:t xml:space="preserve"> </w:t>
      </w:r>
      <w:r>
        <w:rPr>
          <w:bCs/>
          <w:color w:val="000000"/>
        </w:rPr>
        <w:t>000</w:t>
      </w:r>
      <w:r>
        <w:rPr>
          <w:rFonts w:hint="eastAsia"/>
          <w:bCs/>
          <w:color w:val="000000"/>
        </w:rPr>
        <w:t>名</w:t>
      </w:r>
      <w:r>
        <w:rPr>
          <w:rFonts w:hint="eastAsia"/>
          <w:bCs/>
          <w:color w:val="000000"/>
        </w:rPr>
        <w:t>6-14</w:t>
      </w:r>
      <w:r>
        <w:rPr>
          <w:rFonts w:hint="eastAsia"/>
          <w:bCs/>
          <w:color w:val="000000"/>
        </w:rPr>
        <w:t>岁的儿童被排除在学校系统之外，因此中期需要特别关注的问题是：提高这些儿童接受基础教育的水平，通过教师培训、课程开发、教学材料和相关课程的改进、内部效率的提高来提高教育质量。</w:t>
      </w:r>
    </w:p>
    <w:p w:rsidR="00692915" w:rsidRDefault="00692915">
      <w:pPr>
        <w:pStyle w:val="Heading3"/>
        <w:tabs>
          <w:tab w:val="left" w:pos="1170"/>
        </w:tabs>
        <w:jc w:val="both"/>
        <w:rPr>
          <w:rFonts w:eastAsia="KaiTi_GB2312" w:hint="eastAsia"/>
          <w:color w:val="000000"/>
          <w:u w:val="none"/>
        </w:rPr>
      </w:pPr>
      <w:r>
        <w:rPr>
          <w:rFonts w:eastAsia="KaiTi_GB2312" w:hint="eastAsia"/>
          <w:color w:val="000000"/>
          <w:u w:val="none"/>
        </w:rPr>
        <w:t>教育政策框架</w:t>
      </w:r>
    </w:p>
    <w:p w:rsidR="00692915" w:rsidRDefault="00692915" w:rsidP="009A1C1B">
      <w:pPr>
        <w:tabs>
          <w:tab w:val="left" w:pos="1170"/>
        </w:tabs>
        <w:ind w:firstLine="31680"/>
        <w:rPr>
          <w:rFonts w:hint="eastAsia"/>
          <w:bCs/>
          <w:color w:val="000000"/>
        </w:rPr>
      </w:pPr>
      <w:r>
        <w:rPr>
          <w:color w:val="000000"/>
        </w:rPr>
        <w:t>641.</w:t>
      </w:r>
      <w:r>
        <w:rPr>
          <w:color w:val="000000"/>
        </w:rPr>
        <w:tab/>
      </w:r>
      <w:r>
        <w:rPr>
          <w:rFonts w:hint="eastAsia"/>
          <w:color w:val="000000"/>
        </w:rPr>
        <w:t>《</w:t>
      </w:r>
      <w:r>
        <w:rPr>
          <w:rFonts w:hint="eastAsia"/>
          <w:bCs/>
          <w:color w:val="000000"/>
        </w:rPr>
        <w:t>国家发展计划》为正规教育体制所确定的主要目的为：</w:t>
      </w:r>
    </w:p>
    <w:p w:rsidR="00692915" w:rsidRDefault="00692915" w:rsidP="009A1C1B">
      <w:pPr>
        <w:numPr>
          <w:ilvl w:val="0"/>
          <w:numId w:val="6"/>
        </w:numPr>
        <w:tabs>
          <w:tab w:val="clear" w:pos="927"/>
          <w:tab w:val="left" w:pos="1690"/>
        </w:tabs>
        <w:ind w:leftChars="450" w:left="31680" w:hangingChars="200" w:firstLine="31680"/>
        <w:rPr>
          <w:bCs/>
          <w:color w:val="000000"/>
        </w:rPr>
      </w:pPr>
      <w:r>
        <w:rPr>
          <w:rFonts w:hint="eastAsia"/>
          <w:bCs/>
          <w:color w:val="000000"/>
        </w:rPr>
        <w:t>进一步为全民接受教育提供方便，在每个乡至少建立一所小学；</w:t>
      </w:r>
    </w:p>
    <w:p w:rsidR="00692915" w:rsidRDefault="00692915" w:rsidP="009A1C1B">
      <w:pPr>
        <w:numPr>
          <w:ilvl w:val="0"/>
          <w:numId w:val="6"/>
        </w:numPr>
        <w:tabs>
          <w:tab w:val="clear" w:pos="927"/>
          <w:tab w:val="left" w:pos="1690"/>
        </w:tabs>
        <w:ind w:leftChars="450" w:left="31680" w:hangingChars="200" w:firstLine="31680"/>
        <w:rPr>
          <w:bCs/>
          <w:color w:val="000000"/>
        </w:rPr>
      </w:pPr>
      <w:r>
        <w:rPr>
          <w:rFonts w:hint="eastAsia"/>
          <w:bCs/>
          <w:color w:val="000000"/>
        </w:rPr>
        <w:t>提高教学质量；</w:t>
      </w:r>
    </w:p>
    <w:p w:rsidR="00692915" w:rsidRDefault="00692915" w:rsidP="009A1C1B">
      <w:pPr>
        <w:numPr>
          <w:ilvl w:val="0"/>
          <w:numId w:val="6"/>
        </w:numPr>
        <w:tabs>
          <w:tab w:val="clear" w:pos="927"/>
          <w:tab w:val="left" w:pos="1690"/>
        </w:tabs>
        <w:ind w:leftChars="450" w:left="31680" w:hangingChars="200" w:firstLine="31680"/>
        <w:rPr>
          <w:bCs/>
          <w:color w:val="000000"/>
        </w:rPr>
      </w:pPr>
      <w:r>
        <w:rPr>
          <w:rFonts w:hint="eastAsia"/>
          <w:bCs/>
          <w:color w:val="000000"/>
        </w:rPr>
        <w:t>提高学校毕业率和续读率；</w:t>
      </w:r>
    </w:p>
    <w:p w:rsidR="00692915" w:rsidRDefault="00692915" w:rsidP="009A1C1B">
      <w:pPr>
        <w:numPr>
          <w:ilvl w:val="0"/>
          <w:numId w:val="6"/>
        </w:numPr>
        <w:tabs>
          <w:tab w:val="clear" w:pos="927"/>
          <w:tab w:val="left" w:pos="1690"/>
        </w:tabs>
        <w:ind w:leftChars="450" w:left="31680" w:hangingChars="200" w:firstLine="31680"/>
        <w:rPr>
          <w:bCs/>
          <w:color w:val="000000"/>
        </w:rPr>
      </w:pPr>
      <w:r>
        <w:rPr>
          <w:rFonts w:hint="eastAsia"/>
          <w:bCs/>
          <w:color w:val="000000"/>
        </w:rPr>
        <w:t>制定学校课程，尤其是适合东帝汶条件和需求的技术培训课程；</w:t>
      </w:r>
    </w:p>
    <w:p w:rsidR="00692915" w:rsidRDefault="00692915" w:rsidP="009A1C1B">
      <w:pPr>
        <w:numPr>
          <w:ilvl w:val="0"/>
          <w:numId w:val="6"/>
        </w:numPr>
        <w:tabs>
          <w:tab w:val="clear" w:pos="927"/>
          <w:tab w:val="left" w:pos="1690"/>
        </w:tabs>
        <w:spacing w:after="240"/>
        <w:ind w:leftChars="450" w:left="31680" w:hangingChars="200" w:firstLine="31680"/>
        <w:rPr>
          <w:bCs/>
          <w:color w:val="000000"/>
        </w:rPr>
      </w:pPr>
      <w:r>
        <w:rPr>
          <w:rFonts w:hint="eastAsia"/>
          <w:bCs/>
          <w:color w:val="000000"/>
        </w:rPr>
        <w:t>将葡萄牙语和</w:t>
      </w:r>
      <w:r>
        <w:rPr>
          <w:rFonts w:hint="eastAsia"/>
          <w:color w:val="000000"/>
        </w:rPr>
        <w:t>德顿语引入学校。</w:t>
      </w:r>
    </w:p>
    <w:p w:rsidR="00692915" w:rsidRDefault="00692915" w:rsidP="009A1C1B">
      <w:pPr>
        <w:tabs>
          <w:tab w:val="left" w:pos="1170"/>
        </w:tabs>
        <w:ind w:firstLine="31680"/>
        <w:rPr>
          <w:rFonts w:hint="eastAsia"/>
          <w:bCs/>
          <w:color w:val="000000"/>
        </w:rPr>
      </w:pPr>
      <w:r>
        <w:rPr>
          <w:color w:val="000000"/>
        </w:rPr>
        <w:t>642.</w:t>
      </w:r>
      <w:r>
        <w:rPr>
          <w:color w:val="000000"/>
        </w:rPr>
        <w:tab/>
      </w:r>
      <w:r>
        <w:rPr>
          <w:rFonts w:hint="eastAsia"/>
          <w:bCs/>
          <w:color w:val="000000"/>
        </w:rPr>
        <w:t>为发展教育，实现上述目标，应遵循以下重要原则：教育是一种权利；确保所有边缘化群体（包括女孩和贫困人口、农村以及少数民族社区）拥有公平的就学机会；提高教育质量与适用性，确保个人在经济、社会、文化、道德、政治以及精神方面得到平衡发展；提高效率与有效性；参与、透明与问责制。对于那些在东帝汶合法居住的所有儿童，无论其经济状况、性别、宗教、种族以及地理位置如何，政府都将努力为他们提供具有国际水平的高质量基础教育。</w:t>
      </w:r>
    </w:p>
    <w:p w:rsidR="00692915" w:rsidRDefault="00692915" w:rsidP="009A1C1B">
      <w:pPr>
        <w:tabs>
          <w:tab w:val="left" w:pos="1170"/>
        </w:tabs>
        <w:ind w:firstLine="31680"/>
        <w:rPr>
          <w:rFonts w:hint="eastAsia"/>
          <w:bCs/>
          <w:color w:val="000000"/>
        </w:rPr>
      </w:pPr>
      <w:r>
        <w:rPr>
          <w:bCs/>
          <w:color w:val="000000"/>
        </w:rPr>
        <w:t>643.</w:t>
      </w:r>
      <w:r>
        <w:rPr>
          <w:bCs/>
          <w:color w:val="000000"/>
        </w:rPr>
        <w:tab/>
      </w:r>
      <w:r>
        <w:rPr>
          <w:rFonts w:hint="eastAsia"/>
          <w:bCs/>
          <w:color w:val="000000"/>
        </w:rPr>
        <w:t>2004</w:t>
      </w:r>
      <w:r>
        <w:rPr>
          <w:rFonts w:hint="eastAsia"/>
          <w:bCs/>
          <w:color w:val="000000"/>
        </w:rPr>
        <w:t>年东帝汶制定了教育政策框架，以采取实际步骤，实现《国家发展计划》的目标。根据该框架，基础教育（即：头</w:t>
      </w:r>
      <w:r>
        <w:rPr>
          <w:rFonts w:hint="eastAsia"/>
          <w:bCs/>
          <w:color w:val="000000"/>
        </w:rPr>
        <w:t>9</w:t>
      </w:r>
      <w:r>
        <w:rPr>
          <w:rFonts w:hint="eastAsia"/>
          <w:bCs/>
          <w:color w:val="000000"/>
        </w:rPr>
        <w:t>年学校教育）的优先事项包括：</w:t>
      </w:r>
    </w:p>
    <w:p w:rsidR="00692915" w:rsidRDefault="00692915" w:rsidP="009A1C1B">
      <w:pPr>
        <w:numPr>
          <w:ilvl w:val="0"/>
          <w:numId w:val="6"/>
        </w:numPr>
        <w:tabs>
          <w:tab w:val="clear" w:pos="927"/>
          <w:tab w:val="left" w:pos="1690"/>
        </w:tabs>
        <w:ind w:leftChars="450" w:left="31680" w:hangingChars="200" w:firstLine="31680"/>
        <w:rPr>
          <w:bCs/>
          <w:color w:val="000000"/>
          <w:szCs w:val="24"/>
        </w:rPr>
      </w:pPr>
      <w:r>
        <w:rPr>
          <w:rFonts w:hint="eastAsia"/>
          <w:bCs/>
          <w:color w:val="000000"/>
          <w:szCs w:val="24"/>
        </w:rPr>
        <w:t>将初等教育作为资源分配的最高优先事项；</w:t>
      </w:r>
    </w:p>
    <w:p w:rsidR="00692915" w:rsidRDefault="00692915" w:rsidP="009A1C1B">
      <w:pPr>
        <w:numPr>
          <w:ilvl w:val="0"/>
          <w:numId w:val="6"/>
        </w:numPr>
        <w:tabs>
          <w:tab w:val="clear" w:pos="927"/>
          <w:tab w:val="left" w:pos="1690"/>
        </w:tabs>
        <w:ind w:leftChars="450" w:left="31680" w:hangingChars="200" w:firstLine="31680"/>
        <w:rPr>
          <w:bCs/>
          <w:color w:val="000000"/>
          <w:szCs w:val="24"/>
        </w:rPr>
      </w:pPr>
      <w:r>
        <w:rPr>
          <w:rFonts w:hint="eastAsia"/>
          <w:bCs/>
          <w:color w:val="000000"/>
          <w:szCs w:val="24"/>
        </w:rPr>
        <w:t>按照《千年发展目标》、</w:t>
      </w:r>
      <w:r>
        <w:rPr>
          <w:bCs/>
          <w:color w:val="000000"/>
          <w:szCs w:val="24"/>
        </w:rPr>
        <w:t>《儿童权利公约》</w:t>
      </w:r>
      <w:r>
        <w:rPr>
          <w:rFonts w:hint="eastAsia"/>
          <w:bCs/>
          <w:color w:val="000000"/>
          <w:szCs w:val="24"/>
        </w:rPr>
        <w:t>和《宪法》的要求，对</w:t>
      </w:r>
      <w:r>
        <w:rPr>
          <w:rFonts w:hint="eastAsia"/>
          <w:bCs/>
          <w:color w:val="000000"/>
          <w:szCs w:val="24"/>
        </w:rPr>
        <w:t>6</w:t>
      </w:r>
      <w:r>
        <w:rPr>
          <w:rFonts w:hint="eastAsia"/>
          <w:bCs/>
          <w:color w:val="000000"/>
          <w:szCs w:val="24"/>
        </w:rPr>
        <w:t>岁以上的儿童实行普及性的高质量初等教育，为确保实现这一目标，到</w:t>
      </w:r>
      <w:r>
        <w:rPr>
          <w:rFonts w:hint="eastAsia"/>
          <w:bCs/>
          <w:color w:val="000000"/>
          <w:szCs w:val="24"/>
        </w:rPr>
        <w:t>2015</w:t>
      </w:r>
      <w:r>
        <w:rPr>
          <w:rFonts w:hint="eastAsia"/>
          <w:bCs/>
          <w:color w:val="000000"/>
          <w:szCs w:val="24"/>
        </w:rPr>
        <w:t>年，所有儿童都必须完成初等教育的所有课程；</w:t>
      </w:r>
    </w:p>
    <w:p w:rsidR="00692915" w:rsidRDefault="00692915" w:rsidP="009A1C1B">
      <w:pPr>
        <w:numPr>
          <w:ilvl w:val="0"/>
          <w:numId w:val="6"/>
        </w:numPr>
        <w:tabs>
          <w:tab w:val="clear" w:pos="927"/>
          <w:tab w:val="left" w:pos="1690"/>
        </w:tabs>
        <w:ind w:leftChars="450" w:left="31680" w:hangingChars="200" w:firstLine="31680"/>
        <w:rPr>
          <w:bCs/>
          <w:color w:val="000000"/>
          <w:szCs w:val="24"/>
        </w:rPr>
      </w:pPr>
      <w:r>
        <w:rPr>
          <w:rFonts w:hint="eastAsia"/>
          <w:bCs/>
          <w:color w:val="000000"/>
          <w:szCs w:val="24"/>
        </w:rPr>
        <w:t>将学前教育作为仅次于初等教育的资源分配重点，初期要将交费和日益增长的公共财政支持结合起来（重点放在教师培训和开发原型教材方面）；</w:t>
      </w:r>
    </w:p>
    <w:p w:rsidR="00692915" w:rsidRDefault="00692915" w:rsidP="009A1C1B">
      <w:pPr>
        <w:numPr>
          <w:ilvl w:val="0"/>
          <w:numId w:val="6"/>
        </w:numPr>
        <w:tabs>
          <w:tab w:val="clear" w:pos="927"/>
          <w:tab w:val="left" w:pos="1690"/>
        </w:tabs>
        <w:spacing w:after="240"/>
        <w:ind w:leftChars="450" w:left="31680" w:hangingChars="200" w:firstLine="31680"/>
        <w:rPr>
          <w:bCs/>
          <w:color w:val="000000"/>
          <w:szCs w:val="24"/>
        </w:rPr>
      </w:pPr>
      <w:r>
        <w:rPr>
          <w:rFonts w:hint="eastAsia"/>
          <w:bCs/>
          <w:color w:val="000000"/>
          <w:szCs w:val="24"/>
        </w:rPr>
        <w:t>将儿童早期教育作为降低小学辍学率和留级率的关键措施。但由于政府资源有限，儿童早期教育应以社区为基础，主要通过私人投资进行，而由政府为教师培训和开发原型教材提供支持，并创造一个</w:t>
      </w:r>
      <w:r>
        <w:rPr>
          <w:rFonts w:hint="eastAsia"/>
          <w:bCs/>
          <w:color w:val="000000"/>
        </w:rPr>
        <w:t>有利于</w:t>
      </w:r>
      <w:r>
        <w:rPr>
          <w:rFonts w:hint="eastAsia"/>
          <w:bCs/>
          <w:color w:val="000000"/>
          <w:szCs w:val="24"/>
        </w:rPr>
        <w:t>私人投资的环境。</w:t>
      </w:r>
    </w:p>
    <w:p w:rsidR="00692915" w:rsidRDefault="00692915" w:rsidP="009A1C1B">
      <w:pPr>
        <w:tabs>
          <w:tab w:val="left" w:pos="1170"/>
        </w:tabs>
        <w:ind w:firstLine="31680"/>
        <w:rPr>
          <w:rFonts w:hint="eastAsia"/>
          <w:bCs/>
          <w:color w:val="000000"/>
        </w:rPr>
      </w:pPr>
      <w:r>
        <w:rPr>
          <w:color w:val="000000"/>
        </w:rPr>
        <w:t>644.</w:t>
      </w:r>
      <w:r>
        <w:rPr>
          <w:color w:val="000000"/>
        </w:rPr>
        <w:tab/>
      </w:r>
      <w:r>
        <w:rPr>
          <w:rFonts w:hint="eastAsia"/>
          <w:bCs/>
          <w:color w:val="000000"/>
        </w:rPr>
        <w:t>除基础教育义务方面的规定外，教育政策框架还强调：</w:t>
      </w:r>
    </w:p>
    <w:p w:rsidR="00692915" w:rsidRDefault="00692915" w:rsidP="009A1C1B">
      <w:pPr>
        <w:numPr>
          <w:ilvl w:val="0"/>
          <w:numId w:val="6"/>
        </w:numPr>
        <w:tabs>
          <w:tab w:val="clear" w:pos="927"/>
          <w:tab w:val="left" w:pos="1690"/>
        </w:tabs>
        <w:ind w:leftChars="450" w:left="31680" w:hangingChars="200" w:firstLine="31680"/>
        <w:rPr>
          <w:bCs/>
          <w:color w:val="000000"/>
          <w:szCs w:val="24"/>
        </w:rPr>
      </w:pPr>
      <w:r>
        <w:rPr>
          <w:rFonts w:hint="eastAsia"/>
          <w:bCs/>
          <w:color w:val="000000"/>
        </w:rPr>
        <w:t>通过</w:t>
      </w:r>
      <w:r>
        <w:rPr>
          <w:rFonts w:hint="eastAsia"/>
          <w:bCs/>
          <w:color w:val="000000"/>
          <w:szCs w:val="24"/>
        </w:rPr>
        <w:t>政府和私人机构开展中、高等教育，尤其是技术和职业教育，并根据个人能力和国家发展需要确保受教育机会的公平；</w:t>
      </w:r>
    </w:p>
    <w:p w:rsidR="00692915" w:rsidRDefault="00692915" w:rsidP="009A1C1B">
      <w:pPr>
        <w:numPr>
          <w:ilvl w:val="0"/>
          <w:numId w:val="6"/>
        </w:numPr>
        <w:tabs>
          <w:tab w:val="clear" w:pos="927"/>
          <w:tab w:val="left" w:pos="1690"/>
        </w:tabs>
        <w:ind w:leftChars="450" w:left="31680" w:hangingChars="200" w:firstLine="31680"/>
        <w:rPr>
          <w:bCs/>
          <w:color w:val="000000"/>
          <w:szCs w:val="24"/>
        </w:rPr>
      </w:pPr>
      <w:r>
        <w:rPr>
          <w:rFonts w:hint="eastAsia"/>
          <w:bCs/>
          <w:color w:val="000000"/>
          <w:szCs w:val="24"/>
        </w:rPr>
        <w:t>有效地计划和实施教育政策与方案，特别是按照官方语言安排国家课程和制定语言政策；提高教师的资格标准、培训、职业发展和福利；为所有学校（包括公立和私立学校）设立最低教学标准，并建立监督机制；</w:t>
      </w:r>
    </w:p>
    <w:p w:rsidR="00692915" w:rsidRDefault="00692915" w:rsidP="009A1C1B">
      <w:pPr>
        <w:numPr>
          <w:ilvl w:val="0"/>
          <w:numId w:val="6"/>
        </w:numPr>
        <w:tabs>
          <w:tab w:val="clear" w:pos="927"/>
          <w:tab w:val="left" w:pos="1690"/>
        </w:tabs>
        <w:spacing w:after="240"/>
        <w:ind w:leftChars="450" w:left="31680" w:hangingChars="200" w:firstLine="31680"/>
        <w:rPr>
          <w:bCs/>
          <w:color w:val="000000"/>
          <w:szCs w:val="24"/>
        </w:rPr>
      </w:pPr>
      <w:r>
        <w:rPr>
          <w:rFonts w:hint="eastAsia"/>
          <w:bCs/>
          <w:color w:val="000000"/>
        </w:rPr>
        <w:t>动员</w:t>
      </w:r>
      <w:r>
        <w:rPr>
          <w:rFonts w:hint="eastAsia"/>
          <w:bCs/>
          <w:color w:val="000000"/>
          <w:szCs w:val="24"/>
        </w:rPr>
        <w:t>和协调利益攸关方的作用，包括私人教育机构、父母和社区的参与；制定一个相关的管理和激励框架；促进参与、协商和提高透明度。</w:t>
      </w:r>
    </w:p>
    <w:p w:rsidR="00692915" w:rsidRDefault="00692915" w:rsidP="009A1C1B">
      <w:pPr>
        <w:tabs>
          <w:tab w:val="left" w:pos="1170"/>
        </w:tabs>
        <w:ind w:firstLine="31680"/>
        <w:rPr>
          <w:rFonts w:hint="eastAsia"/>
          <w:bCs/>
          <w:color w:val="000000"/>
        </w:rPr>
      </w:pPr>
      <w:r>
        <w:rPr>
          <w:color w:val="000000"/>
        </w:rPr>
        <w:t>645.</w:t>
      </w:r>
      <w:r>
        <w:rPr>
          <w:color w:val="000000"/>
        </w:rPr>
        <w:tab/>
      </w:r>
      <w:r>
        <w:rPr>
          <w:rFonts w:hint="eastAsia"/>
          <w:color w:val="000000"/>
        </w:rPr>
        <w:t>正在制订一系列法律，其中有些法律正有待部长理事会审议。</w:t>
      </w:r>
      <w:r>
        <w:rPr>
          <w:rStyle w:val="FootnoteReference"/>
          <w:bCs/>
          <w:color w:val="000000"/>
        </w:rPr>
        <w:footnoteReference w:id="339"/>
      </w:r>
      <w:r>
        <w:rPr>
          <w:rFonts w:hint="eastAsia"/>
          <w:color w:val="000000"/>
        </w:rPr>
        <w:t xml:space="preserve"> </w:t>
      </w:r>
      <w:r>
        <w:rPr>
          <w:rFonts w:hint="eastAsia"/>
          <w:color w:val="000000"/>
        </w:rPr>
        <w:t>为教育部门提议的立法包括：</w:t>
      </w:r>
    </w:p>
    <w:p w:rsidR="00692915" w:rsidRDefault="00692915" w:rsidP="009A1C1B">
      <w:pPr>
        <w:numPr>
          <w:ilvl w:val="0"/>
          <w:numId w:val="6"/>
        </w:numPr>
        <w:tabs>
          <w:tab w:val="clear" w:pos="927"/>
          <w:tab w:val="left" w:pos="1690"/>
        </w:tabs>
        <w:ind w:leftChars="450" w:left="31680" w:hangingChars="200" w:firstLine="31680"/>
        <w:rPr>
          <w:bCs/>
          <w:color w:val="000000"/>
        </w:rPr>
      </w:pPr>
      <w:r>
        <w:rPr>
          <w:rFonts w:hint="eastAsia"/>
          <w:bCs/>
          <w:color w:val="000000"/>
        </w:rPr>
        <w:t>基础教育法；</w:t>
      </w:r>
    </w:p>
    <w:p w:rsidR="00692915" w:rsidRDefault="00692915" w:rsidP="009A1C1B">
      <w:pPr>
        <w:numPr>
          <w:ilvl w:val="0"/>
          <w:numId w:val="6"/>
        </w:numPr>
        <w:tabs>
          <w:tab w:val="clear" w:pos="927"/>
          <w:tab w:val="left" w:pos="1690"/>
        </w:tabs>
        <w:ind w:leftChars="450" w:left="31680" w:hangingChars="200" w:firstLine="31680"/>
        <w:rPr>
          <w:bCs/>
          <w:color w:val="000000"/>
        </w:rPr>
      </w:pPr>
      <w:r>
        <w:rPr>
          <w:rFonts w:hint="eastAsia"/>
          <w:bCs/>
          <w:color w:val="000000"/>
        </w:rPr>
        <w:t>教育、青年、文化与体育部组织法；</w:t>
      </w:r>
    </w:p>
    <w:p w:rsidR="00692915" w:rsidRDefault="00692915" w:rsidP="009A1C1B">
      <w:pPr>
        <w:numPr>
          <w:ilvl w:val="0"/>
          <w:numId w:val="6"/>
        </w:numPr>
        <w:tabs>
          <w:tab w:val="clear" w:pos="927"/>
          <w:tab w:val="left" w:pos="1690"/>
        </w:tabs>
        <w:ind w:leftChars="450" w:left="31680" w:hangingChars="200" w:firstLine="31680"/>
        <w:rPr>
          <w:bCs/>
          <w:color w:val="000000"/>
        </w:rPr>
      </w:pPr>
      <w:r>
        <w:rPr>
          <w:rFonts w:hint="eastAsia"/>
          <w:bCs/>
          <w:color w:val="000000"/>
        </w:rPr>
        <w:t>职业教育培训法；</w:t>
      </w:r>
    </w:p>
    <w:p w:rsidR="00692915" w:rsidRDefault="00692915" w:rsidP="009A1C1B">
      <w:pPr>
        <w:numPr>
          <w:ilvl w:val="0"/>
          <w:numId w:val="6"/>
        </w:numPr>
        <w:tabs>
          <w:tab w:val="clear" w:pos="927"/>
          <w:tab w:val="left" w:pos="1690"/>
        </w:tabs>
        <w:ind w:leftChars="450" w:left="31680" w:hangingChars="200" w:firstLine="31680"/>
        <w:rPr>
          <w:bCs/>
          <w:color w:val="000000"/>
        </w:rPr>
      </w:pPr>
      <w:r>
        <w:rPr>
          <w:rFonts w:hint="eastAsia"/>
          <w:bCs/>
          <w:color w:val="000000"/>
        </w:rPr>
        <w:t>高等教育机构管理条例；</w:t>
      </w:r>
    </w:p>
    <w:p w:rsidR="00692915" w:rsidRDefault="00692915" w:rsidP="009A1C1B">
      <w:pPr>
        <w:numPr>
          <w:ilvl w:val="0"/>
          <w:numId w:val="6"/>
        </w:numPr>
        <w:tabs>
          <w:tab w:val="clear" w:pos="927"/>
          <w:tab w:val="left" w:pos="1690"/>
        </w:tabs>
        <w:ind w:leftChars="450" w:left="31680" w:hangingChars="200" w:firstLine="31680"/>
        <w:rPr>
          <w:bCs/>
          <w:color w:val="000000"/>
        </w:rPr>
      </w:pPr>
      <w:r>
        <w:rPr>
          <w:rFonts w:hint="eastAsia"/>
          <w:bCs/>
          <w:color w:val="000000"/>
        </w:rPr>
        <w:t>为国立大学提供法律基础和未来发展的法律或宪章；以及</w:t>
      </w:r>
    </w:p>
    <w:p w:rsidR="00692915" w:rsidRDefault="00692915" w:rsidP="009A1C1B">
      <w:pPr>
        <w:numPr>
          <w:ilvl w:val="0"/>
          <w:numId w:val="6"/>
        </w:numPr>
        <w:tabs>
          <w:tab w:val="clear" w:pos="927"/>
          <w:tab w:val="left" w:pos="1690"/>
        </w:tabs>
        <w:spacing w:after="240"/>
        <w:ind w:leftChars="450" w:left="31680" w:hangingChars="200" w:firstLine="31680"/>
        <w:rPr>
          <w:bCs/>
          <w:color w:val="000000"/>
        </w:rPr>
      </w:pPr>
      <w:r>
        <w:rPr>
          <w:rFonts w:hint="eastAsia"/>
          <w:bCs/>
          <w:color w:val="000000"/>
        </w:rPr>
        <w:t>非政府</w:t>
      </w:r>
      <w:r>
        <w:rPr>
          <w:rFonts w:hint="eastAsia"/>
          <w:bCs/>
          <w:color w:val="000000"/>
          <w:szCs w:val="24"/>
        </w:rPr>
        <w:t>学校</w:t>
      </w:r>
      <w:r>
        <w:rPr>
          <w:rFonts w:hint="eastAsia"/>
          <w:bCs/>
          <w:color w:val="000000"/>
        </w:rPr>
        <w:t>设立与运营管理条例。</w:t>
      </w:r>
    </w:p>
    <w:p w:rsidR="00692915" w:rsidRDefault="00692915" w:rsidP="009A1C1B">
      <w:pPr>
        <w:tabs>
          <w:tab w:val="left" w:pos="1170"/>
        </w:tabs>
        <w:ind w:firstLine="31680"/>
        <w:rPr>
          <w:rFonts w:hint="eastAsia"/>
          <w:bCs/>
          <w:color w:val="000000"/>
        </w:rPr>
      </w:pPr>
      <w:r>
        <w:rPr>
          <w:color w:val="000000"/>
        </w:rPr>
        <w:t>646.</w:t>
      </w:r>
      <w:r>
        <w:rPr>
          <w:color w:val="000000"/>
        </w:rPr>
        <w:tab/>
      </w:r>
      <w:r>
        <w:rPr>
          <w:rFonts w:hint="eastAsia"/>
          <w:bCs/>
          <w:color w:val="000000"/>
        </w:rPr>
        <w:t>为教育制定必要的法律法规将有助于对教育部门进行管理，并将有助于明确政府、教堂、非政府组织、地方社区以及父母在教育管理中的作用。</w:t>
      </w:r>
    </w:p>
    <w:p w:rsidR="00692915" w:rsidRDefault="00692915" w:rsidP="009A1C1B">
      <w:pPr>
        <w:tabs>
          <w:tab w:val="left" w:pos="1170"/>
        </w:tabs>
        <w:ind w:firstLine="31680"/>
        <w:rPr>
          <w:rFonts w:hint="eastAsia"/>
          <w:bCs/>
          <w:color w:val="000000"/>
        </w:rPr>
      </w:pPr>
      <w:r>
        <w:rPr>
          <w:color w:val="000000"/>
        </w:rPr>
        <w:t xml:space="preserve">647. </w:t>
      </w:r>
      <w:r>
        <w:rPr>
          <w:rFonts w:hint="eastAsia"/>
          <w:bCs/>
          <w:color w:val="000000"/>
        </w:rPr>
        <w:t>采取各种措施制定一套全国性学校课程对建设新的教育制度也至关重要。小学课程的批准与实施工作已启动，这为引入步履艰难的初中和高中教育新课程铺平了道路。</w:t>
      </w:r>
    </w:p>
    <w:p w:rsidR="00692915" w:rsidRDefault="00692915" w:rsidP="009A1C1B">
      <w:pPr>
        <w:tabs>
          <w:tab w:val="left" w:pos="1170"/>
        </w:tabs>
        <w:ind w:firstLine="31680"/>
        <w:rPr>
          <w:rFonts w:hint="eastAsia"/>
          <w:bCs/>
          <w:color w:val="000000"/>
        </w:rPr>
      </w:pPr>
      <w:r>
        <w:rPr>
          <w:bCs/>
          <w:color w:val="000000"/>
        </w:rPr>
        <w:t>648.</w:t>
      </w:r>
      <w:r>
        <w:rPr>
          <w:bCs/>
          <w:color w:val="000000"/>
        </w:rPr>
        <w:tab/>
      </w:r>
      <w:r>
        <w:rPr>
          <w:rFonts w:hint="eastAsia"/>
          <w:bCs/>
          <w:color w:val="000000"/>
        </w:rPr>
        <w:t>政府意识到有必要解决教育发展中的性别平等问题，并且已将《千年发展目标》中一些有助于促进性别平等的目标纳入其教育计划中。</w:t>
      </w:r>
    </w:p>
    <w:p w:rsidR="00692915" w:rsidRDefault="00692915" w:rsidP="009A1C1B">
      <w:pPr>
        <w:tabs>
          <w:tab w:val="left" w:pos="1170"/>
        </w:tabs>
        <w:ind w:firstLine="31680"/>
        <w:rPr>
          <w:rFonts w:hint="eastAsia"/>
          <w:bCs/>
          <w:color w:val="000000"/>
        </w:rPr>
      </w:pPr>
      <w:r>
        <w:rPr>
          <w:bCs/>
          <w:color w:val="000000"/>
        </w:rPr>
        <w:t>649.</w:t>
      </w:r>
      <w:r>
        <w:rPr>
          <w:rFonts w:hint="eastAsia"/>
          <w:bCs/>
          <w:color w:val="000000"/>
        </w:rPr>
        <w:t xml:space="preserve"> </w:t>
      </w:r>
      <w:r>
        <w:rPr>
          <w:rFonts w:hint="eastAsia"/>
          <w:bCs/>
          <w:color w:val="000000"/>
        </w:rPr>
        <w:t>就文化而言，文化处正在考虑是否有必要在教育课程中更加注重本国文化和语言。当然，在发展的早期阶段，还有必要使用外部教育材料，尤其是课本，而外部教育材料有可能无法充分反映东帝汶的文化特征、语言和价值。但尽管如此，新课程仍然强调指出，将核心科目教育（如：“艺术与文化”、“环境研究”）与地方资源（如：传统型领导和具有传统信仰和做法的教师）结合起来将能带来好处，这有助于在本国认同和价值观方面为课程提供实质的内容。</w:t>
      </w:r>
      <w:r>
        <w:rPr>
          <w:rFonts w:hint="eastAsia"/>
          <w:bCs/>
          <w:color w:val="000000"/>
        </w:rPr>
        <w:t xml:space="preserve"> </w:t>
      </w:r>
      <w:r>
        <w:rPr>
          <w:rStyle w:val="FootnoteReference"/>
          <w:bCs/>
          <w:color w:val="000000"/>
        </w:rPr>
        <w:footnoteReference w:id="340"/>
      </w:r>
    </w:p>
    <w:p w:rsidR="00692915" w:rsidRDefault="00692915" w:rsidP="009A1C1B">
      <w:pPr>
        <w:tabs>
          <w:tab w:val="left" w:pos="1170"/>
        </w:tabs>
        <w:ind w:firstLine="31680"/>
        <w:rPr>
          <w:rFonts w:hint="eastAsia"/>
          <w:bCs/>
          <w:color w:val="000000"/>
        </w:rPr>
      </w:pPr>
      <w:r>
        <w:rPr>
          <w:bCs/>
          <w:color w:val="000000"/>
        </w:rPr>
        <w:t>650.</w:t>
      </w:r>
      <w:r>
        <w:rPr>
          <w:rFonts w:hint="eastAsia"/>
          <w:bCs/>
          <w:color w:val="000000"/>
        </w:rPr>
        <w:t>总的来说，政府在教育领域实施持续改革和加强能力建设方面的成功与否，将在未来</w:t>
      </w:r>
      <w:r>
        <w:rPr>
          <w:rFonts w:hint="eastAsia"/>
          <w:bCs/>
          <w:color w:val="000000"/>
        </w:rPr>
        <w:t>2</w:t>
      </w:r>
      <w:r>
        <w:rPr>
          <w:rFonts w:hint="eastAsia"/>
          <w:bCs/>
          <w:color w:val="000000"/>
        </w:rPr>
        <w:t>至</w:t>
      </w:r>
      <w:r>
        <w:rPr>
          <w:rFonts w:hint="eastAsia"/>
          <w:bCs/>
          <w:color w:val="000000"/>
        </w:rPr>
        <w:t>3</w:t>
      </w:r>
      <w:r>
        <w:rPr>
          <w:rFonts w:hint="eastAsia"/>
          <w:bCs/>
          <w:color w:val="000000"/>
        </w:rPr>
        <w:t>年显示出来。持续的改革有必要围绕政府的能力进行，需要政府调动充分资源，实施当前的改革进程。</w:t>
      </w:r>
    </w:p>
    <w:p w:rsidR="00692915" w:rsidRDefault="00692915" w:rsidP="009A1C1B">
      <w:pPr>
        <w:tabs>
          <w:tab w:val="left" w:pos="1170"/>
        </w:tabs>
        <w:ind w:firstLine="31680"/>
        <w:rPr>
          <w:rFonts w:hint="eastAsia"/>
          <w:bCs/>
          <w:color w:val="000000"/>
        </w:rPr>
      </w:pPr>
      <w:r>
        <w:rPr>
          <w:bCs/>
          <w:color w:val="000000"/>
        </w:rPr>
        <w:t>651.</w:t>
      </w:r>
      <w:r>
        <w:rPr>
          <w:rFonts w:hint="eastAsia"/>
          <w:bCs/>
          <w:color w:val="000000"/>
        </w:rPr>
        <w:t>如同东帝汶需要发展的其他部门一样，教育政策框架很宏伟，以此将需要大量的支出。过去的支出主要集中在整个国家教育系统的恢复和基础教育设施的重建方面。在过去的</w:t>
      </w:r>
      <w:r>
        <w:rPr>
          <w:rFonts w:hint="eastAsia"/>
          <w:bCs/>
          <w:color w:val="000000"/>
        </w:rPr>
        <w:t>6</w:t>
      </w:r>
      <w:r>
        <w:rPr>
          <w:rFonts w:hint="eastAsia"/>
          <w:bCs/>
          <w:color w:val="000000"/>
        </w:rPr>
        <w:t>年中，正规教育部门的总支出达</w:t>
      </w:r>
      <w:r>
        <w:rPr>
          <w:rFonts w:hint="eastAsia"/>
          <w:bCs/>
          <w:color w:val="000000"/>
        </w:rPr>
        <w:t>2.977</w:t>
      </w:r>
      <w:r>
        <w:rPr>
          <w:rFonts w:hint="eastAsia"/>
          <w:bCs/>
          <w:color w:val="000000"/>
        </w:rPr>
        <w:t>亿美元，其中捐赠占支出总额的</w:t>
      </w:r>
      <w:r>
        <w:rPr>
          <w:rFonts w:hint="eastAsia"/>
          <w:bCs/>
          <w:color w:val="000000"/>
        </w:rPr>
        <w:t>60%</w:t>
      </w:r>
      <w:r>
        <w:rPr>
          <w:rFonts w:hint="eastAsia"/>
          <w:bCs/>
          <w:color w:val="000000"/>
        </w:rPr>
        <w:t>。在独立后的前几年，由于重建成本的缘故，每年支出大约为</w:t>
      </w:r>
      <w:r>
        <w:rPr>
          <w:rFonts w:hint="eastAsia"/>
          <w:bCs/>
          <w:color w:val="000000"/>
        </w:rPr>
        <w:t>4 000</w:t>
      </w:r>
      <w:r>
        <w:rPr>
          <w:rFonts w:hint="eastAsia"/>
          <w:bCs/>
          <w:color w:val="000000"/>
        </w:rPr>
        <w:t>万美元。最后两年的支出稳定在</w:t>
      </w:r>
      <w:r>
        <w:rPr>
          <w:rFonts w:hint="eastAsia"/>
          <w:bCs/>
          <w:color w:val="000000"/>
        </w:rPr>
        <w:t>3 600</w:t>
      </w:r>
      <w:r>
        <w:rPr>
          <w:rFonts w:hint="eastAsia"/>
          <w:bCs/>
          <w:color w:val="000000"/>
        </w:rPr>
        <w:t>万美元左右。在</w:t>
      </w:r>
      <w:r>
        <w:rPr>
          <w:rFonts w:hint="eastAsia"/>
          <w:bCs/>
          <w:color w:val="000000"/>
        </w:rPr>
        <w:t>2005/06</w:t>
      </w:r>
      <w:r>
        <w:rPr>
          <w:rFonts w:hint="eastAsia"/>
          <w:bCs/>
          <w:color w:val="000000"/>
        </w:rPr>
        <w:t>至</w:t>
      </w:r>
      <w:r>
        <w:rPr>
          <w:rFonts w:hint="eastAsia"/>
          <w:bCs/>
          <w:color w:val="000000"/>
        </w:rPr>
        <w:t>2009/10</w:t>
      </w:r>
      <w:r>
        <w:rPr>
          <w:rFonts w:hint="eastAsia"/>
          <w:bCs/>
          <w:color w:val="000000"/>
        </w:rPr>
        <w:t>财政年度的第一个五年计划期间，正规教育部门的总支出将达到</w:t>
      </w:r>
      <w:r>
        <w:rPr>
          <w:rFonts w:hint="eastAsia"/>
          <w:bCs/>
          <w:color w:val="000000"/>
        </w:rPr>
        <w:t>2.2</w:t>
      </w:r>
      <w:r>
        <w:rPr>
          <w:rFonts w:hint="eastAsia"/>
          <w:bCs/>
          <w:color w:val="000000"/>
        </w:rPr>
        <w:t>亿美元左右，其中初等教育支出将占</w:t>
      </w:r>
      <w:r>
        <w:rPr>
          <w:rFonts w:hint="eastAsia"/>
          <w:bCs/>
          <w:color w:val="000000"/>
        </w:rPr>
        <w:t>48.6%</w:t>
      </w:r>
      <w:r>
        <w:rPr>
          <w:rFonts w:hint="eastAsia"/>
          <w:bCs/>
          <w:color w:val="000000"/>
        </w:rPr>
        <w:t>左右，约为</w:t>
      </w:r>
      <w:r>
        <w:rPr>
          <w:rFonts w:hint="eastAsia"/>
          <w:bCs/>
          <w:color w:val="000000"/>
        </w:rPr>
        <w:t>1.07</w:t>
      </w:r>
      <w:r>
        <w:rPr>
          <w:rFonts w:hint="eastAsia"/>
          <w:bCs/>
          <w:color w:val="000000"/>
        </w:rPr>
        <w:t>亿美元，而中等教育将占</w:t>
      </w:r>
      <w:r>
        <w:rPr>
          <w:rFonts w:hint="eastAsia"/>
          <w:bCs/>
          <w:color w:val="000000"/>
        </w:rPr>
        <w:t>28%</w:t>
      </w:r>
      <w:r>
        <w:rPr>
          <w:rFonts w:hint="eastAsia"/>
          <w:bCs/>
          <w:color w:val="000000"/>
        </w:rPr>
        <w:t>左右。</w:t>
      </w:r>
      <w:r>
        <w:rPr>
          <w:rStyle w:val="FootnoteReference"/>
          <w:bCs/>
          <w:color w:val="000000"/>
        </w:rPr>
        <w:footnoteReference w:id="341"/>
      </w:r>
    </w:p>
    <w:p w:rsidR="00692915" w:rsidRDefault="00692915" w:rsidP="009A1C1B">
      <w:pPr>
        <w:tabs>
          <w:tab w:val="left" w:pos="1170"/>
        </w:tabs>
        <w:spacing w:after="240"/>
        <w:ind w:firstLine="31680"/>
        <w:rPr>
          <w:rFonts w:hint="eastAsia"/>
          <w:bCs/>
          <w:color w:val="000000"/>
        </w:rPr>
      </w:pPr>
      <w:r>
        <w:rPr>
          <w:bCs/>
          <w:color w:val="000000"/>
        </w:rPr>
        <w:t>652.</w:t>
      </w:r>
      <w:r>
        <w:rPr>
          <w:rFonts w:hint="eastAsia"/>
          <w:bCs/>
          <w:color w:val="000000"/>
        </w:rPr>
        <w:t xml:space="preserve"> </w:t>
      </w:r>
      <w:r>
        <w:rPr>
          <w:rFonts w:hint="eastAsia"/>
          <w:bCs/>
          <w:color w:val="000000"/>
        </w:rPr>
        <w:t>由于无法确定捐赠方在中期内的捐赠额，因此教育系统，尤其是中小学系统的经费问题将是政府面临的一项重大挑战。如果捐赠者在教材、教师培训和其他经常性开支方面的支持力度锐减，那么将会对上述中长期基础教育目标的进展产生影响。该部门还必须继续将重点放在初级教育上，确保资源分配的公正，以及质量促进措施的经费。因此，必须解决一系列有关初等和中等教育经费的问题。必须找到新的捐赠者，加强费用支出管理和学费管理以弥补经费缺口。为此，教育部强烈建议捐赠者的资源承诺应在全民教育框架内进行，并将重点放在初等教育方面。</w:t>
      </w:r>
    </w:p>
    <w:p w:rsidR="00692915" w:rsidRDefault="00692915">
      <w:pPr>
        <w:pStyle w:val="Heading2"/>
        <w:tabs>
          <w:tab w:val="left" w:pos="1170"/>
        </w:tabs>
        <w:ind w:firstLine="600"/>
        <w:rPr>
          <w:rFonts w:hint="eastAsia"/>
          <w:i/>
          <w:iCs/>
          <w:color w:val="000000"/>
          <w:sz w:val="24"/>
        </w:rPr>
      </w:pPr>
      <w:bookmarkStart w:id="109" w:name="_Toc150515000"/>
      <w:bookmarkStart w:id="110" w:name="_Toc150684904"/>
      <w:r>
        <w:rPr>
          <w:color w:val="000000"/>
          <w:sz w:val="24"/>
        </w:rPr>
        <w:t xml:space="preserve">E.  </w:t>
      </w:r>
      <w:bookmarkEnd w:id="109"/>
      <w:bookmarkEnd w:id="110"/>
      <w:r>
        <w:rPr>
          <w:rFonts w:hint="eastAsia"/>
          <w:color w:val="000000"/>
          <w:sz w:val="24"/>
          <w:u w:val="single"/>
        </w:rPr>
        <w:t>婚姻与家庭生活</w:t>
      </w:r>
      <w:r>
        <w:rPr>
          <w:rStyle w:val="FootnoteReference"/>
          <w:color w:val="000000"/>
          <w:szCs w:val="24"/>
        </w:rPr>
        <w:footnoteReference w:id="342"/>
      </w:r>
    </w:p>
    <w:p w:rsidR="00692915" w:rsidRDefault="00692915">
      <w:pPr>
        <w:pStyle w:val="Heading3"/>
        <w:tabs>
          <w:tab w:val="left" w:pos="1170"/>
        </w:tabs>
        <w:jc w:val="both"/>
        <w:rPr>
          <w:rFonts w:eastAsia="KaiTi_GB2312" w:hint="eastAsia"/>
          <w:color w:val="000000"/>
          <w:u w:val="none"/>
        </w:rPr>
      </w:pPr>
      <w:r>
        <w:rPr>
          <w:rFonts w:eastAsia="KaiTi_GB2312" w:hint="eastAsia"/>
          <w:color w:val="000000"/>
          <w:u w:val="none"/>
        </w:rPr>
        <w:t xml:space="preserve"> </w:t>
      </w:r>
      <w:r>
        <w:rPr>
          <w:rFonts w:eastAsia="KaiTi_GB2312" w:hint="eastAsia"/>
          <w:color w:val="000000"/>
          <w:u w:val="none"/>
        </w:rPr>
        <w:t>“家庭”与“家”的定义</w:t>
      </w:r>
    </w:p>
    <w:p w:rsidR="00692915" w:rsidRDefault="00692915" w:rsidP="009A1C1B">
      <w:pPr>
        <w:tabs>
          <w:tab w:val="left" w:pos="1170"/>
        </w:tabs>
        <w:ind w:firstLine="31680"/>
        <w:rPr>
          <w:rFonts w:hint="eastAsia"/>
          <w:bCs/>
          <w:color w:val="000000"/>
        </w:rPr>
      </w:pPr>
      <w:r>
        <w:rPr>
          <w:color w:val="000000"/>
        </w:rPr>
        <w:t>653.</w:t>
      </w:r>
      <w:r>
        <w:rPr>
          <w:rFonts w:hint="eastAsia"/>
          <w:color w:val="000000"/>
        </w:rPr>
        <w:t>《东</w:t>
      </w:r>
      <w:r>
        <w:rPr>
          <w:rFonts w:hint="eastAsia"/>
          <w:bCs/>
          <w:color w:val="000000"/>
        </w:rPr>
        <w:t>帝汶宪法》将家庭概念定义为“社会的基本单位和个人和谐发展的条件”</w:t>
      </w:r>
      <w:r>
        <w:rPr>
          <w:rStyle w:val="FootnoteReference"/>
          <w:bCs/>
          <w:color w:val="000000"/>
        </w:rPr>
        <w:t xml:space="preserve"> </w:t>
      </w:r>
      <w:r>
        <w:rPr>
          <w:rFonts w:hint="eastAsia"/>
          <w:bCs/>
          <w:color w:val="000000"/>
        </w:rPr>
        <w:t>。</w:t>
      </w:r>
      <w:r>
        <w:rPr>
          <w:rStyle w:val="FootnoteReference"/>
          <w:bCs/>
          <w:color w:val="000000"/>
        </w:rPr>
        <w:footnoteReference w:id="343"/>
      </w:r>
      <w:r>
        <w:rPr>
          <w:rFonts w:hint="eastAsia"/>
          <w:bCs/>
          <w:color w:val="000000"/>
        </w:rPr>
        <w:t>《宪法》还进一步规定人人享有建立家庭和享受家庭生活的权利。</w:t>
      </w:r>
      <w:r>
        <w:rPr>
          <w:rStyle w:val="FootnoteReference"/>
          <w:bCs/>
          <w:color w:val="000000"/>
        </w:rPr>
        <w:footnoteReference w:id="344"/>
      </w:r>
      <w:r>
        <w:rPr>
          <w:rFonts w:hint="eastAsia"/>
          <w:bCs/>
          <w:color w:val="000000"/>
        </w:rPr>
        <w:t>尽管东帝汶现行法律</w:t>
      </w:r>
      <w:r>
        <w:rPr>
          <w:rFonts w:ascii="SimHei" w:eastAsia="SimHei" w:hint="eastAsia"/>
          <w:bCs/>
          <w:color w:val="000000"/>
          <w:spacing w:val="0"/>
        </w:rPr>
        <w:t>——</w:t>
      </w:r>
      <w:r>
        <w:rPr>
          <w:rFonts w:hint="eastAsia"/>
          <w:bCs/>
          <w:color w:val="000000"/>
        </w:rPr>
        <w:t>《印度尼西亚民法典》对家庭和家均未做任何进一步的法律界定，但即将出台的《反家庭暴力法》却对家庭进行了详细阐述，并对常见关系中的家庭成员或人员做出了如下定义：</w:t>
      </w:r>
      <w:r>
        <w:rPr>
          <w:rStyle w:val="FootnoteReference"/>
          <w:bCs/>
          <w:color w:val="000000"/>
        </w:rPr>
        <w:footnoteReference w:id="345"/>
      </w:r>
    </w:p>
    <w:p w:rsidR="00692915" w:rsidRDefault="00692915" w:rsidP="009A1C1B">
      <w:pPr>
        <w:numPr>
          <w:ilvl w:val="0"/>
          <w:numId w:val="6"/>
        </w:numPr>
        <w:tabs>
          <w:tab w:val="clear" w:pos="927"/>
          <w:tab w:val="left" w:pos="1690"/>
        </w:tabs>
        <w:ind w:leftChars="450" w:left="31680" w:hangingChars="200" w:firstLine="31680"/>
        <w:rPr>
          <w:bCs/>
          <w:color w:val="000000"/>
        </w:rPr>
      </w:pPr>
      <w:r>
        <w:rPr>
          <w:rFonts w:hint="eastAsia"/>
          <w:bCs/>
          <w:color w:val="000000"/>
        </w:rPr>
        <w:t>世俗、宗教或传统婚姻中的配偶；</w:t>
      </w:r>
    </w:p>
    <w:p w:rsidR="00692915" w:rsidRDefault="00692915" w:rsidP="009A1C1B">
      <w:pPr>
        <w:numPr>
          <w:ilvl w:val="0"/>
          <w:numId w:val="6"/>
        </w:numPr>
        <w:tabs>
          <w:tab w:val="clear" w:pos="927"/>
          <w:tab w:val="left" w:pos="1690"/>
        </w:tabs>
        <w:ind w:leftChars="450" w:left="31680" w:hangingChars="200" w:firstLine="31680"/>
        <w:rPr>
          <w:bCs/>
          <w:color w:val="000000"/>
        </w:rPr>
      </w:pPr>
      <w:r>
        <w:rPr>
          <w:rFonts w:hint="eastAsia"/>
          <w:bCs/>
          <w:color w:val="000000"/>
        </w:rPr>
        <w:t>在类似于婚姻的环境中一起生活的男女；</w:t>
      </w:r>
    </w:p>
    <w:p w:rsidR="00692915" w:rsidRDefault="00692915" w:rsidP="009A1C1B">
      <w:pPr>
        <w:numPr>
          <w:ilvl w:val="0"/>
          <w:numId w:val="6"/>
        </w:numPr>
        <w:tabs>
          <w:tab w:val="clear" w:pos="927"/>
          <w:tab w:val="left" w:pos="1690"/>
        </w:tabs>
        <w:ind w:leftChars="450" w:left="31680" w:hangingChars="200" w:firstLine="31680"/>
        <w:rPr>
          <w:bCs/>
          <w:color w:val="000000"/>
        </w:rPr>
      </w:pPr>
      <w:r>
        <w:rPr>
          <w:rFonts w:hint="eastAsia"/>
          <w:bCs/>
          <w:color w:val="000000"/>
        </w:rPr>
        <w:t>配偶单方或双方的长辈和晚辈，或上段所述情况中男女双方或单方的长辈和晚辈</w:t>
      </w:r>
      <w:r>
        <w:rPr>
          <w:rFonts w:ascii="SimHei" w:eastAsia="SimHei" w:hint="eastAsia"/>
          <w:bCs/>
          <w:color w:val="000000"/>
          <w:spacing w:val="0"/>
        </w:rPr>
        <w:t>——</w:t>
      </w:r>
      <w:r>
        <w:rPr>
          <w:rFonts w:hint="eastAsia"/>
          <w:bCs/>
          <w:color w:val="000000"/>
        </w:rPr>
        <w:t>前提是他们生活在同一家庭经济环境中，并且相互依存；或者</w:t>
      </w:r>
    </w:p>
    <w:p w:rsidR="00692915" w:rsidRDefault="00692915" w:rsidP="009A1C1B">
      <w:pPr>
        <w:numPr>
          <w:ilvl w:val="0"/>
          <w:numId w:val="6"/>
        </w:numPr>
        <w:tabs>
          <w:tab w:val="clear" w:pos="927"/>
          <w:tab w:val="left" w:pos="1690"/>
        </w:tabs>
        <w:spacing w:after="240"/>
        <w:ind w:leftChars="450" w:left="31680" w:hangingChars="200" w:firstLine="31680"/>
        <w:rPr>
          <w:rFonts w:hint="eastAsia"/>
          <w:bCs/>
          <w:color w:val="000000"/>
        </w:rPr>
      </w:pPr>
      <w:r>
        <w:rPr>
          <w:rFonts w:hint="eastAsia"/>
          <w:bCs/>
          <w:color w:val="000000"/>
        </w:rPr>
        <w:t>生活在同一家庭经济环境中并且相互依存的其他任何人，包括一直从事辅助家务劳动的人。</w:t>
      </w:r>
    </w:p>
    <w:p w:rsidR="00692915" w:rsidRDefault="00692915" w:rsidP="009A1C1B">
      <w:pPr>
        <w:tabs>
          <w:tab w:val="left" w:pos="1170"/>
        </w:tabs>
        <w:ind w:firstLine="31680"/>
        <w:rPr>
          <w:rFonts w:hint="eastAsia"/>
          <w:bCs/>
          <w:color w:val="000000"/>
        </w:rPr>
      </w:pPr>
      <w:r>
        <w:rPr>
          <w:color w:val="000000"/>
        </w:rPr>
        <w:t>654.</w:t>
      </w:r>
      <w:r>
        <w:rPr>
          <w:color w:val="000000"/>
        </w:rPr>
        <w:tab/>
      </w:r>
      <w:r>
        <w:rPr>
          <w:rFonts w:hint="eastAsia"/>
          <w:bCs/>
          <w:color w:val="000000"/>
        </w:rPr>
        <w:t>为了将“家庭作为东帝汶的基本社会和文化单位，从根本上保障其完整性，”有关家庭的这些规定将与法律中规定的其他措施一起实施。</w:t>
      </w:r>
      <w:r>
        <w:rPr>
          <w:rStyle w:val="FootnoteReference"/>
          <w:bCs/>
          <w:color w:val="000000"/>
        </w:rPr>
        <w:footnoteReference w:id="346"/>
      </w:r>
      <w:r>
        <w:rPr>
          <w:rFonts w:hint="eastAsia"/>
          <w:bCs/>
          <w:color w:val="000000"/>
        </w:rPr>
        <w:t>该法第</w:t>
      </w:r>
      <w:r>
        <w:rPr>
          <w:rFonts w:hint="eastAsia"/>
          <w:bCs/>
          <w:color w:val="000000"/>
        </w:rPr>
        <w:t>5</w:t>
      </w:r>
      <w:r>
        <w:rPr>
          <w:rFonts w:hint="eastAsia"/>
          <w:bCs/>
          <w:color w:val="000000"/>
        </w:rPr>
        <w:t>条有关家庭单位的原则可与《东帝汶宪法》第</w:t>
      </w:r>
      <w:r>
        <w:rPr>
          <w:rFonts w:hint="eastAsia"/>
          <w:bCs/>
          <w:color w:val="000000"/>
        </w:rPr>
        <w:t>16</w:t>
      </w:r>
      <w:r>
        <w:rPr>
          <w:rFonts w:hint="eastAsia"/>
          <w:bCs/>
          <w:color w:val="000000"/>
        </w:rPr>
        <w:t>条和第</w:t>
      </w:r>
      <w:r>
        <w:rPr>
          <w:rFonts w:hint="eastAsia"/>
          <w:bCs/>
          <w:color w:val="000000"/>
        </w:rPr>
        <w:t>17</w:t>
      </w:r>
      <w:r>
        <w:rPr>
          <w:rFonts w:hint="eastAsia"/>
          <w:bCs/>
          <w:color w:val="000000"/>
        </w:rPr>
        <w:t>条结合在一起进行理解</w:t>
      </w:r>
      <w:r>
        <w:rPr>
          <w:rFonts w:ascii="SimHei" w:eastAsia="SimHei" w:hint="eastAsia"/>
          <w:bCs/>
          <w:color w:val="000000"/>
          <w:spacing w:val="0"/>
        </w:rPr>
        <w:t>——</w:t>
      </w:r>
      <w:r>
        <w:rPr>
          <w:rFonts w:hint="eastAsia"/>
          <w:bCs/>
          <w:color w:val="000000"/>
        </w:rPr>
        <w:t>根据《东帝汶宪法》的规定，家庭单位的基础是尊重基本的人权，例如：法律面前人人平等。</w:t>
      </w:r>
      <w:r>
        <w:rPr>
          <w:rStyle w:val="FootnoteReference"/>
          <w:bCs/>
          <w:color w:val="000000"/>
        </w:rPr>
        <w:footnoteReference w:id="347"/>
      </w:r>
    </w:p>
    <w:p w:rsidR="00692915" w:rsidRDefault="00692915" w:rsidP="009A1C1B">
      <w:pPr>
        <w:tabs>
          <w:tab w:val="left" w:pos="1170"/>
        </w:tabs>
        <w:ind w:firstLine="31680"/>
        <w:rPr>
          <w:rFonts w:hint="eastAsia"/>
          <w:bCs/>
          <w:iCs/>
          <w:color w:val="000000"/>
        </w:rPr>
      </w:pPr>
      <w:r>
        <w:rPr>
          <w:bCs/>
          <w:color w:val="000000"/>
        </w:rPr>
        <w:t>655.</w:t>
      </w:r>
      <w:r>
        <w:rPr>
          <w:rFonts w:hint="eastAsia"/>
          <w:bCs/>
          <w:color w:val="000000"/>
        </w:rPr>
        <w:t xml:space="preserve"> </w:t>
      </w:r>
      <w:r>
        <w:rPr>
          <w:rFonts w:hint="eastAsia"/>
          <w:bCs/>
          <w:color w:val="000000"/>
        </w:rPr>
        <w:t>在传统的东帝汶社会中，一个基本家庭单位包括一对夫妇和同住“家”中的未婚子女。这一单位几乎总是与其他众多社会关系联系在一起，尤其是家庭最近的亲属或“直系”亲属联系在一起。这些亲属要么为父系亲属，要么为母系亲属。但是，在东帝汶社会中，最多的还是父系亲属。</w:t>
      </w:r>
      <w:r>
        <w:rPr>
          <w:rStyle w:val="FootnoteReference"/>
          <w:bCs/>
          <w:color w:val="000000"/>
        </w:rPr>
        <w:footnoteReference w:id="348"/>
      </w:r>
      <w:r>
        <w:rPr>
          <w:rFonts w:hint="eastAsia"/>
          <w:bCs/>
          <w:color w:val="000000"/>
        </w:rPr>
        <w:t>所有直系亲属成员拥有并立誓效忠于一个共同的祖先。他们共同组成了所谓的</w:t>
      </w:r>
      <w:r>
        <w:rPr>
          <w:rFonts w:hint="eastAsia"/>
          <w:bCs/>
          <w:iCs/>
          <w:color w:val="000000"/>
        </w:rPr>
        <w:t>继嗣群体（</w:t>
      </w:r>
      <w:r>
        <w:rPr>
          <w:bCs/>
          <w:i/>
          <w:color w:val="000000"/>
        </w:rPr>
        <w:t>uma kain</w:t>
      </w:r>
      <w:r>
        <w:rPr>
          <w:rFonts w:hint="eastAsia"/>
          <w:bCs/>
          <w:i/>
          <w:color w:val="000000"/>
        </w:rPr>
        <w:t>/</w:t>
      </w:r>
      <w:r>
        <w:rPr>
          <w:bCs/>
          <w:i/>
          <w:color w:val="000000"/>
        </w:rPr>
        <w:t>ahimatan</w:t>
      </w:r>
      <w:r>
        <w:rPr>
          <w:rFonts w:hint="eastAsia"/>
          <w:bCs/>
          <w:iCs/>
          <w:color w:val="000000"/>
        </w:rPr>
        <w:t>）。该群体包括兄弟姐妹，父母和及其兄弟姐妹和祖父母。大家族的头领通常由最年长的男子担任。</w:t>
      </w:r>
      <w:r>
        <w:rPr>
          <w:rStyle w:val="FootnoteReference"/>
          <w:bCs/>
          <w:color w:val="000000"/>
        </w:rPr>
        <w:footnoteReference w:id="349"/>
      </w:r>
    </w:p>
    <w:p w:rsidR="00692915" w:rsidRDefault="00692915" w:rsidP="009A1C1B">
      <w:pPr>
        <w:tabs>
          <w:tab w:val="left" w:pos="1170"/>
        </w:tabs>
        <w:ind w:firstLine="31680"/>
        <w:rPr>
          <w:rFonts w:hint="eastAsia"/>
          <w:bCs/>
          <w:color w:val="000000"/>
        </w:rPr>
      </w:pPr>
      <w:r>
        <w:rPr>
          <w:bCs/>
          <w:color w:val="000000"/>
        </w:rPr>
        <w:t>656.</w:t>
      </w:r>
      <w:r>
        <w:rPr>
          <w:rFonts w:hint="eastAsia"/>
          <w:bCs/>
          <w:color w:val="000000"/>
        </w:rPr>
        <w:t xml:space="preserve"> </w:t>
      </w:r>
      <w:r>
        <w:rPr>
          <w:rFonts w:hint="eastAsia"/>
          <w:bCs/>
          <w:color w:val="000000"/>
        </w:rPr>
        <w:t>在东帝汶，一个或几个</w:t>
      </w:r>
      <w:r>
        <w:rPr>
          <w:rFonts w:hint="eastAsia"/>
          <w:bCs/>
          <w:iCs/>
          <w:color w:val="000000"/>
        </w:rPr>
        <w:t>继嗣群体</w:t>
      </w:r>
      <w:r>
        <w:rPr>
          <w:rFonts w:hint="eastAsia"/>
          <w:bCs/>
          <w:color w:val="000000"/>
        </w:rPr>
        <w:t>还可同属于一个“圣屋”（即所谓的</w:t>
      </w:r>
      <w:r>
        <w:rPr>
          <w:bCs/>
          <w:i/>
          <w:color w:val="000000"/>
        </w:rPr>
        <w:t xml:space="preserve">uma lulik </w:t>
      </w:r>
      <w:r>
        <w:rPr>
          <w:rFonts w:hint="eastAsia"/>
          <w:bCs/>
          <w:color w:val="000000"/>
        </w:rPr>
        <w:t>或</w:t>
      </w:r>
      <w:r>
        <w:rPr>
          <w:bCs/>
          <w:i/>
          <w:color w:val="000000"/>
        </w:rPr>
        <w:t>uma lisan</w:t>
      </w:r>
      <w:r>
        <w:rPr>
          <w:rFonts w:hint="eastAsia"/>
          <w:bCs/>
          <w:color w:val="000000"/>
        </w:rPr>
        <w:t>）</w:t>
      </w:r>
      <w:r>
        <w:rPr>
          <w:rFonts w:hint="eastAsia"/>
          <w:bCs/>
          <w:iCs/>
          <w:color w:val="000000"/>
        </w:rPr>
        <w:t>。尽管祖先的根已无从追寻，但同一圣屋的成员仍拥有同一个祖先。圣屋代表整个宇宙，里面存有家中祖先的传家宝。传统认为这是最古老的屋，最早的祖先就居住在其中，因此要比其他屋子更古老。在任何一个“部落”中，圣屋都坐落在中间，周围房屋按年代顺序排列。例如，第一个儿子的房屋仅挨着父母的房屋，最小儿子的房屋则离中心最远。未婚妇女只要能够按照父系找到其世系，通常可以作为其继嗣群体的成员之一。而一旦妇女结婚，则要离开其家庭所在的部落，加入其丈夫的家族。</w:t>
      </w:r>
      <w:r>
        <w:rPr>
          <w:rStyle w:val="FootnoteReference"/>
          <w:bCs/>
          <w:color w:val="000000"/>
        </w:rPr>
        <w:footnoteReference w:id="350"/>
      </w:r>
    </w:p>
    <w:p w:rsidR="00692915" w:rsidRDefault="00692915" w:rsidP="009A1C1B">
      <w:pPr>
        <w:tabs>
          <w:tab w:val="left" w:pos="1170"/>
        </w:tabs>
        <w:spacing w:after="240"/>
        <w:ind w:firstLine="31680"/>
        <w:rPr>
          <w:rFonts w:hint="eastAsia"/>
          <w:color w:val="000000"/>
        </w:rPr>
      </w:pPr>
      <w:r>
        <w:rPr>
          <w:color w:val="000000"/>
        </w:rPr>
        <w:t xml:space="preserve">657. </w:t>
      </w:r>
      <w:r>
        <w:rPr>
          <w:rFonts w:hint="eastAsia"/>
          <w:color w:val="000000"/>
        </w:rPr>
        <w:t>作为东帝汶社会组织中的实体，无论是“屋”还是“圣屋”都非常重要，它们是婚姻关系和政治权力的中心；家庭对不同“屋”之间的每种关系都有记录，因而产生了一个支配婚姻的特殊规则体系（如下文所述）。</w:t>
      </w:r>
    </w:p>
    <w:p w:rsidR="00692915" w:rsidRDefault="00692915">
      <w:pPr>
        <w:pStyle w:val="Header"/>
        <w:tabs>
          <w:tab w:val="clear" w:pos="992"/>
          <w:tab w:val="clear" w:pos="5772"/>
          <w:tab w:val="clear" w:pos="6634"/>
          <w:tab w:val="clear" w:pos="7144"/>
          <w:tab w:val="clear" w:pos="7655"/>
          <w:tab w:val="clear" w:pos="8165"/>
          <w:tab w:val="left" w:pos="1170"/>
        </w:tabs>
        <w:spacing w:after="240" w:line="336" w:lineRule="auto"/>
        <w:ind w:firstLineChars="0" w:firstLine="0"/>
        <w:rPr>
          <w:rFonts w:hint="eastAsia"/>
          <w:bCs/>
          <w:color w:val="000000"/>
          <w:lang w:eastAsia="zh-CN"/>
        </w:rPr>
      </w:pPr>
      <w:r>
        <w:rPr>
          <w:rFonts w:hint="eastAsia"/>
          <w:bCs/>
          <w:color w:val="000000"/>
          <w:lang w:eastAsia="zh-CN"/>
        </w:rPr>
        <w:t>习惯法在家庭关系中的作用</w:t>
      </w:r>
    </w:p>
    <w:p w:rsidR="00692915" w:rsidRDefault="00692915" w:rsidP="009A1C1B">
      <w:pPr>
        <w:tabs>
          <w:tab w:val="left" w:pos="1170"/>
        </w:tabs>
        <w:ind w:firstLine="31680"/>
        <w:rPr>
          <w:rFonts w:hint="eastAsia"/>
          <w:color w:val="000000"/>
        </w:rPr>
      </w:pPr>
      <w:r>
        <w:rPr>
          <w:color w:val="000000"/>
        </w:rPr>
        <w:t>658.</w:t>
      </w:r>
      <w:r>
        <w:rPr>
          <w:rFonts w:hint="eastAsia"/>
          <w:color w:val="000000"/>
        </w:rPr>
        <w:tab/>
      </w:r>
      <w:r>
        <w:rPr>
          <w:rFonts w:hint="eastAsia"/>
          <w:color w:val="000000"/>
        </w:rPr>
        <w:t>家庭关系受民法、宗教法和习惯法的共同支配。在地方，这些法律的影响力不同，影响力最大的是传统法，其次是教会教义，然后才是民法。在可能的情况下，传统领导人一般都努力按照传统信仰来解释天主教教义。宗教法与传统法的成功结合很大程度上还取决于当地牧师的态度。帝汶人们对教会极其尊敬，经常会参加弥撒，他们通常按照与其传统信仰相辅相成而非矛盾的方式对很多教会教义进行解释。事实上，地方的许多人都认为信奉基督教与他们的传统做法并不矛盾。</w:t>
      </w:r>
      <w:r>
        <w:rPr>
          <w:rStyle w:val="FootnoteReference"/>
          <w:bCs/>
          <w:color w:val="000000"/>
        </w:rPr>
        <w:footnoteReference w:id="351"/>
      </w:r>
    </w:p>
    <w:p w:rsidR="00692915" w:rsidRDefault="00692915" w:rsidP="009A1C1B">
      <w:pPr>
        <w:tabs>
          <w:tab w:val="left" w:pos="1170"/>
        </w:tabs>
        <w:spacing w:after="240"/>
        <w:ind w:firstLine="31680"/>
        <w:rPr>
          <w:rFonts w:hint="eastAsia"/>
          <w:i/>
          <w:color w:val="000000"/>
        </w:rPr>
      </w:pPr>
      <w:r>
        <w:rPr>
          <w:color w:val="000000"/>
        </w:rPr>
        <w:t>659.</w:t>
      </w:r>
      <w:r>
        <w:rPr>
          <w:rFonts w:hint="eastAsia"/>
          <w:color w:val="000000"/>
        </w:rPr>
        <w:tab/>
      </w:r>
      <w:r>
        <w:rPr>
          <w:rFonts w:hint="eastAsia"/>
          <w:color w:val="000000"/>
        </w:rPr>
        <w:t>然而，婚姻则是习惯法与宗教法相冲突的一个例子。教堂举行的婚礼即使不以传统的仪式替代，也几乎总是要伴随着一次传统仪式。鉴于通过交换结婚物品（彩礼或聘礼</w:t>
      </w:r>
      <w:r>
        <w:rPr>
          <w:rFonts w:ascii="SimHei" w:eastAsia="SimHei" w:hint="eastAsia"/>
          <w:color w:val="000000"/>
          <w:spacing w:val="0"/>
        </w:rPr>
        <w:t>——</w:t>
      </w:r>
      <w:r>
        <w:rPr>
          <w:rFonts w:hint="eastAsia"/>
          <w:color w:val="000000"/>
        </w:rPr>
        <w:t>见下文）来祈求多子多福的重要性，单是履行宗教义务通常不足以维持家庭或当地群落内部的良好关系。交换物品是传统仪式一部分，对于建立广泛的社会体系至关重要，去掉这一环节将在实际上废除了婚姻的一个重要目的。</w:t>
      </w:r>
    </w:p>
    <w:p w:rsidR="00692915" w:rsidRDefault="00692915">
      <w:pPr>
        <w:pStyle w:val="Heading3"/>
        <w:tabs>
          <w:tab w:val="left" w:pos="1170"/>
        </w:tabs>
        <w:jc w:val="both"/>
        <w:rPr>
          <w:rFonts w:eastAsia="KaiTi_GB2312" w:hint="eastAsia"/>
          <w:color w:val="000000"/>
          <w:u w:val="none"/>
        </w:rPr>
      </w:pPr>
      <w:r>
        <w:rPr>
          <w:rFonts w:eastAsia="KaiTi_GB2312" w:hint="eastAsia"/>
          <w:color w:val="000000"/>
          <w:u w:val="none"/>
        </w:rPr>
        <w:t>对家庭社会工作者的培训</w:t>
      </w:r>
    </w:p>
    <w:p w:rsidR="00692915" w:rsidRDefault="00692915" w:rsidP="009A1C1B">
      <w:pPr>
        <w:tabs>
          <w:tab w:val="left" w:pos="1170"/>
        </w:tabs>
        <w:spacing w:after="240"/>
        <w:ind w:firstLine="31680"/>
        <w:rPr>
          <w:bCs/>
          <w:color w:val="000000"/>
        </w:rPr>
      </w:pPr>
      <w:r>
        <w:rPr>
          <w:bCs/>
          <w:color w:val="000000"/>
        </w:rPr>
        <w:t>660.</w:t>
      </w:r>
      <w:r>
        <w:rPr>
          <w:rFonts w:hint="eastAsia"/>
          <w:bCs/>
          <w:color w:val="000000"/>
        </w:rPr>
        <w:tab/>
      </w:r>
      <w:r>
        <w:rPr>
          <w:rFonts w:hint="eastAsia"/>
          <w:color w:val="000000"/>
        </w:rPr>
        <w:t>目前，有</w:t>
      </w:r>
      <w:r>
        <w:rPr>
          <w:rFonts w:hint="eastAsia"/>
          <w:color w:val="000000"/>
        </w:rPr>
        <w:t>6</w:t>
      </w:r>
      <w:r>
        <w:rPr>
          <w:rFonts w:hint="eastAsia"/>
          <w:color w:val="000000"/>
        </w:rPr>
        <w:t>名社会工作者受雇于劳动与社会安置部</w:t>
      </w:r>
      <w:r>
        <w:rPr>
          <w:rFonts w:hint="eastAsia"/>
          <w:bCs/>
          <w:color w:val="000000"/>
        </w:rPr>
        <w:t>社会服务司，</w:t>
      </w:r>
      <w:r>
        <w:rPr>
          <w:rFonts w:hint="eastAsia"/>
          <w:color w:val="000000"/>
        </w:rPr>
        <w:t>在首都帝力开展工作，除此之外，还有一些由非政府组织短期雇用的社会工作者。在其他各地区，政府还没有发现任何社会工作者。社会工作者具有不同的专业和分工，其工作涉及：对儿童的暴力行为和处境危险的儿童、青少年司法以及孤儿问题。</w:t>
      </w:r>
      <w:r>
        <w:rPr>
          <w:rStyle w:val="FootnoteReference"/>
          <w:bCs/>
          <w:color w:val="000000"/>
        </w:rPr>
        <w:footnoteReference w:id="352"/>
      </w:r>
      <w:r>
        <w:rPr>
          <w:rFonts w:hint="eastAsia"/>
          <w:color w:val="000000"/>
        </w:rPr>
        <w:t>由于经费和实际因素的制约，以及无法确定与之合作的专业社会工作者团体，因此，对从事家庭问题的社会工作者或专业团体进行的培训受到了限制。在对参与社会服务活动的个人进行培训时，培训内容主要涉及保健、司法以及基于性别的暴力。活动主要是促进有关当局对一些问题，尤其是基于性别的暴力问题的认识</w:t>
      </w:r>
      <w:r>
        <w:rPr>
          <w:rFonts w:ascii="SimHei" w:eastAsia="SimHei" w:hint="eastAsia"/>
          <w:color w:val="000000"/>
          <w:spacing w:val="0"/>
        </w:rPr>
        <w:t>——</w:t>
      </w:r>
      <w:r>
        <w:rPr>
          <w:rFonts w:hint="eastAsia"/>
          <w:color w:val="000000"/>
        </w:rPr>
        <w:t>这不单纯是一个家庭问题，他们需要进行干预。在没有通过那些受过专门训练的专业人士提供帮助的情况下，甚至在有了这些专业人士帮助的情况下，往往都会邀请当地牧师参加调解冲突的会议，在各县内尤其如此。例如，如果夫妻考虑分居，牧师将被作为受尊敬的人应邀对其过程作证，或提供建议，但对解决办法不做决定。</w:t>
      </w:r>
    </w:p>
    <w:p w:rsidR="00692915" w:rsidRDefault="00692915">
      <w:pPr>
        <w:pStyle w:val="Heading2"/>
        <w:tabs>
          <w:tab w:val="left" w:pos="1170"/>
        </w:tabs>
        <w:jc w:val="both"/>
        <w:rPr>
          <w:rFonts w:hint="eastAsia"/>
          <w:color w:val="000000"/>
          <w:sz w:val="24"/>
        </w:rPr>
      </w:pPr>
      <w:bookmarkStart w:id="111" w:name="_Toc150515001"/>
      <w:bookmarkStart w:id="112" w:name="_Toc150684905"/>
      <w:r>
        <w:rPr>
          <w:color w:val="000000"/>
          <w:sz w:val="24"/>
        </w:rPr>
        <w:t xml:space="preserve">1.  </w:t>
      </w:r>
      <w:bookmarkEnd w:id="111"/>
      <w:bookmarkEnd w:id="112"/>
      <w:r>
        <w:rPr>
          <w:rFonts w:hint="eastAsia"/>
          <w:color w:val="000000"/>
          <w:sz w:val="24"/>
          <w:u w:val="single"/>
        </w:rPr>
        <w:t>婚姻</w:t>
      </w:r>
    </w:p>
    <w:p w:rsidR="00692915" w:rsidRDefault="00692915">
      <w:pPr>
        <w:pStyle w:val="Heading3"/>
        <w:tabs>
          <w:tab w:val="left" w:pos="1170"/>
        </w:tabs>
        <w:jc w:val="both"/>
        <w:rPr>
          <w:rFonts w:eastAsia="KaiTi_GB2312" w:hint="eastAsia"/>
          <w:color w:val="000000"/>
          <w:u w:val="none"/>
        </w:rPr>
      </w:pPr>
      <w:r>
        <w:rPr>
          <w:rFonts w:eastAsia="KaiTi_GB2312" w:hint="eastAsia"/>
          <w:color w:val="000000"/>
          <w:u w:val="none"/>
        </w:rPr>
        <w:t>结婚权与择偶自由</w:t>
      </w:r>
    </w:p>
    <w:p w:rsidR="00692915" w:rsidRDefault="00692915" w:rsidP="009A1C1B">
      <w:pPr>
        <w:tabs>
          <w:tab w:val="left" w:pos="1170"/>
        </w:tabs>
        <w:ind w:firstLine="31680"/>
        <w:rPr>
          <w:rFonts w:hint="eastAsia"/>
          <w:bCs/>
          <w:color w:val="000000"/>
        </w:rPr>
      </w:pPr>
      <w:r>
        <w:rPr>
          <w:color w:val="000000"/>
        </w:rPr>
        <w:t>661.</w:t>
      </w:r>
      <w:r>
        <w:rPr>
          <w:color w:val="000000"/>
        </w:rPr>
        <w:tab/>
      </w:r>
      <w:r>
        <w:rPr>
          <w:rFonts w:hint="eastAsia"/>
          <w:bCs/>
          <w:color w:val="000000"/>
        </w:rPr>
        <w:t>理论上，每个东帝汶人都有权选择其配偶。《东帝汶宪法》第</w:t>
      </w:r>
      <w:r>
        <w:rPr>
          <w:rFonts w:hint="eastAsia"/>
          <w:bCs/>
          <w:color w:val="000000"/>
        </w:rPr>
        <w:t>39.3</w:t>
      </w:r>
      <w:r>
        <w:rPr>
          <w:rFonts w:hint="eastAsia"/>
          <w:bCs/>
          <w:color w:val="000000"/>
        </w:rPr>
        <w:t>条规定：“婚姻应依法建立在双方当事人自愿和夫妻双方权利全面平等的基础之上。”</w:t>
      </w:r>
    </w:p>
    <w:p w:rsidR="00692915" w:rsidRDefault="00692915" w:rsidP="009A1C1B">
      <w:pPr>
        <w:tabs>
          <w:tab w:val="left" w:pos="1170"/>
        </w:tabs>
        <w:ind w:firstLine="31680"/>
        <w:rPr>
          <w:rFonts w:hint="eastAsia"/>
          <w:bCs/>
          <w:color w:val="000000"/>
        </w:rPr>
      </w:pPr>
      <w:r>
        <w:rPr>
          <w:bCs/>
          <w:color w:val="000000"/>
        </w:rPr>
        <w:t>662.</w:t>
      </w:r>
      <w:r>
        <w:rPr>
          <w:rFonts w:hint="eastAsia"/>
          <w:bCs/>
          <w:color w:val="000000"/>
        </w:rPr>
        <w:tab/>
      </w:r>
      <w:r>
        <w:rPr>
          <w:rFonts w:hint="eastAsia"/>
          <w:bCs/>
          <w:color w:val="000000"/>
        </w:rPr>
        <w:t>目前的法律对自愿的概念也做了明确阐述，《印度尼西亚民法典》第</w:t>
      </w:r>
      <w:r>
        <w:rPr>
          <w:rFonts w:hint="eastAsia"/>
          <w:bCs/>
          <w:color w:val="000000"/>
        </w:rPr>
        <w:t>28</w:t>
      </w:r>
      <w:r>
        <w:rPr>
          <w:rFonts w:hint="eastAsia"/>
          <w:bCs/>
          <w:color w:val="000000"/>
        </w:rPr>
        <w:t>条规定：婚姻“要求可能成为配偶的双方自愿同意”。</w:t>
      </w:r>
    </w:p>
    <w:p w:rsidR="00692915" w:rsidRDefault="00692915" w:rsidP="009A1C1B">
      <w:pPr>
        <w:tabs>
          <w:tab w:val="left" w:pos="1170"/>
        </w:tabs>
        <w:ind w:firstLine="31680"/>
        <w:rPr>
          <w:rFonts w:hint="eastAsia"/>
          <w:bCs/>
          <w:color w:val="000000"/>
        </w:rPr>
      </w:pPr>
      <w:r>
        <w:rPr>
          <w:bCs/>
          <w:color w:val="000000"/>
        </w:rPr>
        <w:t>663.</w:t>
      </w:r>
      <w:r>
        <w:rPr>
          <w:rFonts w:hint="eastAsia"/>
          <w:bCs/>
          <w:color w:val="000000"/>
        </w:rPr>
        <w:tab/>
      </w:r>
      <w:r>
        <w:rPr>
          <w:rFonts w:hint="eastAsia"/>
          <w:bCs/>
          <w:color w:val="000000"/>
        </w:rPr>
        <w:t>根据《印度尼西亚民法典》第</w:t>
      </w:r>
      <w:r>
        <w:rPr>
          <w:rFonts w:hint="eastAsia"/>
          <w:bCs/>
          <w:color w:val="000000"/>
        </w:rPr>
        <w:t>31-49</w:t>
      </w:r>
      <w:r>
        <w:rPr>
          <w:rFonts w:hint="eastAsia"/>
          <w:bCs/>
          <w:color w:val="000000"/>
        </w:rPr>
        <w:t>条规定，在某些情况下婚姻是禁止的，其中包括但不限于：</w:t>
      </w:r>
    </w:p>
    <w:p w:rsidR="00692915" w:rsidRDefault="00692915" w:rsidP="009A1C1B">
      <w:pPr>
        <w:numPr>
          <w:ilvl w:val="0"/>
          <w:numId w:val="6"/>
        </w:numPr>
        <w:tabs>
          <w:tab w:val="clear" w:pos="927"/>
          <w:tab w:val="left" w:pos="1690"/>
        </w:tabs>
        <w:ind w:leftChars="450" w:left="31680" w:hangingChars="200" w:firstLine="31680"/>
        <w:rPr>
          <w:bCs/>
          <w:color w:val="000000"/>
        </w:rPr>
      </w:pPr>
      <w:r>
        <w:rPr>
          <w:rFonts w:hint="eastAsia"/>
          <w:bCs/>
          <w:color w:val="000000"/>
        </w:rPr>
        <w:t>直系亲属之间的婚姻，无论婚姻当事人是合法生育的还是非法生育的；</w:t>
      </w:r>
    </w:p>
    <w:p w:rsidR="00692915" w:rsidRDefault="00692915" w:rsidP="009A1C1B">
      <w:pPr>
        <w:numPr>
          <w:ilvl w:val="0"/>
          <w:numId w:val="6"/>
        </w:numPr>
        <w:tabs>
          <w:tab w:val="clear" w:pos="927"/>
          <w:tab w:val="left" w:pos="1690"/>
        </w:tabs>
        <w:ind w:leftChars="450" w:left="31680" w:hangingChars="200" w:firstLine="31680"/>
        <w:rPr>
          <w:bCs/>
          <w:color w:val="000000"/>
        </w:rPr>
      </w:pPr>
      <w:r>
        <w:rPr>
          <w:rFonts w:hint="eastAsia"/>
          <w:bCs/>
          <w:color w:val="000000"/>
        </w:rPr>
        <w:t>兄妹或姐弟之间的婚姻；</w:t>
      </w:r>
    </w:p>
    <w:p w:rsidR="00692915" w:rsidRDefault="00692915" w:rsidP="009A1C1B">
      <w:pPr>
        <w:numPr>
          <w:ilvl w:val="0"/>
          <w:numId w:val="6"/>
        </w:numPr>
        <w:tabs>
          <w:tab w:val="clear" w:pos="927"/>
          <w:tab w:val="left" w:pos="1690"/>
        </w:tabs>
        <w:ind w:leftChars="450" w:left="31680" w:hangingChars="200" w:firstLine="31680"/>
        <w:rPr>
          <w:bCs/>
          <w:color w:val="000000"/>
        </w:rPr>
      </w:pPr>
      <w:r>
        <w:rPr>
          <w:rFonts w:hint="eastAsia"/>
          <w:bCs/>
          <w:color w:val="000000"/>
        </w:rPr>
        <w:t>叔叔或叔祖父与侄女或孙侄女之间，或，伯母或祖伯母与侄子或孙侄子之间的婚姻；</w:t>
      </w:r>
    </w:p>
    <w:p w:rsidR="00692915" w:rsidRDefault="00692915" w:rsidP="009A1C1B">
      <w:pPr>
        <w:numPr>
          <w:ilvl w:val="0"/>
          <w:numId w:val="6"/>
        </w:numPr>
        <w:tabs>
          <w:tab w:val="clear" w:pos="927"/>
          <w:tab w:val="left" w:pos="1690"/>
        </w:tabs>
        <w:spacing w:after="240"/>
        <w:ind w:leftChars="450" w:left="31680" w:hangingChars="200" w:firstLine="31680"/>
        <w:rPr>
          <w:bCs/>
          <w:color w:val="000000"/>
        </w:rPr>
      </w:pPr>
      <w:r>
        <w:rPr>
          <w:rFonts w:hint="eastAsia"/>
          <w:bCs/>
          <w:color w:val="000000"/>
        </w:rPr>
        <w:t>法律上的兄弟与法律上的姐妹之间的婚姻</w:t>
      </w:r>
      <w:r>
        <w:rPr>
          <w:rFonts w:ascii="SimHei" w:eastAsia="SimHei" w:hint="eastAsia"/>
          <w:bCs/>
          <w:color w:val="000000"/>
          <w:spacing w:val="0"/>
        </w:rPr>
        <w:t>——</w:t>
      </w:r>
      <w:r>
        <w:rPr>
          <w:rFonts w:hint="eastAsia"/>
          <w:bCs/>
          <w:color w:val="000000"/>
        </w:rPr>
        <w:t>除非将这些人联系在一起的夫妻有一方死亡，或一方死亡后，活着的一方得到法官批准另行结婚。</w:t>
      </w:r>
    </w:p>
    <w:p w:rsidR="00692915" w:rsidRDefault="00692915" w:rsidP="009A1C1B">
      <w:pPr>
        <w:tabs>
          <w:tab w:val="left" w:pos="1170"/>
        </w:tabs>
        <w:spacing w:after="240"/>
        <w:ind w:firstLine="31680"/>
        <w:rPr>
          <w:rFonts w:hint="eastAsia"/>
          <w:bCs/>
          <w:color w:val="000000"/>
        </w:rPr>
      </w:pPr>
      <w:r>
        <w:rPr>
          <w:color w:val="000000"/>
        </w:rPr>
        <w:t>664.</w:t>
      </w:r>
      <w:r>
        <w:rPr>
          <w:rFonts w:hint="eastAsia"/>
          <w:bCs/>
          <w:color w:val="000000"/>
        </w:rPr>
        <w:tab/>
      </w:r>
      <w:r>
        <w:rPr>
          <w:rFonts w:hint="eastAsia"/>
          <w:bCs/>
          <w:color w:val="000000"/>
        </w:rPr>
        <w:t>在传统的法律中，男性不得与其同辈的堂姊妹（父亲的兄弟的女儿）结婚，因为根据血缘关系，她被认为是他的姊妹。女性</w:t>
      </w:r>
      <w:r>
        <w:rPr>
          <w:rFonts w:hint="eastAsia"/>
          <w:bCs/>
          <w:color w:val="000000"/>
        </w:rPr>
        <w:t>/</w:t>
      </w:r>
      <w:r>
        <w:rPr>
          <w:rFonts w:hint="eastAsia"/>
          <w:bCs/>
          <w:color w:val="000000"/>
        </w:rPr>
        <w:t>男性不得与他们的姐夫、妹夫，大伯子、小叔子</w:t>
      </w:r>
      <w:r>
        <w:rPr>
          <w:rFonts w:hint="eastAsia"/>
          <w:bCs/>
          <w:color w:val="000000"/>
        </w:rPr>
        <w:t>/</w:t>
      </w:r>
      <w:r>
        <w:rPr>
          <w:rFonts w:hint="eastAsia"/>
          <w:bCs/>
          <w:color w:val="000000"/>
        </w:rPr>
        <w:t>嫂子、弟媳，丈夫的嫂子、弟媳结婚，因为根据姻亲关系，他们也是兄弟姐妹。在东帝汶许多社区，流行一种称为“与舅舅女儿（</w:t>
      </w:r>
      <w:r>
        <w:rPr>
          <w:rFonts w:hint="eastAsia"/>
          <w:bCs/>
          <w:color w:val="000000"/>
        </w:rPr>
        <w:t>MBD</w:t>
      </w:r>
      <w:r>
        <w:rPr>
          <w:rFonts w:hint="eastAsia"/>
          <w:bCs/>
          <w:color w:val="000000"/>
        </w:rPr>
        <w:t>）的婚姻”，这实际上是一种与交表婚。这是一种复杂的婚姻体系，传统上，它将许多家庭结成一个大的社会网。</w:t>
      </w:r>
    </w:p>
    <w:p w:rsidR="00692915" w:rsidRDefault="00692915">
      <w:pPr>
        <w:pStyle w:val="Heading3"/>
        <w:tabs>
          <w:tab w:val="left" w:pos="1170"/>
        </w:tabs>
        <w:jc w:val="both"/>
        <w:rPr>
          <w:rFonts w:eastAsia="KaiTi_GB2312" w:hint="eastAsia"/>
          <w:color w:val="000000"/>
          <w:u w:val="none"/>
        </w:rPr>
      </w:pPr>
      <w:r>
        <w:rPr>
          <w:rFonts w:eastAsia="KaiTi_GB2312" w:hint="eastAsia"/>
          <w:color w:val="000000"/>
          <w:u w:val="none"/>
        </w:rPr>
        <w:t>女孩订婚</w:t>
      </w:r>
    </w:p>
    <w:p w:rsidR="00692915" w:rsidRDefault="00692915" w:rsidP="009A1C1B">
      <w:pPr>
        <w:tabs>
          <w:tab w:val="left" w:pos="1170"/>
        </w:tabs>
        <w:spacing w:after="240"/>
        <w:ind w:firstLine="31680"/>
        <w:rPr>
          <w:rFonts w:hint="eastAsia"/>
          <w:bCs/>
          <w:color w:val="000000"/>
        </w:rPr>
      </w:pPr>
      <w:r>
        <w:rPr>
          <w:color w:val="000000"/>
        </w:rPr>
        <w:t>665.</w:t>
      </w:r>
      <w:r>
        <w:rPr>
          <w:rFonts w:hint="eastAsia"/>
          <w:color w:val="000000"/>
        </w:rPr>
        <w:tab/>
      </w:r>
      <w:r>
        <w:rPr>
          <w:rFonts w:hint="eastAsia"/>
          <w:bCs/>
          <w:color w:val="000000"/>
          <w:spacing w:val="8"/>
        </w:rPr>
        <w:t>显然，当前法律与某些传统做法相抵触。尽管越来越多的男女通过自由恋爱选择对象，但地区磋商会议的结果显示许多年轻女性实际上仍然不能自主选择他们的配偶。</w:t>
      </w:r>
      <w:r>
        <w:rPr>
          <w:rStyle w:val="FootnoteReference"/>
          <w:bCs/>
          <w:color w:val="000000"/>
          <w:spacing w:val="8"/>
        </w:rPr>
        <w:footnoteReference w:id="353"/>
      </w:r>
      <w:r>
        <w:rPr>
          <w:rFonts w:hint="eastAsia"/>
          <w:bCs/>
          <w:color w:val="000000"/>
          <w:spacing w:val="8"/>
        </w:rPr>
        <w:t>例如，在女婴出生时，她的家人就为她选择了堂兄弟作为其丈夫。她的伯母或伯父向女孩家送上初次的“彩礼”，女孩由自家代为照顾，直到结婚年龄。</w:t>
      </w:r>
      <w:r>
        <w:rPr>
          <w:rStyle w:val="FootnoteReference"/>
          <w:bCs/>
          <w:color w:val="000000"/>
          <w:spacing w:val="8"/>
        </w:rPr>
        <w:footnoteReference w:id="354"/>
      </w:r>
      <w:r>
        <w:rPr>
          <w:rFonts w:hint="eastAsia"/>
          <w:bCs/>
          <w:color w:val="000000"/>
          <w:spacing w:val="8"/>
        </w:rPr>
        <w:t>有时，这是将“彩礼”保留在家族中的一种方式。无论女孩是否真正爱她的未婚夫，都不能撕毁出生时父母达成的婚约。撕毁婚约将会给家庭带来耻辱，并将退还初次的“彩礼”。随后在妇女的婚姻生活中，这些价值观进一步得到了加强。</w:t>
      </w:r>
      <w:r>
        <w:rPr>
          <w:rStyle w:val="FootnoteReference"/>
          <w:bCs/>
          <w:color w:val="000000"/>
          <w:spacing w:val="8"/>
        </w:rPr>
        <w:footnoteReference w:id="355"/>
      </w:r>
    </w:p>
    <w:p w:rsidR="00692915" w:rsidRDefault="00692915">
      <w:pPr>
        <w:pStyle w:val="Heading3"/>
        <w:tabs>
          <w:tab w:val="left" w:pos="1170"/>
        </w:tabs>
        <w:jc w:val="both"/>
        <w:rPr>
          <w:rFonts w:eastAsia="KaiTi_GB2312" w:hint="eastAsia"/>
          <w:color w:val="000000"/>
          <w:u w:val="none"/>
        </w:rPr>
      </w:pPr>
      <w:r>
        <w:rPr>
          <w:rFonts w:eastAsia="KaiTi_GB2312" w:hint="eastAsia"/>
          <w:color w:val="000000"/>
          <w:u w:val="none"/>
        </w:rPr>
        <w:t>最低结婚年龄</w:t>
      </w:r>
    </w:p>
    <w:p w:rsidR="00692915" w:rsidRDefault="00692915" w:rsidP="009A1C1B">
      <w:pPr>
        <w:tabs>
          <w:tab w:val="left" w:pos="1170"/>
        </w:tabs>
        <w:ind w:firstLine="31680"/>
        <w:rPr>
          <w:rFonts w:hint="eastAsia"/>
          <w:bCs/>
          <w:color w:val="000000"/>
        </w:rPr>
      </w:pPr>
      <w:r>
        <w:rPr>
          <w:bCs/>
          <w:color w:val="000000"/>
        </w:rPr>
        <w:t>666.</w:t>
      </w:r>
      <w:r>
        <w:rPr>
          <w:rFonts w:hint="eastAsia"/>
          <w:bCs/>
          <w:color w:val="000000"/>
        </w:rPr>
        <w:t xml:space="preserve"> </w:t>
      </w:r>
      <w:r>
        <w:rPr>
          <w:rFonts w:hint="eastAsia"/>
          <w:bCs/>
          <w:color w:val="000000"/>
        </w:rPr>
        <w:tab/>
      </w:r>
      <w:r>
        <w:rPr>
          <w:rFonts w:hint="eastAsia"/>
          <w:bCs/>
          <w:color w:val="000000"/>
        </w:rPr>
        <w:t>根据</w:t>
      </w:r>
      <w:r>
        <w:rPr>
          <w:bCs/>
          <w:color w:val="000000"/>
        </w:rPr>
        <w:t>《印度尼西亚民法典》</w:t>
      </w:r>
      <w:r>
        <w:rPr>
          <w:rFonts w:hint="eastAsia"/>
          <w:bCs/>
          <w:color w:val="000000"/>
        </w:rPr>
        <w:t>项下的现行法律规定（第</w:t>
      </w:r>
      <w:r>
        <w:rPr>
          <w:rFonts w:hint="eastAsia"/>
          <w:bCs/>
          <w:color w:val="000000"/>
        </w:rPr>
        <w:t>29</w:t>
      </w:r>
      <w:r>
        <w:rPr>
          <w:rFonts w:hint="eastAsia"/>
          <w:bCs/>
          <w:color w:val="000000"/>
        </w:rPr>
        <w:t>条），男子年满</w:t>
      </w:r>
      <w:r>
        <w:rPr>
          <w:rFonts w:hint="eastAsia"/>
          <w:bCs/>
          <w:color w:val="000000"/>
        </w:rPr>
        <w:t>18</w:t>
      </w:r>
      <w:r>
        <w:rPr>
          <w:rFonts w:hint="eastAsia"/>
          <w:bCs/>
          <w:color w:val="000000"/>
        </w:rPr>
        <w:t>周岁才能结婚，而年满</w:t>
      </w:r>
      <w:r>
        <w:rPr>
          <w:rFonts w:hint="eastAsia"/>
          <w:bCs/>
          <w:color w:val="000000"/>
        </w:rPr>
        <w:t>15</w:t>
      </w:r>
      <w:r>
        <w:rPr>
          <w:rFonts w:hint="eastAsia"/>
          <w:bCs/>
          <w:color w:val="000000"/>
        </w:rPr>
        <w:t>周岁的女孩只要父母同意就可以结婚（第</w:t>
      </w:r>
      <w:r>
        <w:rPr>
          <w:rFonts w:hint="eastAsia"/>
          <w:bCs/>
          <w:color w:val="000000"/>
        </w:rPr>
        <w:t>35</w:t>
      </w:r>
      <w:r>
        <w:rPr>
          <w:rFonts w:hint="eastAsia"/>
          <w:bCs/>
          <w:color w:val="000000"/>
        </w:rPr>
        <w:t>条）。</w:t>
      </w:r>
    </w:p>
    <w:p w:rsidR="00692915" w:rsidRDefault="00692915" w:rsidP="009A1C1B">
      <w:pPr>
        <w:tabs>
          <w:tab w:val="left" w:pos="1170"/>
        </w:tabs>
        <w:spacing w:after="240"/>
        <w:ind w:firstLine="31680"/>
        <w:rPr>
          <w:rFonts w:hint="eastAsia"/>
          <w:bCs/>
          <w:color w:val="000000"/>
        </w:rPr>
      </w:pPr>
      <w:r>
        <w:rPr>
          <w:bCs/>
          <w:color w:val="000000"/>
        </w:rPr>
        <w:t>667.</w:t>
      </w:r>
      <w:r>
        <w:rPr>
          <w:rFonts w:hint="eastAsia"/>
          <w:bCs/>
          <w:color w:val="000000"/>
        </w:rPr>
        <w:tab/>
      </w:r>
      <w:r>
        <w:rPr>
          <w:rFonts w:hint="eastAsia"/>
          <w:bCs/>
          <w:color w:val="000000"/>
        </w:rPr>
        <w:t>人们普遍认为东帝汶存在童婚和定娃娃亲的现象（即</w:t>
      </w:r>
      <w:r>
        <w:rPr>
          <w:rFonts w:hint="eastAsia"/>
          <w:bCs/>
          <w:color w:val="000000"/>
        </w:rPr>
        <w:t>18</w:t>
      </w:r>
      <w:r>
        <w:rPr>
          <w:rFonts w:hint="eastAsia"/>
          <w:bCs/>
          <w:color w:val="000000"/>
        </w:rPr>
        <w:t>周岁以下儿童结婚或订婚）。</w:t>
      </w:r>
      <w:r>
        <w:rPr>
          <w:rStyle w:val="FootnoteReference"/>
          <w:bCs/>
          <w:color w:val="000000"/>
        </w:rPr>
        <w:footnoteReference w:id="356"/>
      </w:r>
      <w:r>
        <w:rPr>
          <w:rFonts w:hint="eastAsia"/>
          <w:bCs/>
          <w:color w:val="000000"/>
        </w:rPr>
        <w:t>根据各地区的报告，曾有</w:t>
      </w:r>
      <w:r>
        <w:rPr>
          <w:rFonts w:hint="eastAsia"/>
          <w:bCs/>
          <w:color w:val="000000"/>
        </w:rPr>
        <w:t>13</w:t>
      </w:r>
      <w:r>
        <w:rPr>
          <w:rFonts w:hint="eastAsia"/>
          <w:bCs/>
          <w:color w:val="000000"/>
        </w:rPr>
        <w:t>岁或</w:t>
      </w:r>
      <w:r>
        <w:rPr>
          <w:rFonts w:hint="eastAsia"/>
          <w:bCs/>
          <w:color w:val="000000"/>
        </w:rPr>
        <w:t>14</w:t>
      </w:r>
      <w:r>
        <w:rPr>
          <w:rFonts w:hint="eastAsia"/>
          <w:bCs/>
          <w:color w:val="000000"/>
        </w:rPr>
        <w:t>岁女孩结婚的情况。</w:t>
      </w:r>
      <w:r>
        <w:rPr>
          <w:rStyle w:val="FootnoteReference"/>
          <w:bCs/>
          <w:color w:val="000000"/>
        </w:rPr>
        <w:footnoteReference w:id="357"/>
      </w:r>
      <w:r>
        <w:rPr>
          <w:rFonts w:hint="eastAsia"/>
          <w:bCs/>
          <w:color w:val="000000"/>
        </w:rPr>
        <w:t>这类婚姻通常在结婚当事人出生前便由某一家庭所决定。在其他情况下，由于极端贫困，女孩家庭往往通过童婚安排获取彩礼，而不知道向女孩求婚的一方究竟有多大年纪，这些女孩肯定都不会读写，也从来没有上过学。这种情况在农村地区要比首都更为普遍。</w:t>
      </w:r>
    </w:p>
    <w:p w:rsidR="00692915" w:rsidRDefault="00692915">
      <w:pPr>
        <w:pStyle w:val="Heading3"/>
        <w:tabs>
          <w:tab w:val="left" w:pos="1170"/>
        </w:tabs>
        <w:jc w:val="both"/>
        <w:rPr>
          <w:rFonts w:eastAsia="KaiTi_GB2312" w:hint="eastAsia"/>
          <w:color w:val="000000"/>
          <w:u w:val="none"/>
        </w:rPr>
      </w:pPr>
      <w:r>
        <w:rPr>
          <w:rFonts w:eastAsia="KaiTi_GB2312" w:hint="eastAsia"/>
          <w:color w:val="000000"/>
          <w:u w:val="none"/>
        </w:rPr>
        <w:t>一夫多妻制</w:t>
      </w:r>
    </w:p>
    <w:p w:rsidR="00692915" w:rsidRDefault="00692915" w:rsidP="009A1C1B">
      <w:pPr>
        <w:tabs>
          <w:tab w:val="left" w:pos="1170"/>
        </w:tabs>
        <w:spacing w:after="240"/>
        <w:ind w:firstLine="31680"/>
        <w:rPr>
          <w:rFonts w:hint="eastAsia"/>
          <w:color w:val="000000"/>
        </w:rPr>
      </w:pPr>
      <w:r>
        <w:rPr>
          <w:color w:val="000000"/>
        </w:rPr>
        <w:t>668.</w:t>
      </w:r>
      <w:r>
        <w:rPr>
          <w:rFonts w:hint="eastAsia"/>
          <w:color w:val="000000"/>
        </w:rPr>
        <w:tab/>
      </w:r>
      <w:r>
        <w:rPr>
          <w:color w:val="000000"/>
        </w:rPr>
        <w:t>《印度尼西亚民法典》</w:t>
      </w:r>
      <w:r>
        <w:rPr>
          <w:rFonts w:hint="eastAsia"/>
          <w:color w:val="000000"/>
        </w:rPr>
        <w:t>只承认公证婚姻（第</w:t>
      </w:r>
      <w:r>
        <w:rPr>
          <w:rFonts w:hint="eastAsia"/>
          <w:color w:val="000000"/>
        </w:rPr>
        <w:t>26</w:t>
      </w:r>
      <w:r>
        <w:rPr>
          <w:rFonts w:hint="eastAsia"/>
          <w:color w:val="000000"/>
        </w:rPr>
        <w:t>条），而将一夫多妻列为非法（第</w:t>
      </w:r>
      <w:r>
        <w:rPr>
          <w:rFonts w:hint="eastAsia"/>
          <w:color w:val="000000"/>
        </w:rPr>
        <w:t>27</w:t>
      </w:r>
      <w:r>
        <w:rPr>
          <w:rFonts w:hint="eastAsia"/>
          <w:color w:val="000000"/>
        </w:rPr>
        <w:t>条）。</w:t>
      </w:r>
      <w:r>
        <w:rPr>
          <w:rFonts w:hint="eastAsia"/>
          <w:color w:val="000000"/>
        </w:rPr>
        <w:t xml:space="preserve"> </w:t>
      </w:r>
      <w:r>
        <w:rPr>
          <w:rFonts w:hint="eastAsia"/>
          <w:color w:val="000000"/>
        </w:rPr>
        <w:t>但是，地区协商会议</w:t>
      </w:r>
      <w:r>
        <w:rPr>
          <w:rStyle w:val="FootnoteReference"/>
          <w:bCs/>
          <w:color w:val="000000"/>
        </w:rPr>
        <w:footnoteReference w:id="358"/>
      </w:r>
      <w:r>
        <w:rPr>
          <w:rFonts w:hint="eastAsia"/>
          <w:color w:val="000000"/>
        </w:rPr>
        <w:t>结果显示，尽管天主教会采取措施反对一夫多妻制，但一夫多妻在东帝汶仍是一个问题。由于婚姻登记处只要求一个妻子在登记处进行登记，因此很难评估一夫多妻的程度。一名男子通过天主教堂与一名女子结婚，而通过传统方式再娶其他妻子，这种情况十分普遍。</w:t>
      </w:r>
      <w:r>
        <w:rPr>
          <w:rStyle w:val="FootnoteReference"/>
          <w:bCs/>
          <w:color w:val="000000"/>
        </w:rPr>
        <w:footnoteReference w:id="359"/>
      </w:r>
      <w:r>
        <w:rPr>
          <w:rFonts w:hint="eastAsia"/>
          <w:color w:val="000000"/>
        </w:rPr>
        <w:t>在这种情况下，妇女是直接的受害者，因为她们的丈夫或伴侣要抽出时间与其他妻子相伴，而花在她们身上的费用有限。有些丈夫还会离开家庭，因为他们的第一任妻子不能生孩子。</w:t>
      </w:r>
    </w:p>
    <w:p w:rsidR="00692915" w:rsidRDefault="00692915">
      <w:pPr>
        <w:pStyle w:val="Heading3"/>
        <w:tabs>
          <w:tab w:val="left" w:pos="1170"/>
        </w:tabs>
        <w:jc w:val="both"/>
        <w:rPr>
          <w:rFonts w:eastAsia="KaiTi_GB2312" w:hint="eastAsia"/>
          <w:color w:val="000000"/>
          <w:u w:val="none"/>
        </w:rPr>
      </w:pPr>
      <w:r>
        <w:rPr>
          <w:rFonts w:eastAsia="KaiTi_GB2312" w:hint="eastAsia"/>
          <w:color w:val="000000"/>
          <w:u w:val="none"/>
        </w:rPr>
        <w:t>婚姻平等</w:t>
      </w:r>
    </w:p>
    <w:p w:rsidR="00692915" w:rsidRDefault="00692915" w:rsidP="009A1C1B">
      <w:pPr>
        <w:tabs>
          <w:tab w:val="left" w:pos="1170"/>
        </w:tabs>
        <w:ind w:firstLine="31680"/>
        <w:rPr>
          <w:rFonts w:hint="eastAsia"/>
          <w:color w:val="000000"/>
        </w:rPr>
      </w:pPr>
      <w:r>
        <w:rPr>
          <w:color w:val="000000"/>
        </w:rPr>
        <w:t>669.</w:t>
      </w:r>
      <w:r>
        <w:rPr>
          <w:rFonts w:hint="eastAsia"/>
          <w:color w:val="000000"/>
        </w:rPr>
        <w:t xml:space="preserve"> </w:t>
      </w:r>
      <w:r>
        <w:rPr>
          <w:rFonts w:hint="eastAsia"/>
          <w:color w:val="000000"/>
        </w:rPr>
        <w:t>尽管《东帝汶宪法》明文规定妇女在家庭生活各方面享有与男子同等的权利与义务，</w:t>
      </w:r>
      <w:r>
        <w:rPr>
          <w:rStyle w:val="FootnoteReference"/>
          <w:bCs/>
          <w:color w:val="000000"/>
        </w:rPr>
        <w:footnoteReference w:id="360"/>
      </w:r>
      <w:r>
        <w:rPr>
          <w:rFonts w:hint="eastAsia"/>
          <w:color w:val="000000"/>
        </w:rPr>
        <w:t>而且婚姻应建立在“夫妻双方权利完全平等”的基础上，</w:t>
      </w:r>
      <w:r>
        <w:rPr>
          <w:rStyle w:val="FootnoteReference"/>
          <w:bCs/>
          <w:color w:val="000000"/>
        </w:rPr>
        <w:footnoteReference w:id="361"/>
      </w:r>
      <w:r>
        <w:rPr>
          <w:rFonts w:hint="eastAsia"/>
          <w:color w:val="000000"/>
        </w:rPr>
        <w:t>但在家庭内部，有关男性与女性不同作用与责任的传统解释实际上妨碍了妇女充分享受这些权利。</w:t>
      </w:r>
    </w:p>
    <w:p w:rsidR="00692915" w:rsidRDefault="00692915" w:rsidP="009A1C1B">
      <w:pPr>
        <w:tabs>
          <w:tab w:val="left" w:pos="1170"/>
        </w:tabs>
        <w:spacing w:after="240"/>
        <w:ind w:firstLine="31680"/>
        <w:rPr>
          <w:rFonts w:hint="eastAsia"/>
          <w:bCs/>
          <w:color w:val="000000"/>
        </w:rPr>
      </w:pPr>
      <w:r>
        <w:rPr>
          <w:color w:val="000000"/>
        </w:rPr>
        <w:t>670.</w:t>
      </w:r>
      <w:r>
        <w:rPr>
          <w:rFonts w:hint="eastAsia"/>
          <w:bCs/>
          <w:color w:val="000000"/>
        </w:rPr>
        <w:tab/>
      </w:r>
      <w:r>
        <w:rPr>
          <w:rFonts w:hint="eastAsia"/>
          <w:bCs/>
          <w:color w:val="000000"/>
        </w:rPr>
        <w:t>例如，尽管不是在全国所有地区，但至少在某些地区，已婚男子有权从家庭中分得一块地，因为他是“直系后代”或族群后代之一。他的儿子也是其成员，有权通过父亲享有该土地。只要未婚女子能够通过其父系证明其为直系后代之一，她们也能分到部分土地，但份额要比其兄弟的份额小。当女子结婚后，再去要求使用她父亲的地，那就难办了。土地纠纷产生的冲突通常以传统方法解决，而且经常有利于土地使用者，而不是土地所有者。与</w:t>
      </w:r>
      <w:r>
        <w:rPr>
          <w:bCs/>
          <w:color w:val="000000"/>
        </w:rPr>
        <w:t>《消除对妇女一切形式歧视公约》</w:t>
      </w:r>
      <w:r>
        <w:rPr>
          <w:rFonts w:hint="eastAsia"/>
          <w:bCs/>
          <w:color w:val="000000"/>
        </w:rPr>
        <w:t>有关的专门文件将进一步对此问题进行讨论。</w:t>
      </w:r>
    </w:p>
    <w:p w:rsidR="00692915" w:rsidRDefault="00692915">
      <w:pPr>
        <w:pStyle w:val="Heading3"/>
        <w:tabs>
          <w:tab w:val="left" w:pos="1170"/>
        </w:tabs>
        <w:jc w:val="both"/>
        <w:rPr>
          <w:rFonts w:eastAsia="KaiTi_GB2312" w:hint="eastAsia"/>
          <w:color w:val="000000"/>
          <w:u w:val="none"/>
        </w:rPr>
      </w:pPr>
      <w:r>
        <w:rPr>
          <w:rFonts w:eastAsia="KaiTi_GB2312" w:hint="eastAsia"/>
          <w:color w:val="000000"/>
          <w:u w:val="none"/>
        </w:rPr>
        <w:t>婚姻中的角色和责任</w:t>
      </w:r>
    </w:p>
    <w:p w:rsidR="00692915" w:rsidRDefault="00692915" w:rsidP="009A1C1B">
      <w:pPr>
        <w:tabs>
          <w:tab w:val="left" w:pos="1170"/>
        </w:tabs>
        <w:ind w:firstLine="31680"/>
        <w:rPr>
          <w:rFonts w:hint="eastAsia"/>
          <w:color w:val="000000"/>
        </w:rPr>
      </w:pPr>
      <w:r>
        <w:rPr>
          <w:color w:val="000000"/>
        </w:rPr>
        <w:t>671.</w:t>
      </w:r>
      <w:r>
        <w:rPr>
          <w:rFonts w:hint="eastAsia"/>
          <w:color w:val="000000"/>
        </w:rPr>
        <w:tab/>
      </w:r>
      <w:r>
        <w:rPr>
          <w:rFonts w:hint="eastAsia"/>
          <w:color w:val="000000"/>
        </w:rPr>
        <w:t>由于东帝汶社会实际上是一个父权社会，因此男性是所有谈判中的主要参与者，负责为家庭做出决定和制订法律。相反，在大多数情况下，人们要求帝汶妇女顺从其丈夫，只有当其丈夫死后，她才能当家作主。人们希望她们为丈夫和子女做出牺牲，同时还要小心翼翼，不要参与任何被认为会让家庭蒙羞的活动。</w:t>
      </w:r>
    </w:p>
    <w:p w:rsidR="00692915" w:rsidRDefault="00692915" w:rsidP="009A1C1B">
      <w:pPr>
        <w:tabs>
          <w:tab w:val="left" w:pos="1170"/>
        </w:tabs>
        <w:ind w:firstLine="31680"/>
        <w:rPr>
          <w:rFonts w:hint="eastAsia"/>
          <w:bCs/>
          <w:color w:val="000000"/>
        </w:rPr>
      </w:pPr>
      <w:r>
        <w:rPr>
          <w:color w:val="000000"/>
        </w:rPr>
        <w:t>672.</w:t>
      </w:r>
      <w:r>
        <w:rPr>
          <w:rFonts w:hint="eastAsia"/>
          <w:bCs/>
          <w:color w:val="000000"/>
        </w:rPr>
        <w:tab/>
      </w:r>
      <w:r>
        <w:rPr>
          <w:rFonts w:hint="eastAsia"/>
          <w:bCs/>
          <w:color w:val="000000"/>
        </w:rPr>
        <w:t>妇女一旦结婚，其主要职责就是生儿育女，以延续“生命”，或传宗接代。</w:t>
      </w:r>
      <w:r>
        <w:rPr>
          <w:rFonts w:hint="eastAsia"/>
          <w:bCs/>
          <w:color w:val="000000"/>
        </w:rPr>
        <w:t xml:space="preserve"> </w:t>
      </w:r>
      <w:r>
        <w:rPr>
          <w:rFonts w:hint="eastAsia"/>
          <w:bCs/>
          <w:color w:val="000000"/>
        </w:rPr>
        <w:t>而丈夫则离家找工作，养家糊口。家庭成为妻子的全部活动范围，她们要负责照顾子女，干一些日常家务。</w:t>
      </w:r>
    </w:p>
    <w:p w:rsidR="00692915" w:rsidRDefault="00692915" w:rsidP="009A1C1B">
      <w:pPr>
        <w:tabs>
          <w:tab w:val="left" w:pos="1170"/>
        </w:tabs>
        <w:ind w:firstLine="31680"/>
        <w:rPr>
          <w:rFonts w:hint="eastAsia"/>
          <w:color w:val="000000"/>
        </w:rPr>
      </w:pPr>
      <w:r>
        <w:rPr>
          <w:bCs/>
          <w:color w:val="000000"/>
        </w:rPr>
        <w:t>673.</w:t>
      </w:r>
      <w:r>
        <w:rPr>
          <w:rFonts w:hint="eastAsia"/>
          <w:bCs/>
          <w:color w:val="000000"/>
        </w:rPr>
        <w:tab/>
      </w:r>
      <w:r>
        <w:rPr>
          <w:rFonts w:hint="eastAsia"/>
          <w:bCs/>
          <w:color w:val="000000"/>
        </w:rPr>
        <w:t>尽管法律明确赋予妇女有关生多少孩子和生育间隔的权利，但根据文化传统，她们一旦结婚，就需要为家庭“传宗接代”</w:t>
      </w:r>
      <w:r>
        <w:rPr>
          <w:rStyle w:val="FootnoteReference"/>
          <w:bCs/>
          <w:color w:val="000000"/>
        </w:rPr>
        <w:t xml:space="preserve"> </w:t>
      </w:r>
      <w:r>
        <w:rPr>
          <w:rFonts w:hint="eastAsia"/>
          <w:bCs/>
          <w:color w:val="000000"/>
        </w:rPr>
        <w:t>。</w:t>
      </w:r>
      <w:r>
        <w:rPr>
          <w:rStyle w:val="FootnoteReference"/>
          <w:bCs/>
          <w:color w:val="000000"/>
        </w:rPr>
        <w:footnoteReference w:id="362"/>
      </w:r>
      <w:r>
        <w:rPr>
          <w:rFonts w:hint="eastAsia"/>
          <w:bCs/>
          <w:color w:val="000000"/>
        </w:rPr>
        <w:t>在东帝汶，不能生孩子的女人将会受到歧视。</w:t>
      </w:r>
      <w:r>
        <w:rPr>
          <w:rStyle w:val="FootnoteReference"/>
          <w:bCs/>
          <w:color w:val="000000"/>
        </w:rPr>
        <w:footnoteReference w:id="363"/>
      </w:r>
      <w:r>
        <w:rPr>
          <w:rFonts w:hint="eastAsia"/>
          <w:bCs/>
          <w:color w:val="000000"/>
        </w:rPr>
        <w:t>在计划生育方面，许多妇女称她们没有发言权。</w:t>
      </w:r>
      <w:r>
        <w:rPr>
          <w:rStyle w:val="FootnoteReference"/>
          <w:bCs/>
          <w:color w:val="000000"/>
        </w:rPr>
        <w:footnoteReference w:id="364"/>
      </w:r>
      <w:r>
        <w:rPr>
          <w:rFonts w:hint="eastAsia"/>
          <w:color w:val="000000"/>
        </w:rPr>
        <w:t>多指标类集调查显示，采用过各种避孕措施的帝汶男子不到</w:t>
      </w:r>
      <w:r>
        <w:rPr>
          <w:rFonts w:hint="eastAsia"/>
          <w:color w:val="000000"/>
        </w:rPr>
        <w:t>1%</w:t>
      </w:r>
      <w:r>
        <w:rPr>
          <w:rFonts w:hint="eastAsia"/>
          <w:color w:val="000000"/>
        </w:rPr>
        <w:t>，因此主要避孕责任转到了妇女身上。该调查还显示，在那些与一个丈夫或伴侣生活在一起的东帝汶妇女中，只有</w:t>
      </w:r>
      <w:r>
        <w:rPr>
          <w:rFonts w:hint="eastAsia"/>
          <w:color w:val="000000"/>
        </w:rPr>
        <w:t>8%</w:t>
      </w:r>
      <w:r>
        <w:rPr>
          <w:rFonts w:hint="eastAsia"/>
          <w:color w:val="000000"/>
        </w:rPr>
        <w:t>的人实际采取了避孕措施，这主要与上述原因有关。妇女很少或无法获得计划生育方面的信息，因此不能行使</w:t>
      </w:r>
      <w:r>
        <w:rPr>
          <w:bCs/>
          <w:color w:val="000000"/>
        </w:rPr>
        <w:t>《消除对妇女一切形式歧视公约》</w:t>
      </w:r>
      <w:r>
        <w:rPr>
          <w:rFonts w:hint="eastAsia"/>
          <w:bCs/>
          <w:color w:val="000000"/>
        </w:rPr>
        <w:t>第</w:t>
      </w:r>
      <w:r>
        <w:rPr>
          <w:rFonts w:hint="eastAsia"/>
          <w:bCs/>
          <w:color w:val="000000"/>
        </w:rPr>
        <w:t>16</w:t>
      </w:r>
      <w:r>
        <w:rPr>
          <w:rFonts w:hint="eastAsia"/>
          <w:bCs/>
          <w:color w:val="000000"/>
        </w:rPr>
        <w:t>条中有关她们的权利</w:t>
      </w:r>
      <w:r>
        <w:rPr>
          <w:rFonts w:hint="eastAsia"/>
          <w:color w:val="000000"/>
        </w:rPr>
        <w:t>。与</w:t>
      </w:r>
      <w:r>
        <w:rPr>
          <w:bCs/>
          <w:color w:val="000000"/>
        </w:rPr>
        <w:t>《消除对妇女一切形式歧视公约》</w:t>
      </w:r>
      <w:r>
        <w:rPr>
          <w:rFonts w:hint="eastAsia"/>
          <w:bCs/>
          <w:color w:val="000000"/>
        </w:rPr>
        <w:t>有关的专门文件中将进一步探讨该问题。通常情况下，丈夫的家人（例如其母亲）在一定程度上影响并与其儿子一起决定儿媳妇应有多少孩子。正如许多东帝汶传统一样，男子是主要的决策者，因此也就自然在家中掌权。</w:t>
      </w:r>
    </w:p>
    <w:p w:rsidR="00692915" w:rsidRDefault="00692915" w:rsidP="009A1C1B">
      <w:pPr>
        <w:pStyle w:val="BodyText3"/>
        <w:tabs>
          <w:tab w:val="left" w:pos="1170"/>
        </w:tabs>
        <w:ind w:firstLine="31680"/>
        <w:rPr>
          <w:rFonts w:hint="eastAsia"/>
          <w:color w:val="000000"/>
          <w:lang w:eastAsia="zh-CN"/>
        </w:rPr>
      </w:pPr>
      <w:r>
        <w:rPr>
          <w:color w:val="000000"/>
          <w:lang w:eastAsia="zh-CN"/>
        </w:rPr>
        <w:t>674.</w:t>
      </w:r>
      <w:r>
        <w:rPr>
          <w:rFonts w:hint="eastAsia"/>
          <w:color w:val="000000"/>
          <w:lang w:eastAsia="zh-CN"/>
        </w:rPr>
        <w:t xml:space="preserve"> </w:t>
      </w:r>
      <w:r>
        <w:rPr>
          <w:rFonts w:hint="eastAsia"/>
          <w:color w:val="000000"/>
          <w:lang w:eastAsia="zh-CN"/>
        </w:rPr>
        <w:tab/>
      </w:r>
      <w:r>
        <w:rPr>
          <w:rFonts w:hint="eastAsia"/>
          <w:color w:val="000000"/>
          <w:lang w:eastAsia="zh-CN"/>
        </w:rPr>
        <w:t>从很早以前传下来的这些角色分工实际上限制了妇女的活动范围。这些规定需要严格实施与遵守，就年轻女孩来说，这部分是为了保证她们的安全，以便在某些情况下（例如晚回家），防止不测事情的发生。但是，主要目的是要将妇女控制在家中。例如，年轻女孩应在放学后马上回家做家务，有时还要学做针线活。一般认为外出半夜不归是不良行为，女孩和家人会被周围的人瞧不起。这与家中的男性生活形成了鲜明对比，他们要自由得多，可以放松地在外面与朋友呆在一起。</w:t>
      </w:r>
    </w:p>
    <w:p w:rsidR="00692915" w:rsidRDefault="00692915" w:rsidP="009A1C1B">
      <w:pPr>
        <w:tabs>
          <w:tab w:val="left" w:pos="1170"/>
        </w:tabs>
        <w:ind w:firstLine="31680"/>
        <w:rPr>
          <w:rFonts w:hint="eastAsia"/>
          <w:bCs/>
          <w:color w:val="000000"/>
        </w:rPr>
      </w:pPr>
      <w:r>
        <w:rPr>
          <w:bCs/>
          <w:color w:val="000000"/>
        </w:rPr>
        <w:t>675.</w:t>
      </w:r>
      <w:r>
        <w:rPr>
          <w:rFonts w:hint="eastAsia"/>
          <w:bCs/>
          <w:color w:val="000000"/>
        </w:rPr>
        <w:tab/>
      </w:r>
      <w:r>
        <w:rPr>
          <w:rFonts w:hint="eastAsia"/>
          <w:bCs/>
          <w:color w:val="000000"/>
        </w:rPr>
        <w:t>限制妇女在外面活动最终限制了妇女在人际交往和其他重要生活技巧方面的发展，这不足为奇。教育是明显受到这种影响的领域之一。母语不是德顿语的妇女学习这种语言的机会较少，因为她们无法像其丈夫一样去帝力或其他主要城市做生意。因此，她们只能从家人或朋友那里获取一些二手信息来了解外边发生的事情。</w:t>
      </w:r>
    </w:p>
    <w:p w:rsidR="00692915" w:rsidRDefault="00692915" w:rsidP="009A1C1B">
      <w:pPr>
        <w:tabs>
          <w:tab w:val="left" w:pos="1170"/>
        </w:tabs>
        <w:ind w:firstLine="31680"/>
        <w:rPr>
          <w:rFonts w:hint="eastAsia"/>
          <w:bCs/>
          <w:iCs/>
          <w:color w:val="000000"/>
        </w:rPr>
      </w:pPr>
      <w:r>
        <w:rPr>
          <w:bCs/>
          <w:color w:val="000000"/>
        </w:rPr>
        <w:t>676.</w:t>
      </w:r>
      <w:r>
        <w:rPr>
          <w:rFonts w:hint="eastAsia"/>
          <w:bCs/>
          <w:color w:val="000000"/>
        </w:rPr>
        <w:tab/>
      </w:r>
      <w:r>
        <w:rPr>
          <w:rFonts w:hint="eastAsia"/>
          <w:bCs/>
          <w:color w:val="000000"/>
        </w:rPr>
        <w:t>在东帝汶，婚姻生活中的角色和责任经常需要重新确定。妇女的职责是向丈夫学习，妇女由于某种原因，例如没有做晚饭，而在家中遭受暴力被认为是允许的，因为社会上认为暴力是教育和惩罚的一种手段。</w:t>
      </w:r>
      <w:r>
        <w:rPr>
          <w:rStyle w:val="FootnoteReference"/>
          <w:bCs/>
          <w:color w:val="000000"/>
        </w:rPr>
        <w:footnoteReference w:id="365"/>
      </w:r>
      <w:r>
        <w:rPr>
          <w:rFonts w:hint="eastAsia"/>
          <w:bCs/>
          <w:color w:val="000000"/>
        </w:rPr>
        <w:t>男子与其未来妻子的权力关系从他们关系产生的最早阶段就确定了下来。男孩称其女朋友为</w:t>
      </w:r>
      <w:r>
        <w:rPr>
          <w:rFonts w:hint="eastAsia"/>
          <w:bCs/>
          <w:iCs/>
          <w:color w:val="000000"/>
        </w:rPr>
        <w:t>“我的孩子（</w:t>
      </w:r>
      <w:r>
        <w:rPr>
          <w:bCs/>
          <w:i/>
          <w:color w:val="000000"/>
        </w:rPr>
        <w:t>hau nia labarik</w:t>
      </w:r>
      <w:r>
        <w:rPr>
          <w:rFonts w:hint="eastAsia"/>
          <w:bCs/>
          <w:i/>
          <w:color w:val="000000"/>
        </w:rPr>
        <w:t>）</w:t>
      </w:r>
      <w:r>
        <w:rPr>
          <w:rFonts w:hint="eastAsia"/>
          <w:bCs/>
          <w:iCs/>
          <w:color w:val="000000"/>
        </w:rPr>
        <w:t>”，而女孩则称其男朋友为“大哥（</w:t>
      </w:r>
      <w:r>
        <w:rPr>
          <w:bCs/>
          <w:i/>
          <w:color w:val="000000"/>
        </w:rPr>
        <w:t>maun</w:t>
      </w:r>
      <w:r>
        <w:rPr>
          <w:rFonts w:hint="eastAsia"/>
          <w:bCs/>
          <w:iCs/>
          <w:color w:val="000000"/>
        </w:rPr>
        <w:t>）”。</w:t>
      </w:r>
    </w:p>
    <w:p w:rsidR="00692915" w:rsidRDefault="00692915" w:rsidP="009A1C1B">
      <w:pPr>
        <w:tabs>
          <w:tab w:val="left" w:pos="1170"/>
        </w:tabs>
        <w:spacing w:after="240"/>
        <w:ind w:firstLine="31680"/>
        <w:rPr>
          <w:rFonts w:hint="eastAsia"/>
          <w:bCs/>
          <w:color w:val="000000"/>
        </w:rPr>
      </w:pPr>
      <w:r>
        <w:rPr>
          <w:bCs/>
          <w:color w:val="000000"/>
        </w:rPr>
        <w:t>677.</w:t>
      </w:r>
      <w:r>
        <w:rPr>
          <w:rFonts w:hint="eastAsia"/>
          <w:bCs/>
          <w:color w:val="000000"/>
        </w:rPr>
        <w:tab/>
      </w:r>
      <w:r>
        <w:rPr>
          <w:rFonts w:hint="eastAsia"/>
          <w:bCs/>
          <w:color w:val="000000"/>
        </w:rPr>
        <w:t>值得注意的是，东帝汶独立后，文化态度开始慢慢发生变化，男女在家庭中权利平等的思想逐步深入人心。人们日益期待妇女能在许多问题上发表意见，事实证明这十分困难，这很自然，因为过去人们从未征求过她们的意见。对某些帝汶人来说，权利平等开始意味着在某些角色扮演方面的权利平等。例如，妇女可以通过某些妇女组织成为社区代表，例如：通过帝汶妇女大众组织</w:t>
      </w:r>
      <w:r>
        <w:rPr>
          <w:rFonts w:hint="eastAsia"/>
          <w:bCs/>
          <w:color w:val="000000"/>
        </w:rPr>
        <w:t xml:space="preserve"> /</w:t>
      </w:r>
      <w:r>
        <w:rPr>
          <w:rFonts w:hint="eastAsia"/>
          <w:bCs/>
          <w:color w:val="000000"/>
        </w:rPr>
        <w:t>帝汶妇女组织（</w:t>
      </w:r>
      <w:r>
        <w:rPr>
          <w:bCs/>
          <w:color w:val="000000"/>
        </w:rPr>
        <w:t>OMPT/OMT</w:t>
      </w:r>
      <w:r>
        <w:rPr>
          <w:rFonts w:hint="eastAsia"/>
          <w:bCs/>
          <w:color w:val="000000"/>
        </w:rPr>
        <w:t>）。如果妻子病了，丈夫可以照顾孩子。但是更常见的情况是，即使一位受过教育的女性从事家庭之外的工作，也往往要在履行家庭的日常义务之后再从事这份工作。</w:t>
      </w:r>
    </w:p>
    <w:p w:rsidR="00692915" w:rsidRDefault="00692915">
      <w:pPr>
        <w:pStyle w:val="Heading3"/>
        <w:tabs>
          <w:tab w:val="left" w:pos="1170"/>
        </w:tabs>
        <w:jc w:val="both"/>
        <w:rPr>
          <w:rFonts w:eastAsia="KaiTi_GB2312" w:hint="eastAsia"/>
          <w:color w:val="000000"/>
          <w:u w:val="none"/>
        </w:rPr>
      </w:pPr>
      <w:r>
        <w:rPr>
          <w:rFonts w:eastAsia="KaiTi_GB2312" w:hint="eastAsia"/>
          <w:color w:val="000000"/>
          <w:u w:val="none"/>
        </w:rPr>
        <w:t>离婚</w:t>
      </w:r>
    </w:p>
    <w:p w:rsidR="00692915" w:rsidRDefault="00692915" w:rsidP="009A1C1B">
      <w:pPr>
        <w:tabs>
          <w:tab w:val="left" w:pos="1170"/>
        </w:tabs>
        <w:ind w:firstLine="31680"/>
        <w:rPr>
          <w:rFonts w:hint="eastAsia"/>
          <w:color w:val="000000"/>
        </w:rPr>
      </w:pPr>
      <w:r>
        <w:rPr>
          <w:color w:val="000000"/>
        </w:rPr>
        <w:t>678.</w:t>
      </w:r>
      <w:r>
        <w:rPr>
          <w:rFonts w:hint="eastAsia"/>
          <w:color w:val="000000"/>
        </w:rPr>
        <w:tab/>
      </w:r>
      <w:r>
        <w:rPr>
          <w:rFonts w:hint="eastAsia"/>
          <w:color w:val="000000"/>
        </w:rPr>
        <w:t>根据现行法律（</w:t>
      </w:r>
      <w:r>
        <w:rPr>
          <w:color w:val="000000"/>
        </w:rPr>
        <w:t>《印度尼西亚民法典》</w:t>
      </w:r>
      <w:r>
        <w:rPr>
          <w:rFonts w:hint="eastAsia"/>
          <w:color w:val="000000"/>
        </w:rPr>
        <w:t>第</w:t>
      </w:r>
      <w:r>
        <w:rPr>
          <w:rFonts w:hint="eastAsia"/>
          <w:color w:val="000000"/>
        </w:rPr>
        <w:t>33</w:t>
      </w:r>
      <w:r>
        <w:rPr>
          <w:rFonts w:hint="eastAsia"/>
          <w:color w:val="000000"/>
        </w:rPr>
        <w:t>条）规定，夫妻双方均有权提出离婚，但对女性来说，再婚等待期限要比男性长。该法第</w:t>
      </w:r>
      <w:r>
        <w:rPr>
          <w:rFonts w:hint="eastAsia"/>
          <w:color w:val="000000"/>
        </w:rPr>
        <w:t>34</w:t>
      </w:r>
      <w:r>
        <w:rPr>
          <w:rFonts w:hint="eastAsia"/>
          <w:color w:val="000000"/>
        </w:rPr>
        <w:t>条规定，妇女在解除上次婚姻后的</w:t>
      </w:r>
      <w:r>
        <w:rPr>
          <w:rFonts w:hint="eastAsia"/>
          <w:color w:val="000000"/>
        </w:rPr>
        <w:t>300</w:t>
      </w:r>
      <w:r>
        <w:rPr>
          <w:rFonts w:hint="eastAsia"/>
          <w:color w:val="000000"/>
        </w:rPr>
        <w:t>天内不得再结婚。通常等待时间为</w:t>
      </w:r>
      <w:r>
        <w:rPr>
          <w:rFonts w:hint="eastAsia"/>
          <w:color w:val="000000"/>
        </w:rPr>
        <w:t>1</w:t>
      </w:r>
      <w:r>
        <w:rPr>
          <w:rFonts w:hint="eastAsia"/>
          <w:color w:val="000000"/>
        </w:rPr>
        <w:t>年（</w:t>
      </w:r>
      <w:r>
        <w:rPr>
          <w:color w:val="000000"/>
        </w:rPr>
        <w:t>《印度尼西亚民法典》</w:t>
      </w:r>
      <w:r>
        <w:rPr>
          <w:rFonts w:hint="eastAsia"/>
          <w:color w:val="000000"/>
        </w:rPr>
        <w:t>第</w:t>
      </w:r>
      <w:r>
        <w:rPr>
          <w:rFonts w:hint="eastAsia"/>
          <w:color w:val="000000"/>
        </w:rPr>
        <w:t>33</w:t>
      </w:r>
      <w:r>
        <w:rPr>
          <w:rFonts w:hint="eastAsia"/>
          <w:color w:val="000000"/>
        </w:rPr>
        <w:t>条）。该条还规定离婚的夫妻不得复婚。</w:t>
      </w:r>
    </w:p>
    <w:p w:rsidR="00692915" w:rsidRDefault="00692915" w:rsidP="009A1C1B">
      <w:pPr>
        <w:tabs>
          <w:tab w:val="left" w:pos="1170"/>
        </w:tabs>
        <w:ind w:firstLine="31680"/>
        <w:rPr>
          <w:rFonts w:hint="eastAsia"/>
          <w:bCs/>
          <w:color w:val="000000"/>
        </w:rPr>
      </w:pPr>
      <w:r>
        <w:rPr>
          <w:color w:val="000000"/>
        </w:rPr>
        <w:t>679.</w:t>
      </w:r>
      <w:r>
        <w:rPr>
          <w:rFonts w:hint="eastAsia"/>
          <w:color w:val="000000"/>
        </w:rPr>
        <w:tab/>
      </w:r>
      <w:r>
        <w:rPr>
          <w:rFonts w:hint="eastAsia"/>
          <w:bCs/>
          <w:color w:val="000000"/>
        </w:rPr>
        <w:t>在传统法中，如果夫妻关系产生问题，男人可以控告她的妻子，然后选择与她分居。在这种情况下，男方或其家庭必须向女方家庭支付一大笔费用。如果无力支付，传统法规定他们俩将继续生活在一起。如果女方希望与其丈夫分居，则女方家庭必须从其家庭中挑选另一个女子给男方。在这种情况下，不需要支付任何费用。如果双方都希望分开，则不需要支付任何罚款。</w:t>
      </w:r>
      <w:r>
        <w:rPr>
          <w:rStyle w:val="FootnoteReference"/>
          <w:bCs/>
          <w:color w:val="000000"/>
        </w:rPr>
        <w:footnoteReference w:id="366"/>
      </w:r>
    </w:p>
    <w:p w:rsidR="00692915" w:rsidRDefault="00692915" w:rsidP="009A1C1B">
      <w:pPr>
        <w:tabs>
          <w:tab w:val="left" w:pos="1170"/>
        </w:tabs>
        <w:spacing w:after="240"/>
        <w:ind w:firstLine="31680"/>
        <w:rPr>
          <w:rFonts w:hint="eastAsia"/>
          <w:bCs/>
          <w:color w:val="000000"/>
        </w:rPr>
      </w:pPr>
      <w:r>
        <w:rPr>
          <w:bCs/>
          <w:color w:val="000000"/>
        </w:rPr>
        <w:t>680.</w:t>
      </w:r>
      <w:r>
        <w:rPr>
          <w:rFonts w:hint="eastAsia"/>
          <w:bCs/>
          <w:color w:val="000000"/>
        </w:rPr>
        <w:tab/>
      </w:r>
      <w:r>
        <w:rPr>
          <w:rFonts w:hint="eastAsia"/>
          <w:bCs/>
          <w:color w:val="000000"/>
        </w:rPr>
        <w:t>但在东帝汶现实生活中，大多数夫妇认为在一个天主教传统教义根深蒂固的国家，他们不会选择分居或离婚，夫妻双方通过法律手段离婚是一件异乎寻常的事情。婚姻破裂无疑会给人带来一种耻辱，人们普遍认为，如果婚姻破裂，妇女应受到指责。因此，家庭和教会都不支持妇女，都劝妇女回到丈夫身边，以在今后努力化解矛盾，在东帝汶这并不足为奇。有些妇女还描述说，如果她们决定离开家庭，其丈夫会威胁说带走孩子。</w:t>
      </w:r>
      <w:r>
        <w:rPr>
          <w:rStyle w:val="FootnoteReference"/>
          <w:bCs/>
          <w:color w:val="000000"/>
        </w:rPr>
        <w:footnoteReference w:id="367"/>
      </w:r>
      <w:r>
        <w:rPr>
          <w:rFonts w:hint="eastAsia"/>
          <w:bCs/>
          <w:color w:val="000000"/>
        </w:rPr>
        <w:t>真正离婚的家庭非常少，那些离婚的家庭主要是收入较高，通常希望建立新关系的家庭。</w:t>
      </w:r>
    </w:p>
    <w:p w:rsidR="00692915" w:rsidRDefault="00692915">
      <w:pPr>
        <w:pStyle w:val="Heading3"/>
        <w:tabs>
          <w:tab w:val="left" w:pos="1170"/>
        </w:tabs>
        <w:jc w:val="both"/>
        <w:rPr>
          <w:rFonts w:eastAsia="KaiTi_GB2312" w:hint="eastAsia"/>
          <w:color w:val="000000"/>
          <w:u w:val="none"/>
        </w:rPr>
      </w:pPr>
      <w:r>
        <w:rPr>
          <w:rFonts w:eastAsia="KaiTi_GB2312" w:hint="eastAsia"/>
          <w:color w:val="000000"/>
          <w:u w:val="none"/>
        </w:rPr>
        <w:t>聘礼</w:t>
      </w:r>
      <w:r>
        <w:rPr>
          <w:rFonts w:eastAsia="KaiTi_GB2312" w:hint="eastAsia"/>
          <w:color w:val="000000"/>
          <w:u w:val="none"/>
        </w:rPr>
        <w:t>/</w:t>
      </w:r>
      <w:r>
        <w:rPr>
          <w:rFonts w:eastAsia="KaiTi_GB2312" w:hint="eastAsia"/>
          <w:color w:val="000000"/>
          <w:u w:val="none"/>
        </w:rPr>
        <w:t>彩礼</w:t>
      </w:r>
    </w:p>
    <w:p w:rsidR="00692915" w:rsidRDefault="00692915" w:rsidP="009A1C1B">
      <w:pPr>
        <w:tabs>
          <w:tab w:val="left" w:pos="1170"/>
        </w:tabs>
        <w:ind w:firstLine="31680"/>
        <w:rPr>
          <w:rFonts w:hint="eastAsia"/>
          <w:color w:val="000000"/>
        </w:rPr>
      </w:pPr>
      <w:r>
        <w:rPr>
          <w:color w:val="000000"/>
        </w:rPr>
        <w:t>681.</w:t>
      </w:r>
      <w:r>
        <w:rPr>
          <w:rFonts w:hint="eastAsia"/>
          <w:color w:val="000000"/>
        </w:rPr>
        <w:tab/>
      </w:r>
      <w:r>
        <w:rPr>
          <w:rFonts w:hint="eastAsia"/>
          <w:color w:val="000000"/>
        </w:rPr>
        <w:t>聘礼或彩礼在东帝汶并不违法，许多地区依然遵守这一传统。而且东部要比西部盛行，在西部聘礼数额要小一些。一般认为男方或“娶妻方”与女方或“出嫁方”交换嫁妆是婚姻最重要的行为。双方家中年长者根据双方关系史和各自“屋”的地位确定婚姻聘礼的多少。作为个人，男女双方都不如其各自家庭为婚姻提供的嫁妆重要。妇女问题活动家对此提出批评，认为彩礼是造成男女不平等的根源。面对上述批评，很多传统的长老仍坚持彩礼不是妇女结婚的价格，但事实上能够提高她的价值。彩礼越高，她对未来丈夫的价值就越大。</w:t>
      </w:r>
    </w:p>
    <w:p w:rsidR="00692915" w:rsidRDefault="00692915" w:rsidP="009A1C1B">
      <w:pPr>
        <w:tabs>
          <w:tab w:val="left" w:pos="1170"/>
        </w:tabs>
        <w:ind w:firstLine="31680"/>
        <w:rPr>
          <w:rFonts w:hint="eastAsia"/>
          <w:bCs/>
          <w:color w:val="000000"/>
        </w:rPr>
      </w:pPr>
      <w:r>
        <w:rPr>
          <w:color w:val="000000"/>
        </w:rPr>
        <w:t>682.</w:t>
      </w:r>
      <w:r>
        <w:rPr>
          <w:rFonts w:hint="eastAsia"/>
          <w:bCs/>
          <w:color w:val="000000"/>
        </w:rPr>
        <w:tab/>
      </w:r>
      <w:r>
        <w:rPr>
          <w:rFonts w:hint="eastAsia"/>
          <w:bCs/>
          <w:color w:val="000000"/>
        </w:rPr>
        <w:t>然而据报道，实际上这种做法的确在婚姻生活的许多方面对妇女产生了影响。一旦男方向女方下了聘礼，便会认为妻子是丈夫的财产，他想怎么样就怎么样。如果女方不随他或他家庭的意愿，便有可能遭受暴力。</w:t>
      </w:r>
      <w:r>
        <w:rPr>
          <w:rStyle w:val="FootnoteReference"/>
          <w:bCs/>
          <w:color w:val="000000"/>
        </w:rPr>
        <w:footnoteReference w:id="368"/>
      </w:r>
      <w:r>
        <w:rPr>
          <w:rFonts w:hint="eastAsia"/>
          <w:bCs/>
          <w:color w:val="000000"/>
        </w:rPr>
        <w:t>有意思的是，</w:t>
      </w:r>
      <w:r>
        <w:rPr>
          <w:rFonts w:hint="eastAsia"/>
          <w:bCs/>
          <w:color w:val="000000"/>
        </w:rPr>
        <w:t>2003</w:t>
      </w:r>
      <w:r>
        <w:rPr>
          <w:rFonts w:hint="eastAsia"/>
          <w:bCs/>
          <w:color w:val="000000"/>
        </w:rPr>
        <w:t>年由</w:t>
      </w:r>
      <w:r>
        <w:rPr>
          <w:bCs/>
          <w:color w:val="000000"/>
        </w:rPr>
        <w:t>国际救援委员会</w:t>
      </w:r>
      <w:r>
        <w:rPr>
          <w:rFonts w:hint="eastAsia"/>
          <w:bCs/>
          <w:color w:val="000000"/>
        </w:rPr>
        <w:t>进行的一项调查发现，尽管接近一半的被调查妇女在结婚时收过聘礼，但只有</w:t>
      </w:r>
      <w:r>
        <w:rPr>
          <w:rFonts w:hint="eastAsia"/>
          <w:bCs/>
          <w:color w:val="000000"/>
        </w:rPr>
        <w:t>9%</w:t>
      </w:r>
      <w:r>
        <w:rPr>
          <w:rFonts w:hint="eastAsia"/>
          <w:bCs/>
          <w:color w:val="000000"/>
        </w:rPr>
        <w:t>的被调查者说收受彩礼对她们的待遇产生了负面影响。实际上</w:t>
      </w:r>
      <w:r>
        <w:rPr>
          <w:rFonts w:hint="eastAsia"/>
          <w:bCs/>
          <w:color w:val="000000"/>
        </w:rPr>
        <w:t>38%</w:t>
      </w:r>
      <w:r>
        <w:rPr>
          <w:rFonts w:hint="eastAsia"/>
          <w:bCs/>
          <w:color w:val="000000"/>
        </w:rPr>
        <w:t>的被调查者说收受彩礼对她们的待遇产生了积极影响，</w:t>
      </w:r>
      <w:r>
        <w:rPr>
          <w:rFonts w:hint="eastAsia"/>
          <w:bCs/>
          <w:color w:val="000000"/>
        </w:rPr>
        <w:t>43%</w:t>
      </w:r>
      <w:r>
        <w:rPr>
          <w:rFonts w:hint="eastAsia"/>
          <w:bCs/>
          <w:color w:val="000000"/>
        </w:rPr>
        <w:t>的被调查者说收受彩礼对她们的待遇没有影响。在为编写本报告而进行调查的各地区中，许多受访者认为彩礼能够加强家庭关系。</w:t>
      </w:r>
    </w:p>
    <w:p w:rsidR="00692915" w:rsidRDefault="00692915" w:rsidP="009A1C1B">
      <w:pPr>
        <w:tabs>
          <w:tab w:val="left" w:pos="1170"/>
        </w:tabs>
        <w:ind w:firstLine="31680"/>
        <w:rPr>
          <w:rFonts w:hint="eastAsia"/>
          <w:bCs/>
          <w:color w:val="000000"/>
        </w:rPr>
      </w:pPr>
      <w:r>
        <w:rPr>
          <w:bCs/>
          <w:color w:val="000000"/>
        </w:rPr>
        <w:t>683.</w:t>
      </w:r>
      <w:r>
        <w:rPr>
          <w:rFonts w:hint="eastAsia"/>
          <w:bCs/>
          <w:color w:val="000000"/>
        </w:rPr>
        <w:t xml:space="preserve"> </w:t>
      </w:r>
      <w:r>
        <w:rPr>
          <w:rFonts w:hint="eastAsia"/>
          <w:bCs/>
          <w:color w:val="000000"/>
          <w:spacing w:val="6"/>
        </w:rPr>
        <w:t>尽管存在上述调查结果，但许多妇女问题活动家仍认为彩礼是家庭暴力的根源，其中有些人还要求制定法律，废除收受彩礼的习俗，因为这是对妇女的歧视。</w:t>
      </w:r>
      <w:r>
        <w:rPr>
          <w:rStyle w:val="FootnoteReference"/>
          <w:bCs/>
          <w:color w:val="000000"/>
          <w:spacing w:val="6"/>
        </w:rPr>
        <w:footnoteReference w:id="369"/>
      </w:r>
      <w:r>
        <w:rPr>
          <w:rFonts w:hint="eastAsia"/>
          <w:bCs/>
          <w:color w:val="000000"/>
        </w:rPr>
        <w:t>这种习俗包括从新郎家向新娘家转移一笔可观的金钱或贵重物品，其结果通常会让男方对妻子产生一种拥有感或控制感。</w:t>
      </w:r>
    </w:p>
    <w:p w:rsidR="00692915" w:rsidRDefault="00692915" w:rsidP="009A1C1B">
      <w:pPr>
        <w:tabs>
          <w:tab w:val="left" w:pos="1170"/>
        </w:tabs>
        <w:ind w:firstLine="31680"/>
        <w:rPr>
          <w:rFonts w:hint="eastAsia"/>
          <w:bCs/>
          <w:color w:val="000000"/>
        </w:rPr>
      </w:pPr>
      <w:r>
        <w:rPr>
          <w:bCs/>
          <w:color w:val="000000"/>
        </w:rPr>
        <w:t xml:space="preserve">684. </w:t>
      </w:r>
      <w:r>
        <w:rPr>
          <w:rFonts w:hint="eastAsia"/>
          <w:bCs/>
          <w:color w:val="000000"/>
        </w:rPr>
        <w:t>在这些地区进行的咨询还显示，由于要有能力向新娘家提供一笔可观的“彩礼”，因此男方有压力，对于该做法，他们感到</w:t>
      </w:r>
      <w:r>
        <w:rPr>
          <w:rFonts w:hint="eastAsia"/>
          <w:bCs/>
          <w:color w:val="000000"/>
        </w:rPr>
        <w:t xml:space="preserve"> </w:t>
      </w:r>
      <w:r>
        <w:rPr>
          <w:rFonts w:hint="eastAsia"/>
          <w:bCs/>
          <w:color w:val="000000"/>
        </w:rPr>
        <w:t>“牺牲”</w:t>
      </w:r>
      <w:r>
        <w:rPr>
          <w:rFonts w:hint="eastAsia"/>
          <w:bCs/>
          <w:color w:val="000000"/>
        </w:rPr>
        <w:t xml:space="preserve"> </w:t>
      </w:r>
      <w:r>
        <w:rPr>
          <w:rFonts w:hint="eastAsia"/>
          <w:bCs/>
          <w:color w:val="000000"/>
        </w:rPr>
        <w:t>很大。咨询结果还指出对那些聘礼还没有得到全额支付的妇女来说，可能处于更有利的地位，因为其家庭仍能对男方家庭行使某种权力。</w:t>
      </w:r>
      <w:r>
        <w:rPr>
          <w:rStyle w:val="FootnoteReference"/>
          <w:bCs/>
          <w:color w:val="000000"/>
        </w:rPr>
        <w:footnoteReference w:id="370"/>
      </w:r>
    </w:p>
    <w:p w:rsidR="00692915" w:rsidRDefault="00692915" w:rsidP="009A1C1B">
      <w:pPr>
        <w:tabs>
          <w:tab w:val="left" w:pos="1170"/>
        </w:tabs>
        <w:ind w:firstLine="31680"/>
        <w:rPr>
          <w:rFonts w:hint="eastAsia"/>
          <w:bCs/>
          <w:color w:val="000000"/>
        </w:rPr>
      </w:pPr>
      <w:r>
        <w:rPr>
          <w:bCs/>
          <w:color w:val="000000"/>
        </w:rPr>
        <w:t>685.</w:t>
      </w:r>
      <w:r>
        <w:rPr>
          <w:rFonts w:hint="eastAsia"/>
          <w:bCs/>
          <w:color w:val="000000"/>
        </w:rPr>
        <w:tab/>
      </w:r>
      <w:r>
        <w:rPr>
          <w:rFonts w:hint="eastAsia"/>
          <w:bCs/>
          <w:color w:val="000000"/>
        </w:rPr>
        <w:t>但是，这种做法明显的后果就是，一旦男方支付了聘礼，婚姻就不仅仅是男女之间的结合，而是家庭之间的重要结合。人们便会期待夫妻对双方家庭相互帮助。在传统上，妻子要遵从丈夫的决定，这意味着女方花在自己家庭（当然包括其自身）上的时间较少。</w:t>
      </w:r>
    </w:p>
    <w:p w:rsidR="00692915" w:rsidRDefault="00692915" w:rsidP="009A1C1B">
      <w:pPr>
        <w:tabs>
          <w:tab w:val="left" w:pos="1170"/>
        </w:tabs>
        <w:spacing w:after="240"/>
        <w:ind w:firstLine="31680"/>
        <w:rPr>
          <w:rFonts w:hint="eastAsia"/>
          <w:bCs/>
          <w:color w:val="000000"/>
        </w:rPr>
      </w:pPr>
      <w:r>
        <w:rPr>
          <w:bCs/>
          <w:color w:val="000000"/>
        </w:rPr>
        <w:t>686.</w:t>
      </w:r>
      <w:r>
        <w:rPr>
          <w:bCs/>
          <w:color w:val="000000"/>
        </w:rPr>
        <w:tab/>
      </w:r>
      <w:r>
        <w:rPr>
          <w:rFonts w:hint="eastAsia"/>
          <w:bCs/>
          <w:color w:val="000000"/>
        </w:rPr>
        <w:t>尽管帝汶许多社区不愿结束这种传统，但彩礼负担以及对各自家庭进行资助的不断要求正变得越来越难以操控。将钱花在彩礼上，常常会影响到其他生活必需品（例如食品、医疗及教育等）的供应，从而使妇女及其子女面临着营养不良、无力享受现有医疗设施及教育的风险。实际上，彩礼可能会妨碍男女双方参与并享受各种经济、社会、文化和政治生活。</w:t>
      </w:r>
    </w:p>
    <w:p w:rsidR="00692915" w:rsidRDefault="00692915">
      <w:pPr>
        <w:pStyle w:val="Heading2"/>
        <w:tabs>
          <w:tab w:val="left" w:pos="520"/>
        </w:tabs>
        <w:jc w:val="both"/>
        <w:rPr>
          <w:rFonts w:hint="eastAsia"/>
          <w:color w:val="000000"/>
          <w:sz w:val="24"/>
        </w:rPr>
      </w:pPr>
      <w:bookmarkStart w:id="113" w:name="_Toc150684906"/>
      <w:r>
        <w:rPr>
          <w:color w:val="000000"/>
          <w:sz w:val="24"/>
        </w:rPr>
        <w:t xml:space="preserve">2. </w:t>
      </w:r>
      <w:bookmarkEnd w:id="113"/>
      <w:r>
        <w:rPr>
          <w:rFonts w:hint="eastAsia"/>
          <w:color w:val="000000"/>
          <w:sz w:val="24"/>
        </w:rPr>
        <w:t xml:space="preserve"> </w:t>
      </w:r>
      <w:r>
        <w:rPr>
          <w:rFonts w:hint="eastAsia"/>
          <w:color w:val="000000"/>
          <w:sz w:val="24"/>
          <w:u w:val="single"/>
        </w:rPr>
        <w:t>拥有财产的能力</w:t>
      </w:r>
    </w:p>
    <w:p w:rsidR="00692915" w:rsidRDefault="00692915" w:rsidP="009A1C1B">
      <w:pPr>
        <w:tabs>
          <w:tab w:val="left" w:pos="1170"/>
        </w:tabs>
        <w:ind w:firstLine="31680"/>
        <w:rPr>
          <w:rFonts w:hint="eastAsia"/>
          <w:color w:val="000000"/>
        </w:rPr>
      </w:pPr>
      <w:r>
        <w:rPr>
          <w:color w:val="000000"/>
        </w:rPr>
        <w:t>687.</w:t>
      </w:r>
      <w:r>
        <w:rPr>
          <w:rFonts w:hint="eastAsia"/>
          <w:color w:val="000000"/>
        </w:rPr>
        <w:t xml:space="preserve"> </w:t>
      </w:r>
      <w:r>
        <w:rPr>
          <w:rFonts w:hint="eastAsia"/>
          <w:color w:val="000000"/>
        </w:rPr>
        <w:t>如其他很多国家一样，在东帝汶，土地权是妇女遇到的重要问题。在农村地区，土地是主要财产，而传统做法规定土地所有权按男系继承，只有诸如</w:t>
      </w:r>
      <w:r>
        <w:rPr>
          <w:rFonts w:hint="eastAsia"/>
          <w:bCs/>
          <w:color w:val="000000"/>
        </w:rPr>
        <w:t>科瓦利马和</w:t>
      </w:r>
      <w:r>
        <w:rPr>
          <w:color w:val="000000"/>
        </w:rPr>
        <w:t>波波纳罗</w:t>
      </w:r>
      <w:r>
        <w:rPr>
          <w:rFonts w:hint="eastAsia"/>
          <w:color w:val="000000"/>
        </w:rPr>
        <w:t>之类的母系社区除外。在其他地区，除了通过男性亲属对土地的权利获取土地外，妇女只能通过婚姻获取土地，在这种情况下，她们没有财产权，即使在前一种情况下，她们也是只能使用而不能拥有土地。</w:t>
      </w:r>
    </w:p>
    <w:p w:rsidR="00692915" w:rsidRDefault="00692915" w:rsidP="009A1C1B">
      <w:pPr>
        <w:tabs>
          <w:tab w:val="left" w:pos="1170"/>
        </w:tabs>
        <w:spacing w:after="240"/>
        <w:ind w:firstLine="31680"/>
        <w:rPr>
          <w:rFonts w:hint="eastAsia"/>
          <w:bCs/>
          <w:color w:val="000000"/>
        </w:rPr>
      </w:pPr>
      <w:r>
        <w:rPr>
          <w:color w:val="000000"/>
        </w:rPr>
        <w:t>688.</w:t>
      </w:r>
      <w:r>
        <w:rPr>
          <w:rFonts w:hint="eastAsia"/>
          <w:color w:val="000000"/>
        </w:rPr>
        <w:tab/>
      </w:r>
      <w:r>
        <w:rPr>
          <w:rFonts w:hint="eastAsia"/>
          <w:bCs/>
          <w:color w:val="000000"/>
        </w:rPr>
        <w:t>到目前为止，在政策上一直没有直接解决有关妇女土地权的问题。但是，政府已经意识到需要重点关注妇女获取和拥有土地的权利，而不仅仅赋予她们从土地上获得收入的平等权利。在撰写本报告之时，土地所有权法正在起草之中，</w:t>
      </w:r>
      <w:r>
        <w:rPr>
          <w:bCs/>
          <w:color w:val="000000"/>
        </w:rPr>
        <w:t>促进平等事务总理顾问办公室</w:t>
      </w:r>
      <w:r>
        <w:rPr>
          <w:rFonts w:hint="eastAsia"/>
          <w:bCs/>
          <w:color w:val="000000"/>
        </w:rPr>
        <w:t>为此提供了支持，并参与了起草工作。与</w:t>
      </w:r>
      <w:r>
        <w:rPr>
          <w:bCs/>
          <w:color w:val="000000"/>
        </w:rPr>
        <w:t>《消除对妇女一切形式歧视公约》</w:t>
      </w:r>
      <w:r>
        <w:rPr>
          <w:rFonts w:hint="eastAsia"/>
          <w:bCs/>
          <w:color w:val="000000"/>
        </w:rPr>
        <w:t>第</w:t>
      </w:r>
      <w:r>
        <w:rPr>
          <w:rFonts w:hint="eastAsia"/>
          <w:bCs/>
          <w:color w:val="000000"/>
        </w:rPr>
        <w:t>14</w:t>
      </w:r>
      <w:r>
        <w:rPr>
          <w:rFonts w:hint="eastAsia"/>
          <w:bCs/>
          <w:color w:val="000000"/>
        </w:rPr>
        <w:t>条有关的专门文件将进一步讨论这一问题。</w:t>
      </w:r>
    </w:p>
    <w:p w:rsidR="00692915" w:rsidRDefault="00692915">
      <w:pPr>
        <w:pStyle w:val="Heading2"/>
        <w:tabs>
          <w:tab w:val="left" w:pos="520"/>
        </w:tabs>
        <w:jc w:val="both"/>
        <w:rPr>
          <w:rFonts w:hint="eastAsia"/>
          <w:color w:val="000000"/>
          <w:sz w:val="24"/>
        </w:rPr>
      </w:pPr>
      <w:bookmarkStart w:id="114" w:name="_Toc150515002"/>
      <w:bookmarkStart w:id="115" w:name="_Toc150684907"/>
      <w:r>
        <w:rPr>
          <w:color w:val="000000"/>
          <w:sz w:val="24"/>
        </w:rPr>
        <w:t xml:space="preserve">3.  </w:t>
      </w:r>
      <w:bookmarkEnd w:id="114"/>
      <w:bookmarkEnd w:id="115"/>
      <w:r>
        <w:rPr>
          <w:rFonts w:hint="eastAsia"/>
          <w:color w:val="000000"/>
          <w:sz w:val="24"/>
          <w:u w:val="single"/>
        </w:rPr>
        <w:t>儿童保育</w:t>
      </w:r>
    </w:p>
    <w:p w:rsidR="00692915" w:rsidRDefault="00692915" w:rsidP="009A1C1B">
      <w:pPr>
        <w:tabs>
          <w:tab w:val="left" w:pos="1170"/>
        </w:tabs>
        <w:ind w:firstLine="31680"/>
        <w:rPr>
          <w:rFonts w:hint="eastAsia"/>
          <w:color w:val="000000"/>
        </w:rPr>
      </w:pPr>
      <w:r>
        <w:rPr>
          <w:color w:val="000000"/>
        </w:rPr>
        <w:t>689.</w:t>
      </w:r>
      <w:r>
        <w:rPr>
          <w:rFonts w:hint="eastAsia"/>
          <w:color w:val="000000"/>
        </w:rPr>
        <w:tab/>
      </w:r>
      <w:r>
        <w:rPr>
          <w:rFonts w:hint="eastAsia"/>
          <w:color w:val="000000"/>
        </w:rPr>
        <w:t>《东帝汶宪法》第</w:t>
      </w:r>
      <w:r>
        <w:rPr>
          <w:rFonts w:hint="eastAsia"/>
          <w:color w:val="000000"/>
        </w:rPr>
        <w:t>9</w:t>
      </w:r>
      <w:r>
        <w:rPr>
          <w:rFonts w:hint="eastAsia"/>
          <w:color w:val="000000"/>
        </w:rPr>
        <w:t>条和第</w:t>
      </w:r>
      <w:r>
        <w:rPr>
          <w:rFonts w:hint="eastAsia"/>
          <w:color w:val="000000"/>
        </w:rPr>
        <w:t>18</w:t>
      </w:r>
      <w:r>
        <w:rPr>
          <w:rFonts w:hint="eastAsia"/>
          <w:color w:val="000000"/>
        </w:rPr>
        <w:t>条都特别强调了父母、大家族成员及社区对儿童的责任、权利和义务。传统习俗对儿童的健康与抚养给予了应有的全面考虑，并特别承认大家庭的义务</w:t>
      </w:r>
      <w:r>
        <w:rPr>
          <w:rFonts w:ascii="SimHei" w:eastAsia="SimHei" w:hint="eastAsia"/>
          <w:color w:val="000000"/>
          <w:spacing w:val="0"/>
        </w:rPr>
        <w:t>——</w:t>
      </w:r>
      <w:r>
        <w:rPr>
          <w:rFonts w:hint="eastAsia"/>
          <w:color w:val="000000"/>
        </w:rPr>
        <w:t>大家庭（</w:t>
      </w:r>
      <w:r>
        <w:rPr>
          <w:i/>
          <w:iCs/>
          <w:color w:val="000000"/>
        </w:rPr>
        <w:t>uma kain</w:t>
      </w:r>
      <w:r>
        <w:rPr>
          <w:rFonts w:hint="eastAsia"/>
          <w:color w:val="000000"/>
        </w:rPr>
        <w:t>或</w:t>
      </w:r>
      <w:r>
        <w:rPr>
          <w:i/>
          <w:iCs/>
          <w:color w:val="000000"/>
        </w:rPr>
        <w:t>ahimatan</w:t>
      </w:r>
      <w:r>
        <w:rPr>
          <w:rFonts w:hint="eastAsia"/>
          <w:color w:val="000000"/>
        </w:rPr>
        <w:t>）是指在单系中儿童所在的“继嗣群”。</w:t>
      </w:r>
    </w:p>
    <w:p w:rsidR="00692915" w:rsidRDefault="00692915" w:rsidP="009A1C1B">
      <w:pPr>
        <w:tabs>
          <w:tab w:val="left" w:pos="1170"/>
        </w:tabs>
        <w:ind w:firstLine="31680"/>
        <w:rPr>
          <w:rFonts w:hint="eastAsia"/>
          <w:bCs/>
          <w:color w:val="000000"/>
        </w:rPr>
      </w:pPr>
      <w:r>
        <w:rPr>
          <w:color w:val="000000"/>
        </w:rPr>
        <w:t>690.</w:t>
      </w:r>
      <w:r>
        <w:rPr>
          <w:color w:val="000000"/>
        </w:rPr>
        <w:tab/>
      </w:r>
      <w:r>
        <w:rPr>
          <w:rFonts w:hint="eastAsia"/>
          <w:bCs/>
          <w:color w:val="000000"/>
        </w:rPr>
        <w:t>《宪法》明确：</w:t>
      </w:r>
    </w:p>
    <w:p w:rsidR="00692915" w:rsidRDefault="00692915" w:rsidP="009A1C1B">
      <w:pPr>
        <w:numPr>
          <w:ilvl w:val="0"/>
          <w:numId w:val="6"/>
        </w:numPr>
        <w:tabs>
          <w:tab w:val="clear" w:pos="927"/>
          <w:tab w:val="left" w:pos="1690"/>
        </w:tabs>
        <w:ind w:leftChars="450" w:left="31680" w:hangingChars="200" w:firstLine="31680"/>
        <w:rPr>
          <w:bCs/>
          <w:color w:val="000000"/>
          <w:szCs w:val="24"/>
        </w:rPr>
      </w:pPr>
      <w:r>
        <w:rPr>
          <w:rFonts w:hint="eastAsia"/>
          <w:bCs/>
          <w:color w:val="000000"/>
          <w:szCs w:val="24"/>
        </w:rPr>
        <w:t>规定了家庭、社区及国家对儿童的义务；</w:t>
      </w:r>
    </w:p>
    <w:p w:rsidR="00692915" w:rsidRDefault="00692915" w:rsidP="009A1C1B">
      <w:pPr>
        <w:numPr>
          <w:ilvl w:val="0"/>
          <w:numId w:val="6"/>
        </w:numPr>
        <w:tabs>
          <w:tab w:val="clear" w:pos="927"/>
          <w:tab w:val="left" w:pos="1690"/>
        </w:tabs>
        <w:ind w:leftChars="450" w:left="31680" w:hangingChars="200" w:firstLine="31680"/>
        <w:rPr>
          <w:bCs/>
          <w:color w:val="000000"/>
          <w:szCs w:val="24"/>
        </w:rPr>
      </w:pPr>
      <w:r>
        <w:rPr>
          <w:rFonts w:hint="eastAsia"/>
          <w:bCs/>
          <w:color w:val="000000"/>
        </w:rPr>
        <w:t>规定</w:t>
      </w:r>
      <w:r>
        <w:rPr>
          <w:rFonts w:hint="eastAsia"/>
          <w:bCs/>
          <w:color w:val="000000"/>
          <w:szCs w:val="24"/>
        </w:rPr>
        <w:t>了义务的“等级”，以家庭为最基本单位；</w:t>
      </w:r>
    </w:p>
    <w:p w:rsidR="00692915" w:rsidRDefault="00692915" w:rsidP="009A1C1B">
      <w:pPr>
        <w:numPr>
          <w:ilvl w:val="0"/>
          <w:numId w:val="6"/>
        </w:numPr>
        <w:tabs>
          <w:tab w:val="clear" w:pos="927"/>
          <w:tab w:val="left" w:pos="1690"/>
        </w:tabs>
        <w:spacing w:after="240"/>
        <w:ind w:leftChars="450" w:left="31680" w:hangingChars="200" w:firstLine="31680"/>
        <w:rPr>
          <w:bCs/>
          <w:color w:val="000000"/>
          <w:szCs w:val="24"/>
        </w:rPr>
      </w:pPr>
      <w:r>
        <w:rPr>
          <w:rFonts w:hint="eastAsia"/>
          <w:bCs/>
          <w:color w:val="000000"/>
          <w:szCs w:val="24"/>
        </w:rPr>
        <w:t>在符合国际标准的情况下，尊重传统做法。</w:t>
      </w:r>
    </w:p>
    <w:p w:rsidR="00692915" w:rsidRDefault="00692915" w:rsidP="009A1C1B">
      <w:pPr>
        <w:tabs>
          <w:tab w:val="left" w:pos="1170"/>
        </w:tabs>
        <w:ind w:firstLine="31680"/>
        <w:rPr>
          <w:color w:val="000000"/>
        </w:rPr>
      </w:pPr>
      <w:r>
        <w:rPr>
          <w:color w:val="000000"/>
        </w:rPr>
        <w:t>691.</w:t>
      </w:r>
      <w:r>
        <w:rPr>
          <w:rFonts w:hint="eastAsia"/>
          <w:color w:val="000000"/>
        </w:rPr>
        <w:t xml:space="preserve"> </w:t>
      </w:r>
      <w:r>
        <w:rPr>
          <w:rFonts w:hint="eastAsia"/>
          <w:color w:val="000000"/>
        </w:rPr>
        <w:t>《宪法》第</w:t>
      </w:r>
      <w:r>
        <w:rPr>
          <w:rFonts w:hint="eastAsia"/>
          <w:color w:val="000000"/>
        </w:rPr>
        <w:t>17</w:t>
      </w:r>
      <w:r>
        <w:rPr>
          <w:rFonts w:hint="eastAsia"/>
          <w:color w:val="000000"/>
        </w:rPr>
        <w:t>条（男女平等）规定，“在家庭、政治、经济、社会和文化生活中，男女享有同等的权利和义务”。按照东帝汶的母系和父系家族谱系，照顾孩子的习惯做法大致有两种不同的制度。在母系制度下，男性婚后成为女方家庭的一员，如果父亲去世或离婚，孩子与母亲在一起，母亲对孩子的抚养具有基本的决策权。另一种相反的做法是父系制度，在这种情况下，如果父亲去世，或者离婚并且没有再婚，那么母亲和孩子仍然是父亲大家族的一部分，抚养子女的责任由父亲一方的大家庭承担。如果母亲再婚，子女仍然和父亲一家呆在一起，在有些情况下，母亲可能失去抚养子女的权利。当然，这也有可能只是意味着在父亲不在时由家庭抚养孩子，以及在已经向孩子母亲家庭提供聘礼（彩礼或嫁妆）的情况下，由父亲家庭承担抚养子女的责任（东帝汶绝大多数都为父系家族谱系）。不过，正如所解释的那样，这可能使母亲丧失抚养子女的权利和义务。在基于性别的歧视性习惯做法中，这是一个复杂而又棘手的问题，为此需要斟酌采取相应的措施，尤其需要认真思考正规的法律框架和行政措施应该对此如何做出反应。</w:t>
      </w:r>
    </w:p>
    <w:p w:rsidR="00692915" w:rsidRDefault="00692915" w:rsidP="009A1C1B">
      <w:pPr>
        <w:tabs>
          <w:tab w:val="left" w:pos="1170"/>
        </w:tabs>
        <w:ind w:firstLine="31680"/>
        <w:rPr>
          <w:rFonts w:hint="eastAsia"/>
          <w:bCs/>
          <w:color w:val="000000"/>
        </w:rPr>
      </w:pPr>
      <w:r>
        <w:rPr>
          <w:color w:val="000000"/>
        </w:rPr>
        <w:t>692.</w:t>
      </w:r>
      <w:r>
        <w:rPr>
          <w:rFonts w:hint="eastAsia"/>
          <w:color w:val="000000"/>
        </w:rPr>
        <w:tab/>
      </w:r>
      <w:r>
        <w:rPr>
          <w:rFonts w:hint="eastAsia"/>
          <w:bCs/>
          <w:color w:val="000000"/>
        </w:rPr>
        <w:t>正如本文件一再强调的那样，东帝汶的法律框架目前正处于变化之中，有关儿童保护及其福利的正规行政体系还处于初期阶段，因此国家介入家庭事务的程度有限。国家介入往往限于那些严重违反儿童最佳权益的情况，不过介入范围正在稳步扩大，可对具体问题做出一定的反应。</w:t>
      </w:r>
    </w:p>
    <w:p w:rsidR="00692915" w:rsidRDefault="00692915" w:rsidP="009A1C1B">
      <w:pPr>
        <w:tabs>
          <w:tab w:val="left" w:pos="1170"/>
        </w:tabs>
        <w:ind w:firstLine="31680"/>
        <w:rPr>
          <w:rFonts w:hint="eastAsia"/>
          <w:bCs/>
          <w:color w:val="000000"/>
        </w:rPr>
      </w:pPr>
      <w:r>
        <w:rPr>
          <w:bCs/>
          <w:color w:val="000000"/>
        </w:rPr>
        <w:t>693.</w:t>
      </w:r>
      <w:r>
        <w:rPr>
          <w:rFonts w:hint="eastAsia"/>
          <w:bCs/>
          <w:color w:val="000000"/>
        </w:rPr>
        <w:tab/>
      </w:r>
      <w:r>
        <w:rPr>
          <w:rFonts w:hint="eastAsia"/>
          <w:bCs/>
          <w:color w:val="000000"/>
        </w:rPr>
        <w:t>尽管国家为贫困家庭提供援助的资源有限，但是为了做出适当反应，最近已将大部分的工作重点放在强化关键机构（例如国家社会服务司、保护弱势人员股和各地区行政机构）的能力上。为了让父母、社区、家庭和儿童更明确地意识到儿童的权利，以及父母、家庭培育和抚养子女的作用和责任，目前还在继续开展相关工作。另外，还计划通过旨在强化家庭的具体方案，使父母能够更好地照顾好家庭。</w:t>
      </w:r>
      <w:r>
        <w:rPr>
          <w:rStyle w:val="FootnoteReference"/>
          <w:bCs/>
          <w:color w:val="000000"/>
        </w:rPr>
        <w:footnoteReference w:id="371"/>
      </w:r>
    </w:p>
    <w:p w:rsidR="00692915" w:rsidRDefault="00692915" w:rsidP="009A1C1B">
      <w:pPr>
        <w:tabs>
          <w:tab w:val="left" w:pos="1170"/>
        </w:tabs>
        <w:ind w:firstLine="31680"/>
        <w:rPr>
          <w:rFonts w:hint="eastAsia"/>
          <w:bCs/>
          <w:color w:val="000000"/>
        </w:rPr>
      </w:pPr>
      <w:r>
        <w:rPr>
          <w:bCs/>
          <w:color w:val="000000"/>
        </w:rPr>
        <w:t>694.</w:t>
      </w:r>
      <w:r>
        <w:rPr>
          <w:rFonts w:hint="eastAsia"/>
          <w:bCs/>
          <w:color w:val="000000"/>
        </w:rPr>
        <w:t xml:space="preserve"> </w:t>
      </w:r>
      <w:r>
        <w:rPr>
          <w:rFonts w:hint="eastAsia"/>
          <w:bCs/>
          <w:color w:val="000000"/>
        </w:rPr>
        <w:t>政府强调指出：</w:t>
      </w:r>
    </w:p>
    <w:p w:rsidR="00692915" w:rsidRDefault="00692915" w:rsidP="009A1C1B">
      <w:pPr>
        <w:numPr>
          <w:ilvl w:val="0"/>
          <w:numId w:val="6"/>
        </w:numPr>
        <w:tabs>
          <w:tab w:val="clear" w:pos="927"/>
          <w:tab w:val="left" w:pos="1690"/>
        </w:tabs>
        <w:ind w:leftChars="450" w:left="31680" w:hangingChars="200" w:firstLine="31680"/>
        <w:rPr>
          <w:bCs/>
          <w:color w:val="000000"/>
          <w:szCs w:val="24"/>
        </w:rPr>
      </w:pPr>
      <w:r>
        <w:rPr>
          <w:rFonts w:hint="eastAsia"/>
          <w:bCs/>
          <w:color w:val="000000"/>
          <w:szCs w:val="24"/>
        </w:rPr>
        <w:t>宪法基础已具备；</w:t>
      </w:r>
    </w:p>
    <w:p w:rsidR="00692915" w:rsidRDefault="00692915" w:rsidP="009A1C1B">
      <w:pPr>
        <w:numPr>
          <w:ilvl w:val="0"/>
          <w:numId w:val="6"/>
        </w:numPr>
        <w:tabs>
          <w:tab w:val="clear" w:pos="927"/>
          <w:tab w:val="left" w:pos="1690"/>
        </w:tabs>
        <w:ind w:leftChars="450" w:left="31680" w:hangingChars="200" w:firstLine="31680"/>
        <w:rPr>
          <w:bCs/>
          <w:color w:val="000000"/>
          <w:szCs w:val="24"/>
        </w:rPr>
      </w:pPr>
      <w:r>
        <w:rPr>
          <w:rFonts w:hint="eastAsia"/>
          <w:bCs/>
          <w:color w:val="000000"/>
          <w:szCs w:val="24"/>
        </w:rPr>
        <w:t>立法和行政框架正在制定中；以及</w:t>
      </w:r>
    </w:p>
    <w:p w:rsidR="00692915" w:rsidRDefault="00692915" w:rsidP="009A1C1B">
      <w:pPr>
        <w:numPr>
          <w:ilvl w:val="0"/>
          <w:numId w:val="6"/>
        </w:numPr>
        <w:tabs>
          <w:tab w:val="clear" w:pos="927"/>
          <w:tab w:val="left" w:pos="1690"/>
        </w:tabs>
        <w:spacing w:after="240"/>
        <w:ind w:leftChars="450" w:left="31680" w:hangingChars="200" w:firstLine="31680"/>
        <w:rPr>
          <w:bCs/>
          <w:color w:val="000000"/>
          <w:szCs w:val="24"/>
        </w:rPr>
      </w:pPr>
      <w:r>
        <w:rPr>
          <w:rFonts w:hint="eastAsia"/>
          <w:bCs/>
          <w:color w:val="000000"/>
          <w:szCs w:val="24"/>
        </w:rPr>
        <w:t>为了让东帝汶更好地按照这些基本的构建模块促进儿童的发展，养育和保护儿童，已在早期强调了社区教育和家庭教育。</w:t>
      </w:r>
    </w:p>
    <w:p w:rsidR="00692915" w:rsidRDefault="00692915" w:rsidP="009A1C1B">
      <w:pPr>
        <w:tabs>
          <w:tab w:val="left" w:pos="1170"/>
        </w:tabs>
        <w:spacing w:after="240"/>
        <w:ind w:firstLine="31680"/>
        <w:rPr>
          <w:rFonts w:hint="eastAsia"/>
          <w:bCs/>
          <w:color w:val="000000"/>
        </w:rPr>
      </w:pPr>
      <w:r>
        <w:rPr>
          <w:bCs/>
          <w:color w:val="000000"/>
        </w:rPr>
        <w:t>695.</w:t>
      </w:r>
      <w:r>
        <w:rPr>
          <w:rFonts w:hint="eastAsia"/>
          <w:bCs/>
          <w:color w:val="000000"/>
        </w:rPr>
        <w:tab/>
      </w:r>
      <w:r>
        <w:rPr>
          <w:rFonts w:hint="eastAsia"/>
          <w:bCs/>
          <w:color w:val="000000"/>
        </w:rPr>
        <w:t>东帝汶社会主要为父系社会，在父母分开的情况下，子女大多与父亲在一起。根据上述传统，如果已经提供</w:t>
      </w:r>
      <w:r>
        <w:rPr>
          <w:rFonts w:eastAsia="KaiTi_GB2312" w:hint="eastAsia"/>
          <w:bCs/>
          <w:color w:val="000000"/>
        </w:rPr>
        <w:t>彩礼</w:t>
      </w:r>
      <w:r>
        <w:rPr>
          <w:rFonts w:hint="eastAsia"/>
          <w:bCs/>
          <w:color w:val="000000"/>
        </w:rPr>
        <w:t>，那么父亲必须按同等金额偿还妻子，以恢复她的名誉。在有些情况下，子女确实与母亲生活在一起，这样，母亲必须将</w:t>
      </w:r>
      <w:r>
        <w:rPr>
          <w:rFonts w:eastAsia="KaiTi_GB2312" w:hint="eastAsia"/>
          <w:bCs/>
          <w:color w:val="000000"/>
        </w:rPr>
        <w:t>彩礼</w:t>
      </w:r>
      <w:r>
        <w:rPr>
          <w:rFonts w:hint="eastAsia"/>
          <w:bCs/>
          <w:color w:val="000000"/>
        </w:rPr>
        <w:t>还给其丈夫。</w:t>
      </w:r>
    </w:p>
    <w:p w:rsidR="00692915" w:rsidRDefault="00692915">
      <w:pPr>
        <w:pStyle w:val="Heading3"/>
        <w:tabs>
          <w:tab w:val="left" w:pos="1170"/>
        </w:tabs>
        <w:jc w:val="both"/>
        <w:rPr>
          <w:rFonts w:eastAsia="KaiTi_GB2312" w:hint="eastAsia"/>
          <w:color w:val="000000"/>
          <w:u w:val="none"/>
        </w:rPr>
      </w:pPr>
      <w:r>
        <w:rPr>
          <w:rFonts w:eastAsia="KaiTi_GB2312" w:hint="eastAsia"/>
          <w:color w:val="000000"/>
          <w:u w:val="none"/>
        </w:rPr>
        <w:t>子女抚养</w:t>
      </w:r>
    </w:p>
    <w:p w:rsidR="00692915" w:rsidRDefault="00692915" w:rsidP="009A1C1B">
      <w:pPr>
        <w:tabs>
          <w:tab w:val="left" w:pos="1170"/>
        </w:tabs>
        <w:ind w:firstLine="31680"/>
        <w:rPr>
          <w:rFonts w:hint="eastAsia"/>
          <w:color w:val="000000"/>
        </w:rPr>
      </w:pPr>
      <w:r>
        <w:rPr>
          <w:color w:val="000000"/>
        </w:rPr>
        <w:t>696.</w:t>
      </w:r>
      <w:r>
        <w:rPr>
          <w:color w:val="000000"/>
        </w:rPr>
        <w:tab/>
      </w:r>
      <w:r>
        <w:rPr>
          <w:color w:val="000000"/>
        </w:rPr>
        <w:t>《印度尼西亚民法典》</w:t>
      </w:r>
      <w:r>
        <w:rPr>
          <w:rFonts w:hint="eastAsia"/>
          <w:color w:val="000000"/>
        </w:rPr>
        <w:t>第</w:t>
      </w:r>
      <w:r>
        <w:rPr>
          <w:rFonts w:hint="eastAsia"/>
          <w:color w:val="000000"/>
        </w:rPr>
        <w:t>230</w:t>
      </w:r>
      <w:r>
        <w:rPr>
          <w:rFonts w:hint="eastAsia"/>
          <w:color w:val="000000"/>
        </w:rPr>
        <w:t>（</w:t>
      </w:r>
      <w:r>
        <w:rPr>
          <w:rFonts w:hint="eastAsia"/>
          <w:color w:val="000000"/>
        </w:rPr>
        <w:t>b</w:t>
      </w:r>
      <w:r>
        <w:rPr>
          <w:rFonts w:hint="eastAsia"/>
          <w:color w:val="000000"/>
        </w:rPr>
        <w:t>）条指出，在正式提交合法的分居申请后，除非有充分理由证明不是监护人的一方无力“为未成年子女支付足够金额的抚养和教育费”，否则法院可以责令该方“按周、月或季度为一个或更多子女支付一定金额的</w:t>
      </w:r>
      <w:r>
        <w:rPr>
          <w:rFonts w:ascii="SimSun" w:hAnsi="SimSun"/>
          <w:color w:val="000000"/>
        </w:rPr>
        <w:t>……</w:t>
      </w:r>
      <w:r>
        <w:rPr>
          <w:rFonts w:hint="eastAsia"/>
          <w:color w:val="000000"/>
        </w:rPr>
        <w:t>抚养和教育费”。</w:t>
      </w:r>
    </w:p>
    <w:p w:rsidR="00692915" w:rsidRDefault="00692915" w:rsidP="009A1C1B">
      <w:pPr>
        <w:tabs>
          <w:tab w:val="left" w:pos="1170"/>
        </w:tabs>
        <w:ind w:firstLine="31680"/>
        <w:rPr>
          <w:rFonts w:hint="eastAsia"/>
          <w:bCs/>
          <w:color w:val="000000"/>
        </w:rPr>
      </w:pPr>
      <w:r>
        <w:rPr>
          <w:color w:val="000000"/>
        </w:rPr>
        <w:t>697.</w:t>
      </w:r>
      <w:r>
        <w:rPr>
          <w:color w:val="000000"/>
        </w:rPr>
        <w:tab/>
      </w:r>
      <w:r>
        <w:rPr>
          <w:rFonts w:hint="eastAsia"/>
          <w:bCs/>
          <w:color w:val="000000"/>
        </w:rPr>
        <w:t>该《法典》第</w:t>
      </w:r>
      <w:r>
        <w:rPr>
          <w:rFonts w:hint="eastAsia"/>
          <w:bCs/>
          <w:color w:val="000000"/>
        </w:rPr>
        <w:t>329</w:t>
      </w:r>
      <w:r>
        <w:rPr>
          <w:rFonts w:hint="eastAsia"/>
          <w:bCs/>
          <w:color w:val="000000"/>
        </w:rPr>
        <w:t>（</w:t>
      </w:r>
      <w:r>
        <w:rPr>
          <w:rFonts w:hint="eastAsia"/>
          <w:bCs/>
          <w:color w:val="000000"/>
        </w:rPr>
        <w:t>a</w:t>
      </w:r>
      <w:r>
        <w:rPr>
          <w:rFonts w:hint="eastAsia"/>
          <w:bCs/>
          <w:color w:val="000000"/>
        </w:rPr>
        <w:t>）条规定，应“根据未成年子女的需求以及（责任方）的收入和财富，按比例支付”这些费用。但在该责任方不能支付的情况下，现有法律没有提到相应的实施规定。</w:t>
      </w:r>
    </w:p>
    <w:p w:rsidR="00692915" w:rsidRDefault="00692915" w:rsidP="009A1C1B">
      <w:pPr>
        <w:tabs>
          <w:tab w:val="left" w:pos="1170"/>
        </w:tabs>
        <w:ind w:firstLine="31680"/>
        <w:rPr>
          <w:rFonts w:hint="eastAsia"/>
          <w:bCs/>
          <w:color w:val="000000"/>
        </w:rPr>
      </w:pPr>
      <w:r>
        <w:rPr>
          <w:bCs/>
          <w:color w:val="000000"/>
        </w:rPr>
        <w:t>698.</w:t>
      </w:r>
      <w:r>
        <w:rPr>
          <w:bCs/>
          <w:color w:val="000000"/>
        </w:rPr>
        <w:tab/>
      </w:r>
      <w:r>
        <w:rPr>
          <w:rFonts w:hint="eastAsia"/>
          <w:bCs/>
          <w:color w:val="000000"/>
        </w:rPr>
        <w:t>尽管《法典》第</w:t>
      </w:r>
      <w:r>
        <w:rPr>
          <w:rFonts w:hint="eastAsia"/>
          <w:bCs/>
          <w:color w:val="000000"/>
        </w:rPr>
        <w:t>237</w:t>
      </w:r>
      <w:r>
        <w:rPr>
          <w:rFonts w:hint="eastAsia"/>
          <w:bCs/>
          <w:color w:val="000000"/>
        </w:rPr>
        <w:t>条对法院确认和管理法院抚养协议的权利做出了规定，但对于正式分居后责任方付款责任的执行问题，目前尚无相应的行政规定。实际上，从整个情况来说，有关儿童抚养的司法裁决非常少，其部分原因包括：夫妻双方对于如何申请正式分居缺乏了解；与这种申请有关的诉讼费；在专门领域（例如家庭法律）中的司法能力有限；传统做法中不通过法院来实施这种权利。同样，目前没有抚养费收取和执行方面的行政规定。</w:t>
      </w:r>
    </w:p>
    <w:p w:rsidR="00692915" w:rsidRDefault="00692915" w:rsidP="009A1C1B">
      <w:pPr>
        <w:tabs>
          <w:tab w:val="left" w:pos="1170"/>
        </w:tabs>
        <w:ind w:firstLine="31680"/>
        <w:rPr>
          <w:rFonts w:hint="eastAsia"/>
          <w:bCs/>
          <w:color w:val="000000"/>
        </w:rPr>
      </w:pPr>
      <w:r>
        <w:rPr>
          <w:bCs/>
          <w:color w:val="000000"/>
        </w:rPr>
        <w:t>699.</w:t>
      </w:r>
      <w:r>
        <w:rPr>
          <w:bCs/>
          <w:color w:val="000000"/>
        </w:rPr>
        <w:tab/>
      </w:r>
      <w:r>
        <w:rPr>
          <w:rFonts w:hint="eastAsia"/>
          <w:bCs/>
          <w:color w:val="000000"/>
        </w:rPr>
        <w:t>正如上文所述，分居和离婚在东帝汶并不常见。在父亲决定分居后，子女与谁生活在一起的问题也是主要取决于是否已经提供</w:t>
      </w:r>
      <w:r>
        <w:rPr>
          <w:rFonts w:eastAsia="KaiTi_GB2312" w:hint="eastAsia"/>
          <w:bCs/>
          <w:color w:val="000000"/>
        </w:rPr>
        <w:t>彩礼</w:t>
      </w:r>
      <w:r>
        <w:rPr>
          <w:rFonts w:hint="eastAsia"/>
          <w:bCs/>
          <w:color w:val="000000"/>
        </w:rPr>
        <w:t>。如果已经向母亲一方的家庭提供</w:t>
      </w:r>
      <w:r>
        <w:rPr>
          <w:rFonts w:eastAsia="KaiTi_GB2312" w:hint="eastAsia"/>
          <w:bCs/>
          <w:color w:val="000000"/>
        </w:rPr>
        <w:t>彩礼</w:t>
      </w:r>
      <w:r>
        <w:rPr>
          <w:rFonts w:hint="eastAsia"/>
          <w:bCs/>
          <w:color w:val="000000"/>
        </w:rPr>
        <w:t>，孩子往往和父亲生活在一起。但是如果母亲能够偿还</w:t>
      </w:r>
      <w:r>
        <w:rPr>
          <w:rFonts w:eastAsia="KaiTi_GB2312" w:hint="eastAsia"/>
          <w:bCs/>
          <w:color w:val="000000"/>
        </w:rPr>
        <w:t>彩礼</w:t>
      </w:r>
      <w:r>
        <w:rPr>
          <w:rFonts w:hint="eastAsia"/>
          <w:bCs/>
          <w:color w:val="000000"/>
        </w:rPr>
        <w:t>，那么子女可以与其生活在一起。</w:t>
      </w:r>
    </w:p>
    <w:p w:rsidR="00692915" w:rsidRDefault="00692915" w:rsidP="009A1C1B">
      <w:pPr>
        <w:tabs>
          <w:tab w:val="left" w:pos="1170"/>
        </w:tabs>
        <w:ind w:firstLine="31680"/>
        <w:rPr>
          <w:rFonts w:hint="eastAsia"/>
          <w:bCs/>
          <w:color w:val="000000"/>
        </w:rPr>
      </w:pPr>
      <w:r>
        <w:rPr>
          <w:bCs/>
          <w:color w:val="000000"/>
        </w:rPr>
        <w:t>700.</w:t>
      </w:r>
      <w:r>
        <w:rPr>
          <w:bCs/>
          <w:color w:val="000000"/>
        </w:rPr>
        <w:tab/>
      </w:r>
      <w:r>
        <w:rPr>
          <w:rFonts w:hint="eastAsia"/>
          <w:bCs/>
          <w:color w:val="000000"/>
        </w:rPr>
        <w:t>按照传统的做法，在父母分居时，并不总会讨论子女抚养的问题。</w:t>
      </w:r>
      <w:r>
        <w:rPr>
          <w:rFonts w:hint="eastAsia"/>
          <w:bCs/>
          <w:color w:val="000000"/>
        </w:rPr>
        <w:t>2005</w:t>
      </w:r>
      <w:r>
        <w:rPr>
          <w:rFonts w:hint="eastAsia"/>
          <w:bCs/>
          <w:color w:val="000000"/>
        </w:rPr>
        <w:t>年，在与社区、非政府组织和地方政府代表进行的地区磋商会议显示，在由母亲负责抚养子女，并且已就抚养达成协议的情况下，父亲通常不能或不会按照约定的金额支付抚养费用。</w:t>
      </w:r>
      <w:r>
        <w:rPr>
          <w:rStyle w:val="FootnoteReference"/>
          <w:bCs/>
          <w:color w:val="000000"/>
        </w:rPr>
        <w:footnoteReference w:id="372"/>
      </w:r>
    </w:p>
    <w:p w:rsidR="00692915" w:rsidRDefault="00692915" w:rsidP="009A1C1B">
      <w:pPr>
        <w:tabs>
          <w:tab w:val="left" w:pos="1170"/>
        </w:tabs>
        <w:spacing w:line="360" w:lineRule="auto"/>
        <w:ind w:firstLine="31680"/>
        <w:rPr>
          <w:rFonts w:hint="eastAsia"/>
          <w:bCs/>
          <w:color w:val="000000"/>
        </w:rPr>
      </w:pPr>
      <w:r>
        <w:rPr>
          <w:bCs/>
          <w:color w:val="000000"/>
        </w:rPr>
        <w:t>701.</w:t>
      </w:r>
      <w:r>
        <w:rPr>
          <w:bCs/>
          <w:color w:val="000000"/>
        </w:rPr>
        <w:tab/>
      </w:r>
      <w:r>
        <w:rPr>
          <w:rFonts w:hint="eastAsia"/>
          <w:bCs/>
          <w:color w:val="000000"/>
        </w:rPr>
        <w:t>在磋商期间，还提到了在妇女与非帝汶男性结婚生子情况下的子女抚养问题。</w:t>
      </w:r>
      <w:r>
        <w:rPr>
          <w:rStyle w:val="FootnoteReference"/>
          <w:bCs/>
          <w:color w:val="000000"/>
        </w:rPr>
        <w:footnoteReference w:id="373"/>
      </w:r>
      <w:r>
        <w:rPr>
          <w:rFonts w:hint="eastAsia"/>
          <w:bCs/>
          <w:color w:val="000000"/>
        </w:rPr>
        <w:t>目前，对于有些情况下的子女抚养问题尚无相应的规定，例如外国人（例如联合国国际特派团人员）在东帝汶有了子女，之后又离开了。劳动与社会安置部已收到过妇女的陈述书，在与那些工作在联合国各特派团的国际人士有了关系之后，她们希望确定父子关系，或者希望了解是否有可能获得子女的抚养权。确定了父子关系的只有少数几种情况。没有关于获取子女抚养权的报道。</w:t>
      </w:r>
    </w:p>
    <w:p w:rsidR="00692915" w:rsidRDefault="00692915" w:rsidP="009A1C1B">
      <w:pPr>
        <w:tabs>
          <w:tab w:val="left" w:pos="1170"/>
        </w:tabs>
        <w:spacing w:after="240" w:line="360" w:lineRule="auto"/>
        <w:ind w:firstLine="31680"/>
        <w:rPr>
          <w:rFonts w:hint="eastAsia"/>
          <w:bCs/>
          <w:color w:val="000000"/>
        </w:rPr>
      </w:pPr>
      <w:r>
        <w:rPr>
          <w:bCs/>
          <w:color w:val="000000"/>
        </w:rPr>
        <w:t>702.</w:t>
      </w:r>
      <w:r>
        <w:rPr>
          <w:bCs/>
          <w:color w:val="000000"/>
        </w:rPr>
        <w:tab/>
      </w:r>
      <w:r>
        <w:rPr>
          <w:rFonts w:hint="eastAsia"/>
          <w:bCs/>
          <w:color w:val="000000"/>
        </w:rPr>
        <w:t>由于认识到了这一领域所存在的难题，政府已采取措施旨在解决这一问题，目前即将出台一部有关子女抚养的法律，在撰写本报告之时，该法律正有待部长理事会审议。</w:t>
      </w:r>
    </w:p>
    <w:p w:rsidR="00692915" w:rsidRDefault="00692915">
      <w:pPr>
        <w:pStyle w:val="Heading3"/>
        <w:tabs>
          <w:tab w:val="left" w:pos="1170"/>
        </w:tabs>
        <w:spacing w:line="360" w:lineRule="auto"/>
        <w:jc w:val="both"/>
        <w:rPr>
          <w:rFonts w:eastAsia="KaiTi_GB2312" w:hint="eastAsia"/>
          <w:color w:val="000000"/>
          <w:u w:val="none"/>
        </w:rPr>
      </w:pPr>
      <w:r>
        <w:rPr>
          <w:rFonts w:eastAsia="KaiTi_GB2312" w:hint="eastAsia"/>
          <w:color w:val="000000"/>
          <w:u w:val="none"/>
        </w:rPr>
        <w:t>儿童收养</w:t>
      </w:r>
    </w:p>
    <w:p w:rsidR="00692915" w:rsidRDefault="00692915" w:rsidP="009A1C1B">
      <w:pPr>
        <w:tabs>
          <w:tab w:val="left" w:pos="1170"/>
        </w:tabs>
        <w:spacing w:line="360" w:lineRule="auto"/>
        <w:ind w:firstLine="31680"/>
        <w:rPr>
          <w:rFonts w:hint="eastAsia"/>
          <w:bCs/>
          <w:color w:val="000000"/>
        </w:rPr>
      </w:pPr>
      <w:r>
        <w:rPr>
          <w:bCs/>
          <w:color w:val="000000"/>
        </w:rPr>
        <w:t>703.</w:t>
      </w:r>
      <w:r>
        <w:rPr>
          <w:bCs/>
          <w:color w:val="000000"/>
        </w:rPr>
        <w:tab/>
      </w:r>
      <w:r>
        <w:rPr>
          <w:rFonts w:hint="eastAsia"/>
          <w:bCs/>
          <w:color w:val="000000"/>
        </w:rPr>
        <w:t>在撰写本报告之时，尚无关于收养问题的国家法律规定，抚养主要通过非正式程序在家庭（主要是大家庭）内进行。但是，</w:t>
      </w:r>
      <w:r>
        <w:rPr>
          <w:bCs/>
          <w:color w:val="000000"/>
        </w:rPr>
        <w:t>《印度尼西亚民法典</w:t>
      </w:r>
      <w:r>
        <w:rPr>
          <w:rFonts w:hint="eastAsia"/>
          <w:bCs/>
          <w:color w:val="000000"/>
        </w:rPr>
        <w:t>》和</w:t>
      </w:r>
      <w:r>
        <w:rPr>
          <w:bCs/>
          <w:color w:val="000000"/>
        </w:rPr>
        <w:t>东帝汶过渡当局</w:t>
      </w:r>
      <w:r>
        <w:rPr>
          <w:rFonts w:hint="eastAsia"/>
          <w:bCs/>
          <w:color w:val="000000"/>
        </w:rPr>
        <w:t>在其登记条例中对收养过程中的几个方面做出了规定。</w:t>
      </w:r>
    </w:p>
    <w:p w:rsidR="00692915" w:rsidRDefault="00692915" w:rsidP="009A1C1B">
      <w:pPr>
        <w:tabs>
          <w:tab w:val="left" w:pos="1170"/>
        </w:tabs>
        <w:spacing w:line="360" w:lineRule="auto"/>
        <w:ind w:firstLine="31680"/>
        <w:rPr>
          <w:rFonts w:hint="eastAsia"/>
          <w:bCs/>
          <w:color w:val="000000"/>
        </w:rPr>
      </w:pPr>
      <w:r>
        <w:rPr>
          <w:bCs/>
          <w:color w:val="000000"/>
        </w:rPr>
        <w:t>704.</w:t>
      </w:r>
      <w:r>
        <w:rPr>
          <w:bCs/>
          <w:color w:val="000000"/>
        </w:rPr>
        <w:tab/>
      </w:r>
      <w:r>
        <w:rPr>
          <w:rFonts w:hint="eastAsia"/>
          <w:bCs/>
          <w:color w:val="000000"/>
        </w:rPr>
        <w:t>尽管在传承下来的个案中，通过司法裁决领养的情况很少，但领养在东帝汶却很常见。一般地说，为了领养，申请人必须征求亲生父母本人的同意，在亲生父母确实认为可以永久性领养的情况下，还需要证明领养孩子所需的经济能力，以及领养孩子的适当动机。</w:t>
      </w:r>
      <w:r>
        <w:rPr>
          <w:rStyle w:val="FootnoteReference"/>
          <w:bCs/>
          <w:color w:val="000000"/>
        </w:rPr>
        <w:footnoteReference w:id="374"/>
      </w:r>
      <w:r>
        <w:rPr>
          <w:rFonts w:hint="eastAsia"/>
          <w:bCs/>
          <w:color w:val="000000"/>
        </w:rPr>
        <w:t>一旦签发领养令，法院必须通知中央民事登记处，由登记处签发一份民事文件对领养孩子予以确认。</w:t>
      </w:r>
      <w:r>
        <w:rPr>
          <w:rStyle w:val="FootnoteReference"/>
          <w:bCs/>
          <w:color w:val="000000"/>
        </w:rPr>
        <w:footnoteReference w:id="375"/>
      </w:r>
      <w:r>
        <w:rPr>
          <w:rFonts w:hint="eastAsia"/>
          <w:bCs/>
          <w:color w:val="000000"/>
        </w:rPr>
        <w:t>根据中央民事登记处的报告，到目前为止，该处只收到为数不多的几份领养通知。平均而言，在过去</w:t>
      </w:r>
      <w:r>
        <w:rPr>
          <w:rFonts w:hint="eastAsia"/>
          <w:bCs/>
          <w:color w:val="000000"/>
        </w:rPr>
        <w:t>5</w:t>
      </w:r>
      <w:r>
        <w:rPr>
          <w:rFonts w:hint="eastAsia"/>
          <w:bCs/>
          <w:color w:val="000000"/>
        </w:rPr>
        <w:t>年中每年有一次正式的领养庭审，所有的申请人都是非帝汶国民。</w:t>
      </w:r>
    </w:p>
    <w:p w:rsidR="00692915" w:rsidRDefault="00692915" w:rsidP="009A1C1B">
      <w:pPr>
        <w:tabs>
          <w:tab w:val="left" w:pos="1170"/>
        </w:tabs>
        <w:spacing w:line="360" w:lineRule="auto"/>
        <w:ind w:firstLine="31680"/>
        <w:rPr>
          <w:rFonts w:hint="eastAsia"/>
          <w:bCs/>
          <w:color w:val="000000"/>
        </w:rPr>
      </w:pPr>
      <w:r>
        <w:rPr>
          <w:bCs/>
          <w:color w:val="000000"/>
        </w:rPr>
        <w:t>705.</w:t>
      </w:r>
      <w:r>
        <w:rPr>
          <w:rFonts w:hint="eastAsia"/>
          <w:bCs/>
          <w:color w:val="000000"/>
        </w:rPr>
        <w:t xml:space="preserve"> </w:t>
      </w:r>
      <w:r>
        <w:rPr>
          <w:bCs/>
          <w:color w:val="000000"/>
        </w:rPr>
        <w:tab/>
      </w:r>
      <w:r>
        <w:rPr>
          <w:rFonts w:hint="eastAsia"/>
          <w:bCs/>
          <w:color w:val="000000"/>
        </w:rPr>
        <w:t>一家地区法院最近做出了裁决，并签发了领养令，根据该领养令，一名非帝汶国民在孩子亲生父母同意的情况下领养了一名帝汶儿童。在这一特殊个案中，尽管签发领养令的程序受到了质疑，但是申请人的动机是适当的，而且有稳定的经济来源，因此最后孩子被带到国外。</w:t>
      </w:r>
    </w:p>
    <w:p w:rsidR="00692915" w:rsidRDefault="00692915" w:rsidP="009A1C1B">
      <w:pPr>
        <w:tabs>
          <w:tab w:val="left" w:pos="1170"/>
        </w:tabs>
        <w:spacing w:line="360" w:lineRule="auto"/>
        <w:ind w:firstLine="31680"/>
        <w:rPr>
          <w:rFonts w:hint="eastAsia"/>
          <w:bCs/>
          <w:color w:val="000000"/>
        </w:rPr>
      </w:pPr>
      <w:r>
        <w:rPr>
          <w:bCs/>
          <w:color w:val="000000"/>
        </w:rPr>
        <w:t>706.</w:t>
      </w:r>
      <w:r>
        <w:rPr>
          <w:bCs/>
          <w:color w:val="000000"/>
        </w:rPr>
        <w:tab/>
      </w:r>
      <w:r>
        <w:rPr>
          <w:rFonts w:hint="eastAsia"/>
          <w:bCs/>
          <w:color w:val="000000"/>
        </w:rPr>
        <w:t>领养孩子的主要原因有：家庭极其贫困且子女很多；孩子流离失所（印度尼西亚占领期间尤其突出）；孩子失去双亲等（这与领养有一定的关系），而上述案件突出说明了其中一个原因。</w:t>
      </w:r>
      <w:r>
        <w:rPr>
          <w:rFonts w:hint="eastAsia"/>
          <w:bCs/>
          <w:color w:val="000000"/>
        </w:rPr>
        <w:t>2005</w:t>
      </w:r>
      <w:r>
        <w:rPr>
          <w:rFonts w:hint="eastAsia"/>
          <w:bCs/>
          <w:color w:val="000000"/>
        </w:rPr>
        <w:t>年地区磋商会议的讨论指出，单身母亲如要“收养自己的孩子”，将尤其困难，</w:t>
      </w:r>
      <w:r>
        <w:rPr>
          <w:rStyle w:val="FootnoteReference"/>
          <w:bCs/>
          <w:color w:val="000000"/>
        </w:rPr>
        <w:footnoteReference w:id="376"/>
      </w:r>
      <w:r>
        <w:rPr>
          <w:rFonts w:hint="eastAsia"/>
          <w:bCs/>
          <w:color w:val="000000"/>
        </w:rPr>
        <w:t>有些妇女指出，在东帝汶，如果没有男性伴侣或家庭成员的支持，而只由单身母亲抚养孩子，往往会被人瞧不起。曾有女方家庭领养孩子或将孩子送他人（通常孤儿院）抚养的报道，家人认为这是有利孩子的最佳做法。</w:t>
      </w:r>
      <w:r>
        <w:rPr>
          <w:rStyle w:val="FootnoteReference"/>
          <w:bCs/>
          <w:color w:val="000000"/>
        </w:rPr>
        <w:footnoteReference w:id="377"/>
      </w:r>
      <w:r>
        <w:rPr>
          <w:rFonts w:hint="eastAsia"/>
          <w:bCs/>
          <w:color w:val="000000"/>
        </w:rPr>
        <w:t>在这些情况下，妇女很少能够或无法获得相应支持或财力来反对这种做法。</w:t>
      </w:r>
    </w:p>
    <w:p w:rsidR="00692915" w:rsidRDefault="00692915" w:rsidP="009A1C1B">
      <w:pPr>
        <w:tabs>
          <w:tab w:val="left" w:pos="1170"/>
        </w:tabs>
        <w:spacing w:line="360" w:lineRule="auto"/>
        <w:ind w:firstLine="31680"/>
        <w:rPr>
          <w:rFonts w:hint="eastAsia"/>
          <w:bCs/>
          <w:color w:val="000000"/>
        </w:rPr>
      </w:pPr>
      <w:r>
        <w:rPr>
          <w:bCs/>
          <w:color w:val="000000"/>
        </w:rPr>
        <w:t>707.</w:t>
      </w:r>
      <w:r>
        <w:rPr>
          <w:bCs/>
          <w:color w:val="000000"/>
        </w:rPr>
        <w:tab/>
      </w:r>
      <w:r>
        <w:rPr>
          <w:rFonts w:hint="eastAsia"/>
          <w:bCs/>
          <w:color w:val="000000"/>
        </w:rPr>
        <w:t>为了解决这种情况，劳动与社会安置部一直在努力制定一套有关国内和国际领养问题的指导方针。该条例是在广泛进行地区和国家协商后提议的，它为抚养制度确定了一个框架，内容如下：</w:t>
      </w:r>
    </w:p>
    <w:p w:rsidR="00692915" w:rsidRDefault="00692915" w:rsidP="009A1C1B">
      <w:pPr>
        <w:numPr>
          <w:ilvl w:val="0"/>
          <w:numId w:val="6"/>
        </w:numPr>
        <w:tabs>
          <w:tab w:val="clear" w:pos="927"/>
          <w:tab w:val="left" w:pos="1690"/>
        </w:tabs>
        <w:spacing w:line="360" w:lineRule="auto"/>
        <w:ind w:leftChars="450" w:left="31680" w:hangingChars="200" w:firstLine="31680"/>
        <w:rPr>
          <w:bCs/>
          <w:color w:val="000000"/>
        </w:rPr>
      </w:pPr>
      <w:r>
        <w:rPr>
          <w:rFonts w:hint="eastAsia"/>
          <w:bCs/>
          <w:color w:val="000000"/>
        </w:rPr>
        <w:t>劳动与社会安置部将作为负责领养问题的中央机关；</w:t>
      </w:r>
    </w:p>
    <w:p w:rsidR="00692915" w:rsidRDefault="00692915" w:rsidP="009A1C1B">
      <w:pPr>
        <w:numPr>
          <w:ilvl w:val="0"/>
          <w:numId w:val="6"/>
        </w:numPr>
        <w:tabs>
          <w:tab w:val="clear" w:pos="927"/>
          <w:tab w:val="left" w:pos="1690"/>
        </w:tabs>
        <w:spacing w:line="360" w:lineRule="auto"/>
        <w:ind w:leftChars="450" w:left="31680" w:hangingChars="200" w:firstLine="31680"/>
        <w:rPr>
          <w:bCs/>
          <w:color w:val="000000"/>
        </w:rPr>
      </w:pPr>
      <w:r>
        <w:rPr>
          <w:rFonts w:hint="eastAsia"/>
          <w:bCs/>
          <w:color w:val="000000"/>
          <w:szCs w:val="24"/>
        </w:rPr>
        <w:t>劳动</w:t>
      </w:r>
      <w:r>
        <w:rPr>
          <w:rFonts w:hint="eastAsia"/>
          <w:bCs/>
          <w:color w:val="000000"/>
        </w:rPr>
        <w:t>与社会安置部的社会服务司为主管机构，该机构应准备一份社会调查报告供法院审议；</w:t>
      </w:r>
    </w:p>
    <w:p w:rsidR="00692915" w:rsidRDefault="00692915" w:rsidP="009A1C1B">
      <w:pPr>
        <w:numPr>
          <w:ilvl w:val="0"/>
          <w:numId w:val="6"/>
        </w:numPr>
        <w:tabs>
          <w:tab w:val="clear" w:pos="927"/>
          <w:tab w:val="left" w:pos="1690"/>
        </w:tabs>
        <w:spacing w:line="360" w:lineRule="auto"/>
        <w:ind w:leftChars="450" w:left="31680" w:hangingChars="200" w:firstLine="31680"/>
        <w:rPr>
          <w:bCs/>
          <w:color w:val="000000"/>
        </w:rPr>
      </w:pPr>
      <w:r>
        <w:rPr>
          <w:rFonts w:hint="eastAsia"/>
          <w:bCs/>
          <w:color w:val="000000"/>
        </w:rPr>
        <w:t>确定领养当事人（儿童和申请人）资格的标准；</w:t>
      </w:r>
    </w:p>
    <w:p w:rsidR="00692915" w:rsidRDefault="00692915" w:rsidP="009A1C1B">
      <w:pPr>
        <w:numPr>
          <w:ilvl w:val="0"/>
          <w:numId w:val="6"/>
        </w:numPr>
        <w:tabs>
          <w:tab w:val="clear" w:pos="927"/>
          <w:tab w:val="left" w:pos="1690"/>
        </w:tabs>
        <w:spacing w:line="360" w:lineRule="auto"/>
        <w:ind w:leftChars="450" w:left="31680" w:hangingChars="200" w:firstLine="31680"/>
        <w:rPr>
          <w:bCs/>
          <w:color w:val="000000"/>
        </w:rPr>
      </w:pPr>
      <w:r>
        <w:rPr>
          <w:rFonts w:hint="eastAsia"/>
          <w:bCs/>
          <w:color w:val="000000"/>
          <w:szCs w:val="24"/>
        </w:rPr>
        <w:t>放弃</w:t>
      </w:r>
      <w:r>
        <w:rPr>
          <w:rFonts w:hint="eastAsia"/>
          <w:bCs/>
          <w:color w:val="000000"/>
        </w:rPr>
        <w:t>抚养权的父母应是自愿的，应提交有关其同意的通知；</w:t>
      </w:r>
    </w:p>
    <w:p w:rsidR="00692915" w:rsidRDefault="00692915" w:rsidP="009A1C1B">
      <w:pPr>
        <w:numPr>
          <w:ilvl w:val="0"/>
          <w:numId w:val="6"/>
        </w:numPr>
        <w:tabs>
          <w:tab w:val="clear" w:pos="927"/>
          <w:tab w:val="left" w:pos="1690"/>
        </w:tabs>
        <w:spacing w:line="360" w:lineRule="auto"/>
        <w:ind w:leftChars="450" w:left="31680" w:hangingChars="200" w:firstLine="31680"/>
        <w:rPr>
          <w:bCs/>
          <w:color w:val="000000"/>
        </w:rPr>
      </w:pPr>
      <w:r>
        <w:rPr>
          <w:rFonts w:hint="eastAsia"/>
          <w:bCs/>
          <w:color w:val="000000"/>
        </w:rPr>
        <w:t>在与国际标准没有冲突的情况下，将传统做法作为领养令一部分；</w:t>
      </w:r>
    </w:p>
    <w:p w:rsidR="00692915" w:rsidRDefault="00692915" w:rsidP="009A1C1B">
      <w:pPr>
        <w:numPr>
          <w:ilvl w:val="0"/>
          <w:numId w:val="6"/>
        </w:numPr>
        <w:tabs>
          <w:tab w:val="clear" w:pos="927"/>
          <w:tab w:val="left" w:pos="1690"/>
        </w:tabs>
        <w:spacing w:line="360" w:lineRule="auto"/>
        <w:ind w:leftChars="450" w:left="31680" w:hangingChars="200" w:firstLine="31680"/>
        <w:rPr>
          <w:bCs/>
          <w:color w:val="000000"/>
        </w:rPr>
      </w:pPr>
      <w:r>
        <w:rPr>
          <w:rFonts w:hint="eastAsia"/>
          <w:bCs/>
          <w:color w:val="000000"/>
        </w:rPr>
        <w:t>对目前那些通过非正规途径领养的儿童状况予以特别关注；</w:t>
      </w:r>
    </w:p>
    <w:p w:rsidR="00692915" w:rsidRDefault="00692915" w:rsidP="009A1C1B">
      <w:pPr>
        <w:numPr>
          <w:ilvl w:val="0"/>
          <w:numId w:val="6"/>
        </w:numPr>
        <w:tabs>
          <w:tab w:val="clear" w:pos="927"/>
          <w:tab w:val="left" w:pos="1690"/>
        </w:tabs>
        <w:spacing w:line="360" w:lineRule="auto"/>
        <w:ind w:leftChars="450" w:left="31680" w:hangingChars="200" w:firstLine="31680"/>
        <w:rPr>
          <w:bCs/>
          <w:color w:val="000000"/>
        </w:rPr>
      </w:pPr>
      <w:r>
        <w:rPr>
          <w:rFonts w:hint="eastAsia"/>
          <w:bCs/>
          <w:color w:val="000000"/>
        </w:rPr>
        <w:t>由社会服务司进行领养后监测；</w:t>
      </w:r>
    </w:p>
    <w:p w:rsidR="00692915" w:rsidRDefault="00692915" w:rsidP="009A1C1B">
      <w:pPr>
        <w:numPr>
          <w:ilvl w:val="0"/>
          <w:numId w:val="6"/>
        </w:numPr>
        <w:tabs>
          <w:tab w:val="clear" w:pos="927"/>
          <w:tab w:val="left" w:pos="1690"/>
        </w:tabs>
        <w:spacing w:afterLines="80" w:after="288" w:line="360" w:lineRule="auto"/>
        <w:ind w:leftChars="450" w:left="31680" w:hangingChars="200" w:firstLine="31680"/>
        <w:rPr>
          <w:rFonts w:hint="eastAsia"/>
          <w:color w:val="000000"/>
        </w:rPr>
      </w:pPr>
      <w:r>
        <w:rPr>
          <w:rFonts w:hint="eastAsia"/>
          <w:color w:val="000000"/>
        </w:rPr>
        <w:t>向</w:t>
      </w:r>
      <w:r>
        <w:rPr>
          <w:rFonts w:hint="eastAsia"/>
          <w:bCs/>
          <w:color w:val="000000"/>
          <w:szCs w:val="24"/>
        </w:rPr>
        <w:t>中央</w:t>
      </w:r>
      <w:r>
        <w:rPr>
          <w:rFonts w:hint="eastAsia"/>
          <w:color w:val="000000"/>
        </w:rPr>
        <w:t>民事登记处进行领养登记。</w:t>
      </w:r>
    </w:p>
    <w:p w:rsidR="00692915" w:rsidRDefault="00692915">
      <w:pPr>
        <w:pStyle w:val="Heading2"/>
        <w:tabs>
          <w:tab w:val="left" w:pos="1170"/>
        </w:tabs>
        <w:ind w:firstLine="600"/>
        <w:rPr>
          <w:color w:val="000000"/>
          <w:sz w:val="24"/>
        </w:rPr>
      </w:pPr>
      <w:r>
        <w:rPr>
          <w:color w:val="000000"/>
          <w:sz w:val="24"/>
        </w:rPr>
        <w:t xml:space="preserve">F. </w:t>
      </w:r>
      <w:r>
        <w:rPr>
          <w:rFonts w:hint="eastAsia"/>
          <w:color w:val="000000"/>
          <w:sz w:val="24"/>
          <w:u w:val="single"/>
        </w:rPr>
        <w:t>有效的补救措施</w:t>
      </w:r>
      <w:r>
        <w:rPr>
          <w:rStyle w:val="FootnoteReference"/>
          <w:color w:val="000000"/>
        </w:rPr>
        <w:footnoteReference w:id="378"/>
      </w:r>
    </w:p>
    <w:p w:rsidR="00692915" w:rsidRDefault="00692915" w:rsidP="009A1C1B">
      <w:pPr>
        <w:tabs>
          <w:tab w:val="left" w:pos="1170"/>
        </w:tabs>
        <w:spacing w:line="312" w:lineRule="auto"/>
        <w:ind w:firstLine="31680"/>
        <w:rPr>
          <w:rFonts w:hint="eastAsia"/>
          <w:color w:val="000000"/>
        </w:rPr>
      </w:pPr>
      <w:r>
        <w:rPr>
          <w:color w:val="000000"/>
        </w:rPr>
        <w:t>708.</w:t>
      </w:r>
      <w:r>
        <w:rPr>
          <w:color w:val="000000"/>
        </w:rPr>
        <w:tab/>
      </w:r>
      <w:r>
        <w:rPr>
          <w:rFonts w:hint="eastAsia"/>
          <w:color w:val="000000"/>
        </w:rPr>
        <w:t>《东帝汶宪法》确认，人人都有权作为集体或个人，通过主权机关或任何主管机构就其权利受到侵犯的问题寻求补救措施。</w:t>
      </w:r>
      <w:r>
        <w:rPr>
          <w:rStyle w:val="FootnoteReference"/>
          <w:bCs/>
          <w:color w:val="000000"/>
        </w:rPr>
        <w:footnoteReference w:id="379"/>
      </w:r>
      <w:r>
        <w:rPr>
          <w:rFonts w:hint="eastAsia"/>
          <w:color w:val="000000"/>
        </w:rPr>
        <w:t>《宪法》还明确指出，为了维护这些受法律保护的权利，还可以寻求法院的帮助。</w:t>
      </w:r>
      <w:r>
        <w:rPr>
          <w:rStyle w:val="FootnoteReference"/>
          <w:bCs/>
          <w:color w:val="000000"/>
        </w:rPr>
        <w:footnoteReference w:id="380"/>
      </w:r>
    </w:p>
    <w:p w:rsidR="00692915" w:rsidRDefault="00692915" w:rsidP="009A1C1B">
      <w:pPr>
        <w:tabs>
          <w:tab w:val="left" w:pos="1170"/>
        </w:tabs>
        <w:spacing w:line="312" w:lineRule="auto"/>
        <w:ind w:firstLine="31680"/>
        <w:rPr>
          <w:rFonts w:hint="eastAsia"/>
          <w:bCs/>
          <w:color w:val="000000"/>
        </w:rPr>
      </w:pPr>
      <w:r>
        <w:rPr>
          <w:color w:val="000000"/>
        </w:rPr>
        <w:t>709.</w:t>
      </w:r>
      <w:r>
        <w:rPr>
          <w:color w:val="000000"/>
        </w:rPr>
        <w:tab/>
      </w:r>
      <w:r>
        <w:rPr>
          <w:rFonts w:hint="eastAsia"/>
          <w:bCs/>
          <w:color w:val="000000"/>
        </w:rPr>
        <w:t>《宪法》以及其他各种法律确定了可据以寻求补救措施处理侵权问题的各种机制。可以针对各种侵权行为寻求补救措施，侵权行为涉及错误定罪、非法逮捕与拘留、酷刑、过度使用武力，一直到侵犯社会、经济和文化方面的权利（如劳动剥削）。除其他方面以外，可采取的补救措施包括：司法审查、赔偿、行政审查、开除有侵权行为的国家工作人员（如警察行为不当）、恢复工作等。</w:t>
      </w:r>
    </w:p>
    <w:p w:rsidR="00692915" w:rsidRDefault="00692915" w:rsidP="009A1C1B">
      <w:pPr>
        <w:tabs>
          <w:tab w:val="left" w:pos="1170"/>
        </w:tabs>
        <w:spacing w:line="312" w:lineRule="auto"/>
        <w:ind w:firstLine="31680"/>
        <w:rPr>
          <w:rFonts w:hint="eastAsia"/>
          <w:bCs/>
          <w:color w:val="000000"/>
        </w:rPr>
      </w:pPr>
      <w:r>
        <w:rPr>
          <w:bCs/>
          <w:color w:val="000000"/>
        </w:rPr>
        <w:t>710.</w:t>
      </w:r>
      <w:r>
        <w:rPr>
          <w:rFonts w:hint="eastAsia"/>
          <w:bCs/>
          <w:color w:val="000000"/>
        </w:rPr>
        <w:t xml:space="preserve"> </w:t>
      </w:r>
      <w:r>
        <w:rPr>
          <w:bCs/>
          <w:color w:val="000000"/>
        </w:rPr>
        <w:tab/>
      </w:r>
      <w:r>
        <w:rPr>
          <w:rFonts w:hint="eastAsia"/>
          <w:bCs/>
          <w:color w:val="000000"/>
          <w:spacing w:val="4"/>
        </w:rPr>
        <w:t>最高法院有权对国家机关的规范性行为和立法行为进行审查，以确定并宣布其是否违反《宪法》和法律。</w:t>
      </w:r>
      <w:r>
        <w:rPr>
          <w:rStyle w:val="FootnoteReference"/>
          <w:bCs/>
          <w:color w:val="000000"/>
          <w:spacing w:val="4"/>
        </w:rPr>
        <w:footnoteReference w:id="381"/>
      </w:r>
      <w:r>
        <w:rPr>
          <w:rFonts w:hint="eastAsia"/>
          <w:bCs/>
          <w:color w:val="000000"/>
          <w:spacing w:val="4"/>
        </w:rPr>
        <w:t>在违反《宪法》的情况被宣布后，通常由议会进行审查，在有些情况下，还有可能对违宪规定进行修订，《集会与示威自由法》就进行过修订。</w:t>
      </w:r>
    </w:p>
    <w:p w:rsidR="00692915" w:rsidRDefault="00692915" w:rsidP="009A1C1B">
      <w:pPr>
        <w:tabs>
          <w:tab w:val="left" w:pos="1170"/>
        </w:tabs>
        <w:spacing w:line="312" w:lineRule="auto"/>
        <w:ind w:firstLine="31680"/>
        <w:rPr>
          <w:rFonts w:hint="eastAsia"/>
          <w:bCs/>
          <w:color w:val="000000"/>
        </w:rPr>
      </w:pPr>
      <w:r>
        <w:rPr>
          <w:bCs/>
          <w:color w:val="000000"/>
        </w:rPr>
        <w:t>711.</w:t>
      </w:r>
      <w:r>
        <w:rPr>
          <w:rFonts w:hint="eastAsia"/>
          <w:bCs/>
          <w:color w:val="000000"/>
        </w:rPr>
        <w:t xml:space="preserve"> </w:t>
      </w:r>
      <w:r>
        <w:rPr>
          <w:bCs/>
          <w:color w:val="000000"/>
        </w:rPr>
        <w:tab/>
      </w:r>
      <w:r>
        <w:rPr>
          <w:rFonts w:hint="eastAsia"/>
          <w:bCs/>
          <w:color w:val="000000"/>
        </w:rPr>
        <w:t>个人还可请求最高法院考虑签发人身保护令或裁定非法逮捕和拘留个人为非法行为。</w:t>
      </w:r>
      <w:r>
        <w:rPr>
          <w:rStyle w:val="FootnoteReference"/>
          <w:bCs/>
          <w:color w:val="000000"/>
        </w:rPr>
        <w:footnoteReference w:id="382"/>
      </w:r>
      <w:r>
        <w:rPr>
          <w:rFonts w:hint="eastAsia"/>
          <w:bCs/>
          <w:color w:val="000000"/>
        </w:rPr>
        <w:t>如果请求获准，被拘留的申诉人可立刻获释，而且可以就其被错误关押的行为要求补偿。</w:t>
      </w:r>
      <w:r>
        <w:rPr>
          <w:rStyle w:val="FootnoteReference"/>
          <w:bCs/>
          <w:color w:val="000000"/>
        </w:rPr>
        <w:footnoteReference w:id="383"/>
      </w:r>
      <w:r>
        <w:rPr>
          <w:rFonts w:hint="eastAsia"/>
          <w:bCs/>
          <w:color w:val="000000"/>
        </w:rPr>
        <w:t>《宪法》和《民事诉讼法》都对错误定罪的赔偿问题做出了规定，但到目前为止，还没有发现政府进行这种补偿的情况。</w:t>
      </w:r>
      <w:r>
        <w:rPr>
          <w:rStyle w:val="FootnoteReference"/>
          <w:bCs/>
          <w:color w:val="000000"/>
        </w:rPr>
        <w:footnoteReference w:id="384"/>
      </w:r>
    </w:p>
    <w:p w:rsidR="00692915" w:rsidRDefault="00692915" w:rsidP="009A1C1B">
      <w:pPr>
        <w:tabs>
          <w:tab w:val="left" w:pos="1170"/>
        </w:tabs>
        <w:spacing w:line="360" w:lineRule="auto"/>
        <w:ind w:firstLine="31680"/>
        <w:rPr>
          <w:rFonts w:hint="eastAsia"/>
          <w:bCs/>
          <w:iCs/>
          <w:color w:val="000000"/>
        </w:rPr>
      </w:pPr>
      <w:r>
        <w:rPr>
          <w:bCs/>
          <w:color w:val="000000"/>
        </w:rPr>
        <w:t>712.</w:t>
      </w:r>
      <w:r>
        <w:rPr>
          <w:rFonts w:hint="eastAsia"/>
          <w:bCs/>
          <w:iCs/>
          <w:color w:val="000000"/>
        </w:rPr>
        <w:t xml:space="preserve"> </w:t>
      </w:r>
      <w:r>
        <w:rPr>
          <w:bCs/>
          <w:iCs/>
          <w:color w:val="000000"/>
        </w:rPr>
        <w:tab/>
      </w:r>
      <w:r>
        <w:rPr>
          <w:rFonts w:hint="eastAsia"/>
          <w:bCs/>
          <w:iCs/>
          <w:color w:val="000000"/>
        </w:rPr>
        <w:t>2002</w:t>
      </w:r>
      <w:r>
        <w:rPr>
          <w:rFonts w:hint="eastAsia"/>
          <w:bCs/>
          <w:iCs/>
          <w:color w:val="000000"/>
        </w:rPr>
        <w:t>年至</w:t>
      </w:r>
      <w:r>
        <w:rPr>
          <w:rFonts w:hint="eastAsia"/>
          <w:bCs/>
          <w:iCs/>
          <w:color w:val="000000"/>
        </w:rPr>
        <w:t>2005</w:t>
      </w:r>
      <w:r>
        <w:rPr>
          <w:rFonts w:hint="eastAsia"/>
          <w:bCs/>
          <w:iCs/>
          <w:color w:val="000000"/>
        </w:rPr>
        <w:t>年</w:t>
      </w:r>
      <w:r>
        <w:rPr>
          <w:rFonts w:hint="eastAsia"/>
          <w:bCs/>
          <w:iCs/>
          <w:color w:val="000000"/>
        </w:rPr>
        <w:t>7</w:t>
      </w:r>
      <w:r>
        <w:rPr>
          <w:rFonts w:hint="eastAsia"/>
          <w:bCs/>
          <w:iCs/>
          <w:color w:val="000000"/>
        </w:rPr>
        <w:t>月期间，向法院递交了至少五起人身保护请求，这些请求声称拖延了拘押时间，因此属于警方非法羁押或审前羁押。这些请求都获准了，被羁押的被告事后都获释了。不言而喻，申诉人最后没有就此获得补偿。</w:t>
      </w:r>
    </w:p>
    <w:p w:rsidR="00692915" w:rsidRDefault="00692915" w:rsidP="009A1C1B">
      <w:pPr>
        <w:tabs>
          <w:tab w:val="left" w:pos="1170"/>
        </w:tabs>
        <w:spacing w:line="360" w:lineRule="auto"/>
        <w:ind w:firstLine="31680"/>
        <w:rPr>
          <w:rFonts w:hint="eastAsia"/>
          <w:bCs/>
          <w:color w:val="000000"/>
        </w:rPr>
      </w:pPr>
      <w:r>
        <w:rPr>
          <w:bCs/>
          <w:iCs/>
          <w:color w:val="000000"/>
        </w:rPr>
        <w:t>713.</w:t>
      </w:r>
      <w:r>
        <w:rPr>
          <w:rFonts w:hint="eastAsia"/>
          <w:bCs/>
          <w:color w:val="000000"/>
        </w:rPr>
        <w:t xml:space="preserve"> </w:t>
      </w:r>
      <w:r>
        <w:rPr>
          <w:bCs/>
          <w:color w:val="000000"/>
        </w:rPr>
        <w:tab/>
      </w:r>
      <w:r>
        <w:rPr>
          <w:rFonts w:hint="eastAsia"/>
          <w:bCs/>
          <w:color w:val="000000"/>
        </w:rPr>
        <w:t>监察员办公室负责对各种立法、政策和做法进行审查，以确保《宪法》和各项国际人权标准得以遵守，</w:t>
      </w:r>
      <w:r>
        <w:rPr>
          <w:rStyle w:val="FootnoteReference"/>
          <w:bCs/>
          <w:color w:val="000000"/>
        </w:rPr>
        <w:footnoteReference w:id="385"/>
      </w:r>
      <w:r>
        <w:rPr>
          <w:rFonts w:hint="eastAsia"/>
          <w:bCs/>
          <w:color w:val="000000"/>
        </w:rPr>
        <w:t>该办公室还为个人请求采取侵权补救措施提供了重要渠道。</w:t>
      </w:r>
    </w:p>
    <w:p w:rsidR="00692915" w:rsidRDefault="00692915" w:rsidP="009A1C1B">
      <w:pPr>
        <w:tabs>
          <w:tab w:val="left" w:pos="1170"/>
        </w:tabs>
        <w:spacing w:line="360" w:lineRule="auto"/>
        <w:ind w:firstLine="31680"/>
        <w:rPr>
          <w:rFonts w:hint="eastAsia"/>
          <w:bCs/>
          <w:color w:val="000000"/>
        </w:rPr>
      </w:pPr>
      <w:r>
        <w:rPr>
          <w:bCs/>
          <w:color w:val="000000"/>
        </w:rPr>
        <w:t>714.</w:t>
      </w:r>
      <w:r>
        <w:rPr>
          <w:bCs/>
          <w:color w:val="000000"/>
        </w:rPr>
        <w:tab/>
      </w:r>
      <w:r>
        <w:rPr>
          <w:rFonts w:hint="eastAsia"/>
          <w:bCs/>
          <w:color w:val="000000"/>
          <w:spacing w:val="8"/>
        </w:rPr>
        <w:t>值得一提的是，尽管为了确保人权得以尊重，监察员可以对各种立法、政策和做法进行审查，但是监察员却无权驳回、撤销或修改有关机构或实体的裁决，或做出补偿令。监察员办公室只是有权提出补救或赔偿方面的建议，或建议各种措施以纠正、预防或消除问题，遵守人权的最高标准，确保法治、道德规范和效率。</w:t>
      </w:r>
      <w:r>
        <w:rPr>
          <w:rStyle w:val="FootnoteReference"/>
          <w:bCs/>
          <w:color w:val="000000"/>
          <w:spacing w:val="8"/>
        </w:rPr>
        <w:footnoteReference w:id="386"/>
      </w:r>
      <w:r>
        <w:rPr>
          <w:rFonts w:hint="eastAsia"/>
          <w:bCs/>
          <w:color w:val="000000"/>
        </w:rPr>
        <w:t>该办公室还有权介入法院案件（通过发表意见）、</w:t>
      </w:r>
      <w:r>
        <w:rPr>
          <w:rStyle w:val="FootnoteReference"/>
          <w:bCs/>
          <w:color w:val="000000"/>
        </w:rPr>
        <w:footnoteReference w:id="387"/>
      </w:r>
      <w:r>
        <w:rPr>
          <w:rFonts w:hint="eastAsia"/>
          <w:bCs/>
          <w:color w:val="000000"/>
        </w:rPr>
        <w:t>检查拘留所，</w:t>
      </w:r>
      <w:r>
        <w:rPr>
          <w:rStyle w:val="FootnoteReference"/>
          <w:bCs/>
          <w:color w:val="000000"/>
        </w:rPr>
        <w:footnoteReference w:id="388"/>
      </w:r>
      <w:r>
        <w:rPr>
          <w:rFonts w:hint="eastAsia"/>
          <w:bCs/>
          <w:color w:val="000000"/>
        </w:rPr>
        <w:t>作为争端的调停人与和解人。</w:t>
      </w:r>
      <w:r>
        <w:rPr>
          <w:rStyle w:val="FootnoteReference"/>
          <w:bCs/>
          <w:color w:val="000000"/>
        </w:rPr>
        <w:footnoteReference w:id="389"/>
      </w:r>
    </w:p>
    <w:p w:rsidR="00692915" w:rsidRDefault="00692915" w:rsidP="009A1C1B">
      <w:pPr>
        <w:tabs>
          <w:tab w:val="left" w:pos="1170"/>
        </w:tabs>
        <w:spacing w:line="360" w:lineRule="auto"/>
        <w:ind w:firstLine="31680"/>
        <w:rPr>
          <w:rFonts w:hint="eastAsia"/>
          <w:bCs/>
          <w:color w:val="000000"/>
          <w:spacing w:val="8"/>
        </w:rPr>
      </w:pPr>
      <w:r>
        <w:rPr>
          <w:bCs/>
          <w:color w:val="000000"/>
          <w:spacing w:val="8"/>
        </w:rPr>
        <w:t>715.</w:t>
      </w:r>
      <w:r>
        <w:rPr>
          <w:bCs/>
          <w:color w:val="000000"/>
          <w:spacing w:val="8"/>
        </w:rPr>
        <w:tab/>
      </w:r>
      <w:r>
        <w:rPr>
          <w:rFonts w:hint="eastAsia"/>
          <w:bCs/>
          <w:color w:val="000000"/>
          <w:spacing w:val="8"/>
        </w:rPr>
        <w:t>对于违反人权和自由的情况，包括安全机构的残忍、有辱人格或不人道的待遇、酷刑、攻击或其他不当行为，可以向职业道德操守办公室和监察员办公室提起申诉。正如以上有关程序性保障措施的章节所阐述的那样，已经提交并处理了很多针对警官的纪律申诉案件。</w:t>
      </w:r>
    </w:p>
    <w:p w:rsidR="00692915" w:rsidRDefault="00692915" w:rsidP="009A1C1B">
      <w:pPr>
        <w:tabs>
          <w:tab w:val="left" w:pos="1170"/>
        </w:tabs>
        <w:spacing w:line="360" w:lineRule="auto"/>
        <w:ind w:firstLine="31680"/>
        <w:rPr>
          <w:rFonts w:hint="eastAsia"/>
          <w:bCs/>
          <w:color w:val="000000"/>
        </w:rPr>
      </w:pPr>
      <w:r>
        <w:rPr>
          <w:bCs/>
          <w:color w:val="000000"/>
        </w:rPr>
        <w:t>716.</w:t>
      </w:r>
      <w:r>
        <w:rPr>
          <w:bCs/>
          <w:color w:val="000000"/>
        </w:rPr>
        <w:tab/>
      </w:r>
      <w:r>
        <w:rPr>
          <w:rFonts w:hint="eastAsia"/>
          <w:bCs/>
          <w:color w:val="000000"/>
        </w:rPr>
        <w:t>任何一个公民，如果希望就</w:t>
      </w:r>
      <w:r>
        <w:rPr>
          <w:rFonts w:eastAsia="KaiTi_GB2312" w:hint="eastAsia"/>
          <w:bCs/>
          <w:color w:val="000000"/>
        </w:rPr>
        <w:t>乡</w:t>
      </w:r>
      <w:r>
        <w:rPr>
          <w:rFonts w:hint="eastAsia"/>
          <w:bCs/>
          <w:color w:val="000000"/>
        </w:rPr>
        <w:t>长选举和</w:t>
      </w:r>
      <w:r>
        <w:rPr>
          <w:rFonts w:eastAsia="KaiTi_GB2312" w:hint="eastAsia"/>
          <w:bCs/>
          <w:color w:val="000000"/>
        </w:rPr>
        <w:t>乡</w:t>
      </w:r>
      <w:r>
        <w:rPr>
          <w:rFonts w:hint="eastAsia"/>
          <w:bCs/>
          <w:color w:val="000000"/>
        </w:rPr>
        <w:t>委会的选举过程提起申诉，则可以直接向全国选举委员会或该委员会在各地区的联络员递交申诉或复议书。之后，对于与投票程序和投票结果的决定有关的权利主张，委员会可以向相关法院提出建议。</w:t>
      </w:r>
    </w:p>
    <w:p w:rsidR="00692915" w:rsidRDefault="00692915" w:rsidP="009A1C1B">
      <w:pPr>
        <w:tabs>
          <w:tab w:val="left" w:pos="1170"/>
        </w:tabs>
        <w:spacing w:line="360" w:lineRule="auto"/>
        <w:ind w:firstLine="31680"/>
        <w:rPr>
          <w:rFonts w:hint="eastAsia"/>
          <w:bCs/>
          <w:color w:val="000000"/>
        </w:rPr>
      </w:pPr>
      <w:r>
        <w:rPr>
          <w:bCs/>
          <w:color w:val="000000"/>
        </w:rPr>
        <w:t>717.</w:t>
      </w:r>
      <w:r>
        <w:rPr>
          <w:rFonts w:hint="eastAsia"/>
          <w:bCs/>
          <w:color w:val="000000"/>
        </w:rPr>
        <w:t xml:space="preserve"> </w:t>
      </w:r>
      <w:r>
        <w:rPr>
          <w:bCs/>
          <w:color w:val="000000"/>
        </w:rPr>
        <w:tab/>
      </w:r>
      <w:r>
        <w:rPr>
          <w:rFonts w:hint="eastAsia"/>
          <w:bCs/>
          <w:color w:val="000000"/>
        </w:rPr>
        <w:t>2005</w:t>
      </w:r>
      <w:r>
        <w:rPr>
          <w:rFonts w:hint="eastAsia"/>
          <w:bCs/>
          <w:color w:val="000000"/>
        </w:rPr>
        <w:t>年的乡长和乡委会全国选举期间，在首次投票出现票数相等、被宣布无效或有选举不规范投诉的各</w:t>
      </w:r>
      <w:r>
        <w:rPr>
          <w:rFonts w:eastAsia="KaiTi_GB2312" w:hint="eastAsia"/>
          <w:bCs/>
          <w:color w:val="000000"/>
        </w:rPr>
        <w:t>村</w:t>
      </w:r>
      <w:r>
        <w:rPr>
          <w:rFonts w:hint="eastAsia"/>
          <w:bCs/>
          <w:color w:val="000000"/>
        </w:rPr>
        <w:t>和各</w:t>
      </w:r>
      <w:r>
        <w:rPr>
          <w:rFonts w:eastAsia="KaiTi_GB2312" w:hint="eastAsia"/>
          <w:bCs/>
          <w:color w:val="000000"/>
        </w:rPr>
        <w:t>乡</w:t>
      </w:r>
      <w:r>
        <w:rPr>
          <w:rFonts w:hint="eastAsia"/>
          <w:bCs/>
          <w:color w:val="000000"/>
        </w:rPr>
        <w:t>进行了几次改选。</w:t>
      </w:r>
    </w:p>
    <w:p w:rsidR="00692915" w:rsidRDefault="00692915" w:rsidP="009A1C1B">
      <w:pPr>
        <w:tabs>
          <w:tab w:val="left" w:pos="1170"/>
        </w:tabs>
        <w:ind w:firstLine="31680"/>
        <w:rPr>
          <w:rFonts w:hint="eastAsia"/>
          <w:bCs/>
          <w:iCs/>
          <w:color w:val="000000"/>
        </w:rPr>
      </w:pPr>
      <w:r>
        <w:rPr>
          <w:bCs/>
          <w:color w:val="000000"/>
        </w:rPr>
        <w:t>718.</w:t>
      </w:r>
      <w:r>
        <w:rPr>
          <w:bCs/>
          <w:color w:val="000000"/>
        </w:rPr>
        <w:tab/>
      </w:r>
      <w:r>
        <w:rPr>
          <w:rFonts w:hint="eastAsia"/>
          <w:bCs/>
          <w:iCs/>
          <w:color w:val="000000"/>
        </w:rPr>
        <w:t>劳动部内设的和解与调停服务局、劳工关系委员会（不久将改为“就业关系法庭”）和最低工资法庭还负责与那些在权利方面受到侵犯的雇主和雇员一起解决就业争端问题。在该系统内，可采用的补救措施包括赔偿和复职（在没有合理理由而被解雇的情况下）。</w:t>
      </w:r>
    </w:p>
    <w:p w:rsidR="00692915" w:rsidRDefault="00692915" w:rsidP="009A1C1B">
      <w:pPr>
        <w:tabs>
          <w:tab w:val="left" w:pos="1170"/>
        </w:tabs>
        <w:ind w:firstLine="31680"/>
        <w:rPr>
          <w:rFonts w:hint="eastAsia"/>
          <w:bCs/>
          <w:color w:val="000000"/>
        </w:rPr>
      </w:pPr>
      <w:r>
        <w:rPr>
          <w:bCs/>
          <w:iCs/>
          <w:color w:val="000000"/>
        </w:rPr>
        <w:t>719.</w:t>
      </w:r>
      <w:r>
        <w:rPr>
          <w:bCs/>
          <w:iCs/>
          <w:color w:val="000000"/>
        </w:rPr>
        <w:tab/>
      </w:r>
      <w:r>
        <w:rPr>
          <w:rFonts w:hint="eastAsia"/>
          <w:bCs/>
          <w:color w:val="000000"/>
        </w:rPr>
        <w:t>同样值得一提的是，传统司法或社区争端解决机制被广泛用作正规司法制度之外的另一种选择，该机制采用各种补救措施来解决争端。补救措施包括：提供物质或金钱形式的补偿，以及更特别的措施恢复受害人的尊严。</w:t>
      </w:r>
    </w:p>
    <w:p w:rsidR="00692915" w:rsidRDefault="00692915" w:rsidP="009A1C1B">
      <w:pPr>
        <w:tabs>
          <w:tab w:val="left" w:pos="1170"/>
        </w:tabs>
        <w:ind w:firstLine="31680"/>
        <w:rPr>
          <w:rFonts w:hint="eastAsia"/>
          <w:bCs/>
          <w:color w:val="000000"/>
        </w:rPr>
      </w:pPr>
      <w:r>
        <w:rPr>
          <w:bCs/>
          <w:color w:val="000000"/>
        </w:rPr>
        <w:t>720.</w:t>
      </w:r>
      <w:r>
        <w:rPr>
          <w:bCs/>
          <w:color w:val="000000"/>
        </w:rPr>
        <w:tab/>
      </w:r>
      <w:r>
        <w:rPr>
          <w:rFonts w:hint="eastAsia"/>
          <w:bCs/>
          <w:color w:val="000000"/>
        </w:rPr>
        <w:t>建立规范性的框架是提供侵权补救措施的重要一步。尽管如此在实践中却难以获得补救。国家在通过有效的正规制度对人权侵犯行为采取补救措施时面临巨大的障碍。这种障碍主要表现为：机构薄弱和资源不足，需要发展机构的技能和能力，完善机构管理。尽管有很多正规的机构，但是这些机构提供实质性侵权补救措施的能力却很有限。</w:t>
      </w:r>
    </w:p>
    <w:p w:rsidR="00692915" w:rsidRDefault="00692915" w:rsidP="009A1C1B">
      <w:pPr>
        <w:tabs>
          <w:tab w:val="left" w:pos="1170"/>
        </w:tabs>
        <w:ind w:firstLine="31680"/>
        <w:rPr>
          <w:rFonts w:hint="eastAsia"/>
          <w:bCs/>
          <w:color w:val="000000"/>
        </w:rPr>
      </w:pPr>
      <w:r>
        <w:rPr>
          <w:bCs/>
          <w:color w:val="000000"/>
        </w:rPr>
        <w:t>721.</w:t>
      </w:r>
      <w:r>
        <w:rPr>
          <w:bCs/>
          <w:color w:val="000000"/>
        </w:rPr>
        <w:tab/>
      </w:r>
      <w:r>
        <w:rPr>
          <w:rFonts w:hint="eastAsia"/>
          <w:bCs/>
          <w:color w:val="000000"/>
        </w:rPr>
        <w:t>监察员办公室只是最近才开始接收投诉问题，但是在面对大量涌入的案件时仍然束手无策。司法系统的制度薄弱，经济补偿缺乏所需的资金，这些是采取实际司法补救措施所遇到的障碍之一。</w:t>
      </w:r>
    </w:p>
    <w:p w:rsidR="00692915" w:rsidRDefault="00692915" w:rsidP="009A1C1B">
      <w:pPr>
        <w:tabs>
          <w:tab w:val="left" w:pos="1170"/>
        </w:tabs>
        <w:ind w:firstLine="31680"/>
        <w:rPr>
          <w:rFonts w:hint="eastAsia"/>
          <w:color w:val="000000"/>
        </w:rPr>
      </w:pPr>
      <w:r>
        <w:rPr>
          <w:color w:val="000000"/>
        </w:rPr>
        <w:t>722.</w:t>
      </w:r>
      <w:r>
        <w:rPr>
          <w:rFonts w:hint="eastAsia"/>
          <w:color w:val="000000"/>
        </w:rPr>
        <w:t xml:space="preserve"> </w:t>
      </w:r>
      <w:r>
        <w:rPr>
          <w:color w:val="000000"/>
        </w:rPr>
        <w:tab/>
      </w:r>
      <w:r>
        <w:rPr>
          <w:rFonts w:hint="eastAsia"/>
          <w:color w:val="000000"/>
        </w:rPr>
        <w:t>一些解决争端的低层机构（例如和解与调停服务局、劳工关系委员会）工作效率非常低，最近几年递交的</w:t>
      </w:r>
      <w:r>
        <w:rPr>
          <w:rFonts w:hint="eastAsia"/>
          <w:color w:val="000000"/>
        </w:rPr>
        <w:t>200</w:t>
      </w:r>
      <w:r>
        <w:rPr>
          <w:rFonts w:hint="eastAsia"/>
          <w:color w:val="000000"/>
        </w:rPr>
        <w:t>起案件大多都没有得到解决。在传统司法机制与正规司法机制之间存在着一定关系的情况下，如果正式承认这种关系，则将能提供更多的渠道从而在一定程度上有助于加强侵权补救措施，并确保正规制度与非正规制度之间的衔接。为了加强安全部队的纪律，确保对侵权行为采取问责制，国家还需要继续做出努力。</w:t>
      </w:r>
    </w:p>
    <w:p w:rsidR="00692915" w:rsidRDefault="00692915">
      <w:pPr>
        <w:spacing w:after="240"/>
        <w:ind w:firstLineChars="0" w:firstLine="0"/>
        <w:jc w:val="center"/>
        <w:rPr>
          <w:rFonts w:eastAsia="SimHei" w:hint="eastAsia"/>
          <w:bCs/>
          <w:color w:val="000000"/>
          <w:sz w:val="30"/>
        </w:rPr>
      </w:pPr>
      <w:r>
        <w:rPr>
          <w:b/>
          <w:color w:val="000000"/>
        </w:rPr>
        <w:br w:type="page"/>
      </w:r>
      <w:r>
        <w:rPr>
          <w:rFonts w:eastAsia="SimHei" w:hint="eastAsia"/>
          <w:bCs/>
          <w:color w:val="000000"/>
          <w:sz w:val="30"/>
        </w:rPr>
        <w:t>附</w:t>
      </w:r>
      <w:r>
        <w:rPr>
          <w:rFonts w:eastAsia="SimHei" w:hint="eastAsia"/>
          <w:bCs/>
          <w:color w:val="000000"/>
          <w:sz w:val="30"/>
        </w:rPr>
        <w:t xml:space="preserve"> </w:t>
      </w:r>
      <w:r>
        <w:rPr>
          <w:rFonts w:eastAsia="SimHei" w:hint="eastAsia"/>
          <w:bCs/>
          <w:color w:val="000000"/>
          <w:sz w:val="30"/>
        </w:rPr>
        <w:t>件</w:t>
      </w:r>
    </w:p>
    <w:p w:rsidR="00692915" w:rsidRDefault="00692915">
      <w:pPr>
        <w:pStyle w:val="Heading2"/>
        <w:rPr>
          <w:rFonts w:hint="eastAsia"/>
          <w:color w:val="000000"/>
        </w:rPr>
      </w:pPr>
      <w:bookmarkStart w:id="116" w:name="_Toc132732180"/>
      <w:bookmarkStart w:id="117" w:name="_Toc135830050"/>
      <w:bookmarkStart w:id="118" w:name="_Toc135834051"/>
      <w:bookmarkStart w:id="119" w:name="_Toc135834268"/>
      <w:bookmarkStart w:id="120" w:name="_Toc150515063"/>
      <w:r>
        <w:rPr>
          <w:rFonts w:hint="eastAsia"/>
          <w:color w:val="000000"/>
        </w:rPr>
        <w:t>附件一</w:t>
      </w:r>
    </w:p>
    <w:p w:rsidR="00692915" w:rsidRDefault="00692915">
      <w:pPr>
        <w:pStyle w:val="Heading1"/>
        <w:ind w:firstLineChars="0" w:firstLine="0"/>
        <w:rPr>
          <w:rFonts w:eastAsia="SimHei" w:hint="eastAsia"/>
          <w:b w:val="0"/>
          <w:bCs/>
          <w:color w:val="000000"/>
        </w:rPr>
      </w:pPr>
      <w:bookmarkStart w:id="121" w:name="_Toc135830051"/>
      <w:bookmarkEnd w:id="117"/>
      <w:bookmarkEnd w:id="118"/>
      <w:bookmarkEnd w:id="119"/>
      <w:bookmarkEnd w:id="120"/>
      <w:r>
        <w:rPr>
          <w:rFonts w:eastAsia="SimHei" w:hint="eastAsia"/>
          <w:b w:val="0"/>
          <w:bCs/>
          <w:color w:val="000000"/>
        </w:rPr>
        <w:t>统计数据与人权指标</w:t>
      </w:r>
    </w:p>
    <w:bookmarkEnd w:id="116"/>
    <w:bookmarkEnd w:id="121"/>
    <w:p w:rsidR="00692915" w:rsidRDefault="00692915">
      <w:pPr>
        <w:pStyle w:val="Heading6"/>
        <w:ind w:firstLineChars="0" w:firstLine="0"/>
        <w:rPr>
          <w:rFonts w:hint="eastAsia"/>
          <w:b w:val="0"/>
          <w:bCs/>
          <w:color w:val="000000"/>
          <w:kern w:val="32"/>
          <w:u w:val="single"/>
          <w:lang w:eastAsia="zh-CN"/>
        </w:rPr>
      </w:pPr>
      <w:r>
        <w:rPr>
          <w:rFonts w:hint="eastAsia"/>
          <w:b w:val="0"/>
          <w:bCs/>
          <w:color w:val="000000"/>
          <w:kern w:val="32"/>
          <w:u w:val="single"/>
          <w:lang w:eastAsia="zh-CN"/>
        </w:rPr>
        <w:t>土地与人民</w:t>
      </w:r>
    </w:p>
    <w:p w:rsidR="00692915" w:rsidRDefault="00692915">
      <w:pPr>
        <w:pStyle w:val="Heading5"/>
        <w:ind w:firstLineChars="0" w:firstLine="0"/>
        <w:rPr>
          <w:rFonts w:eastAsia="KaiTi_GB2312" w:hint="eastAsia"/>
          <w:b w:val="0"/>
          <w:bCs/>
          <w:i w:val="0"/>
          <w:iCs/>
          <w:color w:val="000000"/>
          <w:lang w:eastAsia="zh-CN"/>
        </w:rPr>
      </w:pPr>
      <w:r>
        <w:rPr>
          <w:rFonts w:eastAsia="KaiTi_GB2312" w:hint="eastAsia"/>
          <w:b w:val="0"/>
          <w:bCs/>
          <w:i w:val="0"/>
          <w:iCs/>
          <w:color w:val="000000"/>
          <w:lang w:eastAsia="zh-CN"/>
        </w:rPr>
        <w:t>人口增长</w:t>
      </w:r>
    </w:p>
    <w:p w:rsidR="00692915" w:rsidRDefault="00692915" w:rsidP="009A1C1B">
      <w:pPr>
        <w:ind w:firstLine="31680"/>
        <w:rPr>
          <w:rFonts w:hint="eastAsia"/>
          <w:color w:val="000000"/>
        </w:rPr>
      </w:pPr>
      <w:r>
        <w:rPr>
          <w:rFonts w:hint="eastAsia"/>
          <w:bCs/>
          <w:color w:val="000000"/>
        </w:rPr>
        <w:t>根据</w:t>
      </w:r>
      <w:r>
        <w:rPr>
          <w:rFonts w:hint="eastAsia"/>
          <w:bCs/>
          <w:color w:val="000000"/>
        </w:rPr>
        <w:t>2004</w:t>
      </w:r>
      <w:r>
        <w:rPr>
          <w:rFonts w:hint="eastAsia"/>
          <w:bCs/>
          <w:color w:val="000000"/>
        </w:rPr>
        <w:t>年人口与住房普查的统计，东帝汶人口为</w:t>
      </w:r>
      <w:r>
        <w:rPr>
          <w:bCs/>
          <w:color w:val="000000"/>
        </w:rPr>
        <w:t>923,198</w:t>
      </w:r>
      <w:r>
        <w:rPr>
          <w:rFonts w:hint="eastAsia"/>
          <w:bCs/>
          <w:color w:val="000000"/>
        </w:rPr>
        <w:t>人。男性（</w:t>
      </w:r>
      <w:r>
        <w:rPr>
          <w:bCs/>
          <w:color w:val="000000"/>
        </w:rPr>
        <w:t>469,919</w:t>
      </w:r>
      <w:r>
        <w:rPr>
          <w:rFonts w:hint="eastAsia"/>
          <w:bCs/>
          <w:color w:val="000000"/>
        </w:rPr>
        <w:t>人）人数略超过女性（</w:t>
      </w:r>
      <w:r>
        <w:rPr>
          <w:bCs/>
          <w:color w:val="000000"/>
        </w:rPr>
        <w:t>453,279</w:t>
      </w:r>
      <w:r>
        <w:rPr>
          <w:rFonts w:hint="eastAsia"/>
          <w:bCs/>
          <w:color w:val="000000"/>
        </w:rPr>
        <w:t>人）。</w:t>
      </w:r>
    </w:p>
    <w:p w:rsidR="00692915" w:rsidRDefault="00692915">
      <w:pPr>
        <w:pStyle w:val="Heading2"/>
        <w:spacing w:after="0"/>
        <w:rPr>
          <w:noProof/>
          <w:color w:val="000000"/>
          <w:sz w:val="24"/>
        </w:rPr>
      </w:pPr>
      <w:bookmarkStart w:id="122" w:name="_Toc131956545"/>
      <w:bookmarkStart w:id="123" w:name="_Toc132732256"/>
      <w:r>
        <w:rPr>
          <w:rFonts w:hint="eastAsia"/>
          <w:color w:val="000000"/>
          <w:sz w:val="24"/>
        </w:rPr>
        <w:t>图</w:t>
      </w:r>
      <w:r>
        <w:rPr>
          <w:color w:val="000000"/>
          <w:sz w:val="24"/>
        </w:rPr>
        <w:t xml:space="preserve"> </w:t>
      </w:r>
      <w:r>
        <w:rPr>
          <w:noProof/>
          <w:color w:val="000000"/>
          <w:sz w:val="24"/>
        </w:rPr>
        <w:t>1</w:t>
      </w:r>
    </w:p>
    <w:p w:rsidR="00692915" w:rsidRDefault="00692915">
      <w:pPr>
        <w:pStyle w:val="Heading2"/>
        <w:rPr>
          <w:rFonts w:hint="eastAsia"/>
          <w:color w:val="000000"/>
        </w:rPr>
      </w:pPr>
      <w:r>
        <w:rPr>
          <w:color w:val="000000"/>
          <w:sz w:val="24"/>
        </w:rPr>
        <w:t>1980</w:t>
      </w:r>
      <w:r>
        <w:rPr>
          <w:rFonts w:hint="eastAsia"/>
          <w:color w:val="000000"/>
          <w:sz w:val="24"/>
        </w:rPr>
        <w:t>-</w:t>
      </w:r>
      <w:r>
        <w:rPr>
          <w:color w:val="000000"/>
          <w:sz w:val="24"/>
        </w:rPr>
        <w:t>2004</w:t>
      </w:r>
      <w:bookmarkEnd w:id="122"/>
      <w:bookmarkEnd w:id="123"/>
      <w:r>
        <w:rPr>
          <w:rFonts w:hint="eastAsia"/>
          <w:color w:val="000000"/>
          <w:sz w:val="24"/>
        </w:rPr>
        <w:t>年的人口增长情况（人数）</w:t>
      </w:r>
    </w:p>
    <w:p w:rsidR="00692915" w:rsidRDefault="00692915">
      <w:pPr>
        <w:spacing w:afterLines="50" w:after="180"/>
        <w:ind w:firstLineChars="0" w:firstLine="0"/>
        <w:jc w:val="center"/>
        <w:rPr>
          <w:rFonts w:hint="eastAsia"/>
          <w:bCs/>
          <w:iCs/>
          <w:color w:val="000000"/>
          <w:szCs w:val="24"/>
        </w:rPr>
      </w:pPr>
      <w:r>
        <w:rPr>
          <w:bCs/>
          <w:iCs/>
          <w:noProof/>
          <w:color w:val="000000"/>
          <w:szCs w:val="24"/>
        </w:rPr>
        <w:pict>
          <v:shapetype id="_x0000_t202" coordsize="21600,21600" o:spt="202" path="m,l,21600r21600,l21600,xe">
            <v:stroke joinstyle="miter"/>
            <v:path gradientshapeok="t" o:connecttype="rect"/>
          </v:shapetype>
          <v:shape id="_x0000_s2222" type="#_x0000_t202" style="position:absolute;left:0;text-align:left;margin-left:65pt;margin-top:5.6pt;width:348pt;height:18.9pt;z-index:4" filled="f" fillcolor="#ff5050" stroked="f">
            <v:fill color2="#fbb" angle="-90" focus="100%" type="gradient"/>
            <v:textbox>
              <w:txbxContent>
                <w:p w:rsidR="00692915" w:rsidRDefault="00692915">
                  <w:pPr>
                    <w:ind w:firstLineChars="0" w:firstLine="0"/>
                    <w:jc w:val="center"/>
                    <w:rPr>
                      <w:rFonts w:ascii="SimHei" w:eastAsia="SimHei"/>
                      <w:sz w:val="21"/>
                    </w:rPr>
                  </w:pPr>
                  <w:r>
                    <w:rPr>
                      <w:rFonts w:ascii="SimHei" w:eastAsia="SimHei" w:hint="eastAsia"/>
                      <w:sz w:val="21"/>
                    </w:rPr>
                    <w:t>1980-2004年期间，人口增长了近40%</w:t>
                  </w:r>
                </w:p>
              </w:txbxContent>
            </v:textbox>
          </v:shape>
        </w:pict>
      </w:r>
      <w:bookmarkStart w:id="124" w:name="_MON_1261395610"/>
      <w:bookmarkStart w:id="125" w:name="_MON_1261395645"/>
      <w:bookmarkStart w:id="126" w:name="_MON_1261397226"/>
      <w:bookmarkStart w:id="127" w:name="_MON_1261397384"/>
      <w:bookmarkStart w:id="128" w:name="_MON_1261907513"/>
      <w:bookmarkStart w:id="129" w:name="_MON_1261907718"/>
      <w:bookmarkEnd w:id="124"/>
      <w:bookmarkEnd w:id="125"/>
      <w:bookmarkEnd w:id="126"/>
      <w:bookmarkEnd w:id="127"/>
      <w:bookmarkEnd w:id="128"/>
      <w:bookmarkEnd w:id="129"/>
      <w:r>
        <w:rPr>
          <w:bCs/>
          <w:iCs/>
          <w:color w:val="000000"/>
          <w:szCs w:val="24"/>
        </w:rPr>
        <w:object w:dxaOrig="8086" w:dyaOrig="32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25pt;height:162pt" o:ole="">
            <v:imagedata r:id="rId7" o:title=""/>
          </v:shape>
          <o:OLEObject Type="Embed" ProgID="Word.Picture.8" ShapeID="_x0000_i1025" DrawAspect="Content" ObjectID="_1395890535" r:id="rId8"/>
        </w:object>
      </w:r>
    </w:p>
    <w:p w:rsidR="00692915" w:rsidRDefault="00692915" w:rsidP="009A1C1B">
      <w:pPr>
        <w:spacing w:afterLines="50" w:after="180"/>
        <w:ind w:firstLine="31680"/>
        <w:rPr>
          <w:rFonts w:hint="eastAsia"/>
          <w:color w:val="000000"/>
          <w:sz w:val="21"/>
        </w:rPr>
      </w:pPr>
      <w:r>
        <w:rPr>
          <w:rFonts w:eastAsia="KaiTi_GB2312" w:hint="eastAsia"/>
          <w:color w:val="000000"/>
          <w:sz w:val="21"/>
        </w:rPr>
        <w:t>资料来源</w:t>
      </w:r>
      <w:r>
        <w:rPr>
          <w:rFonts w:hint="eastAsia"/>
          <w:color w:val="000000"/>
          <w:sz w:val="21"/>
        </w:rPr>
        <w:t>：《</w:t>
      </w:r>
      <w:r>
        <w:rPr>
          <w:rFonts w:hint="eastAsia"/>
          <w:color w:val="000000"/>
          <w:sz w:val="21"/>
        </w:rPr>
        <w:t>2004</w:t>
      </w:r>
      <w:r>
        <w:rPr>
          <w:rFonts w:hint="eastAsia"/>
          <w:color w:val="000000"/>
          <w:sz w:val="21"/>
        </w:rPr>
        <w:t>年东帝汶人口与住房普查，</w:t>
      </w:r>
      <w:r>
        <w:rPr>
          <w:rFonts w:hint="eastAsia"/>
          <w:color w:val="000000"/>
          <w:sz w:val="21"/>
        </w:rPr>
        <w:t>2005</w:t>
      </w:r>
      <w:r>
        <w:rPr>
          <w:rFonts w:hint="eastAsia"/>
          <w:color w:val="000000"/>
          <w:sz w:val="21"/>
        </w:rPr>
        <w:t>年</w:t>
      </w:r>
      <w:r>
        <w:rPr>
          <w:rFonts w:hint="eastAsia"/>
          <w:color w:val="000000"/>
          <w:sz w:val="21"/>
        </w:rPr>
        <w:t>11</w:t>
      </w:r>
      <w:r>
        <w:rPr>
          <w:rFonts w:hint="eastAsia"/>
          <w:color w:val="000000"/>
          <w:sz w:val="21"/>
        </w:rPr>
        <w:t>月主要指标、表、图和地图摘要》：图</w:t>
      </w:r>
      <w:r>
        <w:rPr>
          <w:rFonts w:hint="eastAsia"/>
          <w:color w:val="000000"/>
          <w:sz w:val="21"/>
        </w:rPr>
        <w:t>1</w:t>
      </w:r>
      <w:r>
        <w:rPr>
          <w:rFonts w:hint="eastAsia"/>
          <w:color w:val="000000"/>
          <w:sz w:val="21"/>
        </w:rPr>
        <w:t>，第</w:t>
      </w:r>
      <w:r>
        <w:rPr>
          <w:rFonts w:hint="eastAsia"/>
          <w:color w:val="000000"/>
          <w:sz w:val="21"/>
        </w:rPr>
        <w:t>10</w:t>
      </w:r>
      <w:r>
        <w:rPr>
          <w:rFonts w:hint="eastAsia"/>
          <w:color w:val="000000"/>
          <w:sz w:val="21"/>
        </w:rPr>
        <w:t>页（表</w:t>
      </w:r>
      <w:r>
        <w:rPr>
          <w:rFonts w:hint="eastAsia"/>
          <w:color w:val="000000"/>
          <w:sz w:val="21"/>
        </w:rPr>
        <w:t>I.1</w:t>
      </w:r>
      <w:r>
        <w:rPr>
          <w:rFonts w:hint="eastAsia"/>
          <w:color w:val="000000"/>
          <w:sz w:val="21"/>
        </w:rPr>
        <w:t>，附件一）。</w:t>
      </w:r>
    </w:p>
    <w:p w:rsidR="00692915" w:rsidRDefault="00692915" w:rsidP="009A1C1B">
      <w:pPr>
        <w:spacing w:afterLines="50" w:after="180"/>
        <w:ind w:firstLine="31680"/>
        <w:rPr>
          <w:rFonts w:hint="eastAsia"/>
          <w:bCs/>
          <w:color w:val="000000"/>
        </w:rPr>
      </w:pPr>
      <w:r>
        <w:rPr>
          <w:rFonts w:hint="eastAsia"/>
          <w:bCs/>
          <w:color w:val="000000"/>
        </w:rPr>
        <w:t>根据估计</w:t>
      </w:r>
      <w:r>
        <w:rPr>
          <w:rFonts w:hint="eastAsia"/>
          <w:bCs/>
          <w:color w:val="000000"/>
        </w:rPr>
        <w:t xml:space="preserve"> </w:t>
      </w:r>
      <w:r>
        <w:rPr>
          <w:rFonts w:hint="eastAsia"/>
          <w:bCs/>
          <w:color w:val="000000"/>
        </w:rPr>
        <w:t>，人口正在以每年</w:t>
      </w:r>
      <w:r>
        <w:rPr>
          <w:bCs/>
          <w:color w:val="000000"/>
        </w:rPr>
        <w:t>3.2 %</w:t>
      </w:r>
      <w:r>
        <w:rPr>
          <w:rFonts w:hint="eastAsia"/>
          <w:bCs/>
          <w:color w:val="000000"/>
        </w:rPr>
        <w:t>的速度增长（</w:t>
      </w:r>
      <w:r>
        <w:rPr>
          <w:rFonts w:hint="eastAsia"/>
          <w:bCs/>
          <w:color w:val="000000"/>
        </w:rPr>
        <w:t>2004</w:t>
      </w:r>
      <w:r>
        <w:rPr>
          <w:rFonts w:hint="eastAsia"/>
          <w:bCs/>
          <w:color w:val="000000"/>
        </w:rPr>
        <w:t>年人口普查，图</w:t>
      </w:r>
      <w:r>
        <w:rPr>
          <w:rFonts w:hint="eastAsia"/>
          <w:bCs/>
          <w:color w:val="000000"/>
        </w:rPr>
        <w:t>1</w:t>
      </w:r>
      <w:r>
        <w:rPr>
          <w:rFonts w:hint="eastAsia"/>
          <w:bCs/>
          <w:color w:val="000000"/>
        </w:rPr>
        <w:t>和图</w:t>
      </w:r>
      <w:r>
        <w:rPr>
          <w:rFonts w:hint="eastAsia"/>
          <w:bCs/>
          <w:color w:val="000000"/>
        </w:rPr>
        <w:t>2</w:t>
      </w:r>
      <w:r>
        <w:rPr>
          <w:rFonts w:hint="eastAsia"/>
          <w:bCs/>
          <w:color w:val="000000"/>
        </w:rPr>
        <w:t>）。该增长率不包括</w:t>
      </w:r>
      <w:r>
        <w:rPr>
          <w:rFonts w:hint="eastAsia"/>
          <w:bCs/>
          <w:color w:val="000000"/>
        </w:rPr>
        <w:t>1974</w:t>
      </w:r>
      <w:r>
        <w:rPr>
          <w:rFonts w:hint="eastAsia"/>
          <w:bCs/>
          <w:color w:val="000000"/>
        </w:rPr>
        <w:t>年</w:t>
      </w:r>
      <w:r>
        <w:rPr>
          <w:rFonts w:hint="eastAsia"/>
          <w:bCs/>
          <w:color w:val="000000"/>
        </w:rPr>
        <w:t>4</w:t>
      </w:r>
      <w:r>
        <w:rPr>
          <w:rFonts w:hint="eastAsia"/>
          <w:bCs/>
          <w:color w:val="000000"/>
        </w:rPr>
        <w:t>月至</w:t>
      </w:r>
      <w:r>
        <w:rPr>
          <w:rFonts w:hint="eastAsia"/>
          <w:bCs/>
          <w:color w:val="000000"/>
        </w:rPr>
        <w:t>1999</w:t>
      </w:r>
      <w:r>
        <w:rPr>
          <w:rFonts w:hint="eastAsia"/>
          <w:bCs/>
          <w:color w:val="000000"/>
        </w:rPr>
        <w:t>年</w:t>
      </w:r>
      <w:r>
        <w:rPr>
          <w:rFonts w:hint="eastAsia"/>
          <w:bCs/>
          <w:color w:val="000000"/>
        </w:rPr>
        <w:t>10</w:t>
      </w:r>
      <w:r>
        <w:rPr>
          <w:rFonts w:hint="eastAsia"/>
          <w:bCs/>
          <w:color w:val="000000"/>
        </w:rPr>
        <w:t>月期间，因饥荒死亡的至少</w:t>
      </w:r>
      <w:r>
        <w:rPr>
          <w:bCs/>
          <w:color w:val="000000"/>
        </w:rPr>
        <w:t>100</w:t>
      </w:r>
      <w:r>
        <w:rPr>
          <w:rFonts w:hint="eastAsia"/>
          <w:bCs/>
          <w:color w:val="000000"/>
        </w:rPr>
        <w:t xml:space="preserve"> </w:t>
      </w:r>
      <w:r>
        <w:rPr>
          <w:bCs/>
          <w:color w:val="000000"/>
        </w:rPr>
        <w:t>000</w:t>
      </w:r>
      <w:r>
        <w:rPr>
          <w:rFonts w:hint="eastAsia"/>
          <w:bCs/>
          <w:color w:val="000000"/>
        </w:rPr>
        <w:t>人，以及因战争身亡的至少</w:t>
      </w:r>
      <w:r>
        <w:rPr>
          <w:bCs/>
          <w:color w:val="000000"/>
        </w:rPr>
        <w:t>18</w:t>
      </w:r>
      <w:r>
        <w:rPr>
          <w:rFonts w:hint="eastAsia"/>
          <w:bCs/>
          <w:color w:val="000000"/>
        </w:rPr>
        <w:t xml:space="preserve"> </w:t>
      </w:r>
      <w:r>
        <w:rPr>
          <w:bCs/>
          <w:color w:val="000000"/>
        </w:rPr>
        <w:t>600</w:t>
      </w:r>
      <w:r>
        <w:rPr>
          <w:rFonts w:hint="eastAsia"/>
          <w:bCs/>
          <w:color w:val="000000"/>
        </w:rPr>
        <w:t>人。</w:t>
      </w:r>
      <w:r>
        <w:rPr>
          <w:rStyle w:val="FootnoteReference"/>
          <w:bCs/>
          <w:color w:val="000000"/>
        </w:rPr>
        <w:footnoteReference w:id="390"/>
      </w:r>
    </w:p>
    <w:p w:rsidR="00692915" w:rsidRDefault="00692915" w:rsidP="009A1C1B">
      <w:pPr>
        <w:spacing w:after="240"/>
        <w:ind w:firstLine="31680"/>
        <w:rPr>
          <w:rFonts w:hint="eastAsia"/>
          <w:bCs/>
          <w:color w:val="000000"/>
        </w:rPr>
      </w:pPr>
      <w:r>
        <w:rPr>
          <w:rFonts w:hint="eastAsia"/>
          <w:bCs/>
          <w:color w:val="000000"/>
        </w:rPr>
        <w:t>根据</w:t>
      </w:r>
      <w:r>
        <w:rPr>
          <w:rFonts w:hint="eastAsia"/>
          <w:bCs/>
          <w:color w:val="000000"/>
        </w:rPr>
        <w:t>2003</w:t>
      </w:r>
      <w:r>
        <w:rPr>
          <w:rFonts w:hint="eastAsia"/>
          <w:bCs/>
          <w:color w:val="000000"/>
        </w:rPr>
        <w:t>年人口与健康调查的估计数据，</w:t>
      </w:r>
      <w:r>
        <w:rPr>
          <w:rFonts w:hint="eastAsia"/>
          <w:bCs/>
          <w:color w:val="000000"/>
        </w:rPr>
        <w:t>2000-2003</w:t>
      </w:r>
      <w:r>
        <w:rPr>
          <w:rFonts w:hint="eastAsia"/>
          <w:bCs/>
          <w:color w:val="000000"/>
        </w:rPr>
        <w:t>年的年增长率为</w:t>
      </w:r>
      <w:r>
        <w:rPr>
          <w:bCs/>
          <w:color w:val="000000"/>
        </w:rPr>
        <w:t>3.9 %</w:t>
      </w:r>
      <w:r>
        <w:rPr>
          <w:rFonts w:hint="eastAsia"/>
          <w:bCs/>
          <w:color w:val="000000"/>
        </w:rPr>
        <w:t>。按照这一更高的水平，每</w:t>
      </w:r>
      <w:r>
        <w:rPr>
          <w:rFonts w:hint="eastAsia"/>
          <w:bCs/>
          <w:color w:val="000000"/>
        </w:rPr>
        <w:t>18</w:t>
      </w:r>
      <w:r>
        <w:rPr>
          <w:rFonts w:hint="eastAsia"/>
          <w:bCs/>
          <w:color w:val="000000"/>
        </w:rPr>
        <w:t>年，人口将增加一倍。</w:t>
      </w:r>
    </w:p>
    <w:p w:rsidR="00692915" w:rsidRDefault="00692915">
      <w:pPr>
        <w:pStyle w:val="Heading2"/>
        <w:rPr>
          <w:rFonts w:hint="eastAsia"/>
          <w:color w:val="000000"/>
          <w:sz w:val="24"/>
        </w:rPr>
      </w:pPr>
      <w:bookmarkStart w:id="130" w:name="_Toc131956546"/>
      <w:bookmarkStart w:id="131" w:name="_Toc132732257"/>
      <w:r>
        <w:rPr>
          <w:rFonts w:hint="eastAsia"/>
          <w:color w:val="000000"/>
          <w:sz w:val="24"/>
        </w:rPr>
        <w:t>图</w:t>
      </w:r>
      <w:r>
        <w:rPr>
          <w:noProof/>
          <w:color w:val="000000"/>
          <w:sz w:val="24"/>
        </w:rPr>
        <w:t>2</w:t>
      </w:r>
      <w:r>
        <w:rPr>
          <w:rFonts w:hint="eastAsia"/>
          <w:noProof/>
          <w:color w:val="000000"/>
          <w:sz w:val="24"/>
        </w:rPr>
        <w:br/>
      </w:r>
      <w:bookmarkEnd w:id="130"/>
      <w:bookmarkEnd w:id="131"/>
      <w:r>
        <w:rPr>
          <w:rFonts w:hint="eastAsia"/>
          <w:color w:val="000000"/>
          <w:sz w:val="24"/>
        </w:rPr>
        <w:t>2004</w:t>
      </w:r>
      <w:r>
        <w:rPr>
          <w:rFonts w:hint="eastAsia"/>
          <w:color w:val="000000"/>
          <w:sz w:val="24"/>
        </w:rPr>
        <w:t>年人口普查：每日、每月和每年的</w:t>
      </w:r>
      <w:r>
        <w:rPr>
          <w:color w:val="000000"/>
          <w:sz w:val="24"/>
        </w:rPr>
        <w:br/>
      </w:r>
      <w:r>
        <w:rPr>
          <w:rFonts w:hint="eastAsia"/>
          <w:color w:val="000000"/>
          <w:sz w:val="24"/>
        </w:rPr>
        <w:t>出生、死亡与净增（人数）</w:t>
      </w:r>
    </w:p>
    <w:p w:rsidR="00692915" w:rsidRDefault="00692915">
      <w:pPr>
        <w:spacing w:afterLines="50" w:after="180"/>
        <w:ind w:firstLineChars="0" w:firstLine="0"/>
        <w:jc w:val="center"/>
        <w:rPr>
          <w:color w:val="000000"/>
        </w:rPr>
      </w:pPr>
      <w:r>
        <w:rPr>
          <w:noProof/>
          <w:color w:val="000000"/>
        </w:rPr>
        <w:pict>
          <v:shape id="_x0000_s2226" type="#_x0000_t202" style="position:absolute;left:0;text-align:left;margin-left:39pt;margin-top:95.45pt;width:78pt;height:21.85pt;z-index:8" filled="f" fillcolor="#ffa5a5" stroked="f">
            <v:textbox style="mso-next-textbox:#_x0000_s2226">
              <w:txbxContent>
                <w:p w:rsidR="00692915" w:rsidRDefault="00692915" w:rsidP="009A1C1B">
                  <w:pPr>
                    <w:ind w:firstLine="31680"/>
                    <w:jc w:val="right"/>
                    <w:rPr>
                      <w:sz w:val="15"/>
                    </w:rPr>
                  </w:pPr>
                  <w:r>
                    <w:rPr>
                      <w:rFonts w:hint="eastAsia"/>
                      <w:sz w:val="15"/>
                    </w:rPr>
                    <w:t>死亡人数</w:t>
                  </w:r>
                </w:p>
              </w:txbxContent>
            </v:textbox>
          </v:shape>
        </w:pict>
      </w:r>
      <w:r>
        <w:rPr>
          <w:noProof/>
          <w:color w:val="000000"/>
        </w:rPr>
        <w:pict>
          <v:shape id="_x0000_s2225" type="#_x0000_t202" style="position:absolute;left:0;text-align:left;margin-left:39pt;margin-top:62.95pt;width:78pt;height:21.85pt;z-index:7" filled="f" fillcolor="#f99" stroked="f">
            <v:textbox style="mso-next-textbox:#_x0000_s2225">
              <w:txbxContent>
                <w:p w:rsidR="00692915" w:rsidRDefault="00692915" w:rsidP="009A1C1B">
                  <w:pPr>
                    <w:ind w:firstLine="31680"/>
                    <w:jc w:val="right"/>
                    <w:rPr>
                      <w:b/>
                      <w:bCs/>
                      <w:sz w:val="18"/>
                    </w:rPr>
                  </w:pPr>
                  <w:r>
                    <w:rPr>
                      <w:rFonts w:hint="eastAsia"/>
                      <w:sz w:val="15"/>
                    </w:rPr>
                    <w:t>出生人数</w:t>
                  </w:r>
                </w:p>
              </w:txbxContent>
            </v:textbox>
          </v:shape>
        </w:pict>
      </w:r>
      <w:r>
        <w:rPr>
          <w:noProof/>
          <w:color w:val="000000"/>
        </w:rPr>
        <w:pict>
          <v:shape id="_x0000_s2224" type="#_x0000_t202" style="position:absolute;left:0;text-align:left;margin-left:13pt;margin-top:30.1pt;width:104pt;height:21.85pt;z-index:6" filled="f" fillcolor="#ff7171" stroked="f">
            <v:textbox style="mso-next-textbox:#_x0000_s2224">
              <w:txbxContent>
                <w:p w:rsidR="00692915" w:rsidRDefault="00692915" w:rsidP="009A1C1B">
                  <w:pPr>
                    <w:ind w:firstLine="31680"/>
                    <w:jc w:val="right"/>
                    <w:rPr>
                      <w:b/>
                      <w:bCs/>
                      <w:sz w:val="18"/>
                    </w:rPr>
                  </w:pPr>
                  <w:r>
                    <w:rPr>
                      <w:rFonts w:hint="eastAsia"/>
                      <w:sz w:val="15"/>
                    </w:rPr>
                    <w:t>净增加人数</w:t>
                  </w:r>
                </w:p>
              </w:txbxContent>
            </v:textbox>
          </v:shape>
        </w:pict>
      </w:r>
      <w:r>
        <w:rPr>
          <w:noProof/>
          <w:color w:val="000000"/>
        </w:rPr>
        <w:pict>
          <v:shape id="_x0000_s2227" type="#_x0000_t202" style="position:absolute;left:0;text-align:left;margin-left:383.5pt;margin-top:80.35pt;width:52pt;height:48pt;z-index:9" filled="f" stroked="f">
            <v:textbox style="mso-next-textbox:#_x0000_s2227">
              <w:txbxContent>
                <w:p w:rsidR="00692915" w:rsidRDefault="00692915">
                  <w:pPr>
                    <w:spacing w:line="260" w:lineRule="atLeast"/>
                    <w:ind w:firstLineChars="0" w:firstLine="0"/>
                    <w:rPr>
                      <w:rFonts w:hint="eastAsia"/>
                      <w:sz w:val="18"/>
                    </w:rPr>
                  </w:pPr>
                  <w:r>
                    <w:rPr>
                      <w:rFonts w:hint="eastAsia"/>
                      <w:sz w:val="18"/>
                    </w:rPr>
                    <w:t>每年</w:t>
                  </w:r>
                </w:p>
                <w:p w:rsidR="00692915" w:rsidRDefault="00692915">
                  <w:pPr>
                    <w:spacing w:line="260" w:lineRule="atLeast"/>
                    <w:ind w:firstLineChars="0" w:firstLine="0"/>
                    <w:rPr>
                      <w:rFonts w:hint="eastAsia"/>
                      <w:sz w:val="18"/>
                    </w:rPr>
                  </w:pPr>
                  <w:r>
                    <w:rPr>
                      <w:rFonts w:hint="eastAsia"/>
                      <w:sz w:val="18"/>
                    </w:rPr>
                    <w:t>每月</w:t>
                  </w:r>
                </w:p>
                <w:p w:rsidR="00692915" w:rsidRDefault="00692915">
                  <w:pPr>
                    <w:spacing w:line="260" w:lineRule="atLeast"/>
                    <w:ind w:firstLineChars="0" w:firstLine="0"/>
                    <w:rPr>
                      <w:rFonts w:hint="eastAsia"/>
                      <w:sz w:val="18"/>
                    </w:rPr>
                  </w:pPr>
                  <w:r>
                    <w:rPr>
                      <w:rFonts w:hint="eastAsia"/>
                      <w:sz w:val="18"/>
                    </w:rPr>
                    <w:t>每日</w:t>
                  </w:r>
                </w:p>
              </w:txbxContent>
            </v:textbox>
          </v:shape>
        </w:pict>
      </w:r>
      <w:r>
        <w:rPr>
          <w:noProof/>
          <w:color w:val="000000"/>
        </w:rPr>
        <w:pict>
          <v:shape id="_x0000_s2223" type="#_x0000_t202" style="position:absolute;left:0;text-align:left;margin-left:71.5pt;margin-top:4.6pt;width:348pt;height:18.9pt;z-index:5" filled="f" fillcolor="#ff5050" stroked="f">
            <v:fill color2="#fbb" angle="-90" focus="100%" type="gradient"/>
            <v:textbox>
              <w:txbxContent>
                <w:p w:rsidR="00692915" w:rsidRDefault="00692915">
                  <w:pPr>
                    <w:ind w:firstLineChars="0" w:firstLine="0"/>
                    <w:jc w:val="center"/>
                    <w:rPr>
                      <w:rFonts w:ascii="SimHei" w:eastAsia="SimHei"/>
                      <w:sz w:val="21"/>
                    </w:rPr>
                  </w:pPr>
                  <w:r>
                    <w:rPr>
                      <w:rFonts w:ascii="SimHei" w:eastAsia="SimHei" w:hint="eastAsia"/>
                      <w:sz w:val="21"/>
                    </w:rPr>
                    <w:t>每月人口增加2 500多人</w:t>
                  </w:r>
                </w:p>
              </w:txbxContent>
            </v:textbox>
          </v:shape>
        </w:pict>
      </w:r>
      <w:bookmarkStart w:id="132" w:name="_MON_1261397257"/>
      <w:bookmarkStart w:id="133" w:name="_MON_1261397386"/>
      <w:bookmarkStart w:id="134" w:name="_MON_1261907589"/>
      <w:bookmarkStart w:id="135" w:name="_MON_1261907719"/>
      <w:bookmarkEnd w:id="132"/>
      <w:bookmarkEnd w:id="133"/>
      <w:bookmarkEnd w:id="134"/>
      <w:bookmarkEnd w:id="135"/>
      <w:r>
        <w:rPr>
          <w:color w:val="000000"/>
        </w:rPr>
        <w:object w:dxaOrig="8266" w:dyaOrig="2746">
          <v:shape id="_x0000_i1026" type="#_x0000_t75" style="width:413.25pt;height:137.25pt" o:ole="">
            <v:imagedata r:id="rId9" o:title=""/>
          </v:shape>
          <o:OLEObject Type="Embed" ProgID="Word.Picture.8" ShapeID="_x0000_i1026" DrawAspect="Content" ObjectID="_1395890536" r:id="rId10"/>
        </w:object>
      </w:r>
    </w:p>
    <w:p w:rsidR="00692915" w:rsidRDefault="00692915" w:rsidP="009A1C1B">
      <w:pPr>
        <w:spacing w:after="240"/>
        <w:ind w:firstLine="31680"/>
        <w:rPr>
          <w:rFonts w:hint="eastAsia"/>
          <w:color w:val="000000"/>
        </w:rPr>
      </w:pPr>
      <w:bookmarkStart w:id="136" w:name="Textbox1"/>
      <w:bookmarkStart w:id="137" w:name="_Toc123978616"/>
      <w:bookmarkStart w:id="138" w:name="_Toc123988241"/>
      <w:bookmarkStart w:id="139" w:name="_Toc124265848"/>
      <w:bookmarkStart w:id="140" w:name="_Toc124947712"/>
      <w:bookmarkStart w:id="141" w:name="_Toc131956651"/>
      <w:bookmarkStart w:id="142" w:name="_Toc132732551"/>
      <w:r>
        <w:rPr>
          <w:rFonts w:eastAsia="KaiTi_GB2312" w:hint="eastAsia"/>
          <w:color w:val="000000"/>
        </w:rPr>
        <w:t>资料来源</w:t>
      </w:r>
      <w:r>
        <w:rPr>
          <w:rFonts w:hint="eastAsia"/>
          <w:color w:val="000000"/>
        </w:rPr>
        <w:t>：《</w:t>
      </w:r>
      <w:r>
        <w:rPr>
          <w:rFonts w:hint="eastAsia"/>
          <w:color w:val="000000"/>
        </w:rPr>
        <w:t>2004</w:t>
      </w:r>
      <w:r>
        <w:rPr>
          <w:rFonts w:hint="eastAsia"/>
          <w:color w:val="000000"/>
        </w:rPr>
        <w:t>年东帝汶人口与住房普查，</w:t>
      </w:r>
      <w:r>
        <w:rPr>
          <w:rFonts w:hint="eastAsia"/>
          <w:color w:val="000000"/>
        </w:rPr>
        <w:t>2005</w:t>
      </w:r>
      <w:r>
        <w:rPr>
          <w:rFonts w:hint="eastAsia"/>
          <w:color w:val="000000"/>
        </w:rPr>
        <w:t>年</w:t>
      </w:r>
      <w:r>
        <w:rPr>
          <w:rFonts w:hint="eastAsia"/>
          <w:color w:val="000000"/>
        </w:rPr>
        <w:t>11</w:t>
      </w:r>
      <w:r>
        <w:rPr>
          <w:rFonts w:hint="eastAsia"/>
          <w:color w:val="000000"/>
        </w:rPr>
        <w:t>月主要指标、表、图和地图摘要》：表</w:t>
      </w:r>
      <w:r>
        <w:rPr>
          <w:rFonts w:hint="eastAsia"/>
          <w:color w:val="000000"/>
        </w:rPr>
        <w:t>2</w:t>
      </w:r>
      <w:r>
        <w:rPr>
          <w:rFonts w:hint="eastAsia"/>
          <w:color w:val="000000"/>
        </w:rPr>
        <w:t>，第</w:t>
      </w:r>
      <w:r>
        <w:rPr>
          <w:rFonts w:hint="eastAsia"/>
          <w:color w:val="000000"/>
        </w:rPr>
        <w:t>13</w:t>
      </w:r>
      <w:r>
        <w:rPr>
          <w:rFonts w:hint="eastAsia"/>
          <w:color w:val="000000"/>
        </w:rPr>
        <w:t>页（表</w:t>
      </w:r>
      <w:r>
        <w:rPr>
          <w:color w:val="000000"/>
        </w:rPr>
        <w:t>0.1</w:t>
      </w:r>
      <w:r>
        <w:rPr>
          <w:rFonts w:hint="eastAsia"/>
          <w:color w:val="000000"/>
        </w:rPr>
        <w:t>，</w:t>
      </w:r>
      <w:r>
        <w:rPr>
          <w:rFonts w:hint="eastAsia"/>
          <w:bCs/>
          <w:color w:val="000000"/>
        </w:rPr>
        <w:t>附件</w:t>
      </w:r>
      <w:r>
        <w:rPr>
          <w:rFonts w:hint="eastAsia"/>
          <w:color w:val="000000"/>
        </w:rPr>
        <w:t>一）。</w:t>
      </w:r>
    </w:p>
    <w:p w:rsidR="00692915" w:rsidRDefault="00692915">
      <w:pPr>
        <w:pStyle w:val="Heading2"/>
        <w:rPr>
          <w:rFonts w:hint="eastAsia"/>
          <w:color w:val="000000"/>
        </w:rPr>
      </w:pPr>
      <w:r>
        <w:rPr>
          <w:rFonts w:hint="eastAsia"/>
          <w:color w:val="000000"/>
          <w:sz w:val="24"/>
        </w:rPr>
        <w:t>文字专栏</w:t>
      </w:r>
      <w:r>
        <w:rPr>
          <w:rFonts w:hint="eastAsia"/>
          <w:color w:val="000000"/>
          <w:sz w:val="24"/>
        </w:rPr>
        <w:t xml:space="preserve">1 </w:t>
      </w:r>
      <w:r>
        <w:rPr>
          <w:color w:val="000000"/>
          <w:sz w:val="24"/>
        </w:rPr>
        <w:br/>
      </w:r>
      <w:r>
        <w:rPr>
          <w:rFonts w:hint="eastAsia"/>
          <w:color w:val="000000"/>
          <w:sz w:val="24"/>
        </w:rPr>
        <w:t xml:space="preserve"> 2005</w:t>
      </w:r>
      <w:r>
        <w:rPr>
          <w:rFonts w:hint="eastAsia"/>
          <w:color w:val="000000"/>
          <w:sz w:val="24"/>
        </w:rPr>
        <w:t>年</w:t>
      </w:r>
      <w:r>
        <w:rPr>
          <w:rFonts w:hint="eastAsia"/>
          <w:color w:val="000000"/>
          <w:sz w:val="24"/>
        </w:rPr>
        <w:t>11</w:t>
      </w:r>
      <w:r>
        <w:rPr>
          <w:rFonts w:hint="eastAsia"/>
          <w:color w:val="000000"/>
          <w:sz w:val="24"/>
        </w:rPr>
        <w:t>月人口达到</w:t>
      </w:r>
      <w:r>
        <w:rPr>
          <w:rFonts w:hint="eastAsia"/>
          <w:color w:val="000000"/>
          <w:sz w:val="24"/>
        </w:rPr>
        <w:t>100</w:t>
      </w:r>
      <w:r>
        <w:rPr>
          <w:rFonts w:hint="eastAsia"/>
          <w:color w:val="000000"/>
          <w:sz w:val="24"/>
        </w:rPr>
        <w:t>万</w:t>
      </w:r>
    </w:p>
    <w:tbl>
      <w:tblPr>
        <w:tblW w:w="0" w:type="auto"/>
        <w:tblInd w:w="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60"/>
      </w:tblGrid>
      <w:tr w:rsidR="00692915">
        <w:tblPrEx>
          <w:tblCellMar>
            <w:top w:w="0" w:type="dxa"/>
            <w:bottom w:w="0" w:type="dxa"/>
          </w:tblCellMar>
        </w:tblPrEx>
        <w:tc>
          <w:tcPr>
            <w:tcW w:w="8160" w:type="dxa"/>
            <w:tcBorders>
              <w:bottom w:val="nil"/>
            </w:tcBorders>
          </w:tcPr>
          <w:p w:rsidR="00692915" w:rsidRDefault="00692915" w:rsidP="009A1C1B">
            <w:pPr>
              <w:pStyle w:val="Header"/>
              <w:spacing w:before="120" w:afterLines="30" w:after="108" w:line="336" w:lineRule="auto"/>
              <w:ind w:firstLine="31680"/>
              <w:rPr>
                <w:rFonts w:hint="eastAsia"/>
                <w:color w:val="000000"/>
                <w:lang w:eastAsia="zh-CN"/>
              </w:rPr>
            </w:pPr>
            <w:r>
              <w:rPr>
                <w:rFonts w:hint="eastAsia"/>
                <w:color w:val="000000"/>
                <w:lang w:eastAsia="zh-CN"/>
              </w:rPr>
              <w:t>根据国家统计管理局的估计，在假设漏查率为</w:t>
            </w:r>
            <w:r>
              <w:rPr>
                <w:rFonts w:hint="eastAsia"/>
                <w:color w:val="000000"/>
                <w:lang w:eastAsia="zh-CN"/>
              </w:rPr>
              <w:t>5%</w:t>
            </w:r>
            <w:r>
              <w:rPr>
                <w:rFonts w:hint="eastAsia"/>
                <w:color w:val="000000"/>
                <w:lang w:eastAsia="zh-CN"/>
              </w:rPr>
              <w:t>左右的情况下，</w:t>
            </w:r>
            <w:r>
              <w:rPr>
                <w:rFonts w:hint="eastAsia"/>
                <w:color w:val="000000"/>
                <w:lang w:eastAsia="zh-CN"/>
              </w:rPr>
              <w:t>2005</w:t>
            </w:r>
            <w:r>
              <w:rPr>
                <w:rFonts w:hint="eastAsia"/>
                <w:color w:val="000000"/>
                <w:lang w:eastAsia="zh-CN"/>
              </w:rPr>
              <w:t>年</w:t>
            </w:r>
            <w:r>
              <w:rPr>
                <w:rFonts w:hint="eastAsia"/>
                <w:color w:val="000000"/>
                <w:lang w:eastAsia="zh-CN"/>
              </w:rPr>
              <w:t>11</w:t>
            </w:r>
            <w:r>
              <w:rPr>
                <w:rFonts w:hint="eastAsia"/>
                <w:color w:val="000000"/>
                <w:lang w:eastAsia="zh-CN"/>
              </w:rPr>
              <w:t>月人口达到了</w:t>
            </w:r>
            <w:r>
              <w:rPr>
                <w:rFonts w:hint="eastAsia"/>
                <w:color w:val="000000"/>
                <w:lang w:eastAsia="zh-CN"/>
              </w:rPr>
              <w:t>100</w:t>
            </w:r>
            <w:r>
              <w:rPr>
                <w:rFonts w:hint="eastAsia"/>
                <w:color w:val="000000"/>
                <w:lang w:eastAsia="zh-CN"/>
              </w:rPr>
              <w:t>万（</w:t>
            </w:r>
            <w:r>
              <w:rPr>
                <w:color w:val="000000"/>
                <w:lang w:eastAsia="zh-CN"/>
              </w:rPr>
              <w:t>1</w:t>
            </w:r>
            <w:r>
              <w:rPr>
                <w:rFonts w:hint="eastAsia"/>
                <w:color w:val="000000"/>
                <w:lang w:eastAsia="zh-CN"/>
              </w:rPr>
              <w:t xml:space="preserve"> </w:t>
            </w:r>
            <w:r>
              <w:rPr>
                <w:color w:val="000000"/>
                <w:lang w:eastAsia="zh-CN"/>
              </w:rPr>
              <w:t>011</w:t>
            </w:r>
            <w:r>
              <w:rPr>
                <w:rFonts w:hint="eastAsia"/>
                <w:color w:val="000000"/>
                <w:lang w:eastAsia="zh-CN"/>
              </w:rPr>
              <w:t xml:space="preserve"> </w:t>
            </w:r>
            <w:r>
              <w:rPr>
                <w:color w:val="000000"/>
                <w:lang w:eastAsia="zh-CN"/>
              </w:rPr>
              <w:t>000</w:t>
            </w:r>
            <w:r>
              <w:rPr>
                <w:rFonts w:hint="eastAsia"/>
                <w:color w:val="000000"/>
                <w:lang w:eastAsia="zh-CN"/>
              </w:rPr>
              <w:t>人）。</w:t>
            </w:r>
          </w:p>
        </w:tc>
      </w:tr>
      <w:tr w:rsidR="00692915">
        <w:tblPrEx>
          <w:tblCellMar>
            <w:top w:w="0" w:type="dxa"/>
            <w:bottom w:w="0" w:type="dxa"/>
          </w:tblCellMar>
        </w:tblPrEx>
        <w:tc>
          <w:tcPr>
            <w:tcW w:w="8160" w:type="dxa"/>
            <w:tcBorders>
              <w:top w:val="nil"/>
            </w:tcBorders>
          </w:tcPr>
          <w:p w:rsidR="00692915" w:rsidRDefault="00692915" w:rsidP="009A1C1B">
            <w:pPr>
              <w:spacing w:line="288" w:lineRule="auto"/>
              <w:ind w:firstLine="31680"/>
              <w:rPr>
                <w:color w:val="000000"/>
              </w:rPr>
            </w:pPr>
            <w:r>
              <w:rPr>
                <w:rFonts w:eastAsia="KaiTi_GB2312" w:hint="eastAsia"/>
                <w:color w:val="000000"/>
                <w:sz w:val="21"/>
              </w:rPr>
              <w:t>资料来源</w:t>
            </w:r>
            <w:r>
              <w:rPr>
                <w:rFonts w:hint="eastAsia"/>
                <w:color w:val="000000"/>
                <w:sz w:val="21"/>
              </w:rPr>
              <w:t>：《</w:t>
            </w:r>
            <w:r>
              <w:rPr>
                <w:rFonts w:hint="eastAsia"/>
                <w:color w:val="000000"/>
                <w:sz w:val="21"/>
              </w:rPr>
              <w:t>2004</w:t>
            </w:r>
            <w:r>
              <w:rPr>
                <w:rFonts w:hint="eastAsia"/>
                <w:color w:val="000000"/>
                <w:sz w:val="21"/>
              </w:rPr>
              <w:t>年东帝汶人口与住房普查，</w:t>
            </w:r>
            <w:r>
              <w:rPr>
                <w:rFonts w:hint="eastAsia"/>
                <w:color w:val="000000"/>
                <w:sz w:val="21"/>
              </w:rPr>
              <w:t>2005</w:t>
            </w:r>
            <w:r>
              <w:rPr>
                <w:rFonts w:hint="eastAsia"/>
                <w:color w:val="000000"/>
                <w:sz w:val="21"/>
              </w:rPr>
              <w:t>年</w:t>
            </w:r>
            <w:r>
              <w:rPr>
                <w:rFonts w:hint="eastAsia"/>
                <w:color w:val="000000"/>
                <w:sz w:val="21"/>
              </w:rPr>
              <w:t>11</w:t>
            </w:r>
            <w:r>
              <w:rPr>
                <w:rFonts w:hint="eastAsia"/>
                <w:color w:val="000000"/>
                <w:sz w:val="21"/>
              </w:rPr>
              <w:t>月主要指标、表、图及地图摘要》：图</w:t>
            </w:r>
            <w:r>
              <w:rPr>
                <w:rFonts w:hint="eastAsia"/>
                <w:color w:val="000000"/>
                <w:sz w:val="21"/>
              </w:rPr>
              <w:t>1</w:t>
            </w:r>
            <w:r>
              <w:rPr>
                <w:rFonts w:hint="eastAsia"/>
                <w:color w:val="000000"/>
                <w:sz w:val="21"/>
              </w:rPr>
              <w:t>，第</w:t>
            </w:r>
            <w:r>
              <w:rPr>
                <w:rFonts w:hint="eastAsia"/>
                <w:color w:val="000000"/>
                <w:sz w:val="21"/>
              </w:rPr>
              <w:t>10</w:t>
            </w:r>
            <w:r>
              <w:rPr>
                <w:rFonts w:hint="eastAsia"/>
                <w:color w:val="000000"/>
                <w:sz w:val="21"/>
              </w:rPr>
              <w:t>页（表</w:t>
            </w:r>
            <w:r>
              <w:rPr>
                <w:color w:val="000000"/>
                <w:sz w:val="21"/>
              </w:rPr>
              <w:t>I.1</w:t>
            </w:r>
            <w:r>
              <w:rPr>
                <w:rFonts w:hint="eastAsia"/>
                <w:color w:val="000000"/>
                <w:sz w:val="21"/>
              </w:rPr>
              <w:t>，附件一）</w:t>
            </w:r>
            <w:r>
              <w:rPr>
                <w:rFonts w:hint="eastAsia"/>
                <w:color w:val="000000"/>
              </w:rPr>
              <w:t>。</w:t>
            </w:r>
          </w:p>
        </w:tc>
      </w:tr>
    </w:tbl>
    <w:bookmarkEnd w:id="136"/>
    <w:bookmarkEnd w:id="137"/>
    <w:bookmarkEnd w:id="138"/>
    <w:bookmarkEnd w:id="139"/>
    <w:bookmarkEnd w:id="140"/>
    <w:bookmarkEnd w:id="141"/>
    <w:bookmarkEnd w:id="142"/>
    <w:p w:rsidR="00692915" w:rsidRDefault="00692915" w:rsidP="009A1C1B">
      <w:pPr>
        <w:pStyle w:val="Heading5"/>
        <w:spacing w:before="360"/>
        <w:ind w:firstLineChars="82" w:firstLine="31680"/>
        <w:rPr>
          <w:rFonts w:hint="eastAsia"/>
          <w:b w:val="0"/>
          <w:bCs/>
          <w:color w:val="000000"/>
          <w:lang w:eastAsia="zh-CN"/>
        </w:rPr>
      </w:pPr>
      <w:r>
        <w:rPr>
          <w:rFonts w:eastAsia="KaiTi_GB2312" w:hint="eastAsia"/>
          <w:b w:val="0"/>
          <w:bCs/>
          <w:i w:val="0"/>
          <w:iCs/>
          <w:color w:val="000000"/>
          <w:lang w:eastAsia="zh-CN"/>
        </w:rPr>
        <w:t>人口密度</w:t>
      </w:r>
    </w:p>
    <w:p w:rsidR="00692915" w:rsidRDefault="00692915" w:rsidP="009A1C1B">
      <w:pPr>
        <w:ind w:firstLine="31680"/>
        <w:rPr>
          <w:rFonts w:hint="eastAsia"/>
          <w:bCs/>
          <w:color w:val="000000"/>
        </w:rPr>
      </w:pPr>
      <w:r>
        <w:rPr>
          <w:rFonts w:hint="eastAsia"/>
          <w:bCs/>
          <w:color w:val="000000"/>
        </w:rPr>
        <w:t>东帝汶的人口较稀，平均每平方公里为</w:t>
      </w:r>
      <w:r>
        <w:rPr>
          <w:rFonts w:hint="eastAsia"/>
          <w:bCs/>
          <w:color w:val="000000"/>
        </w:rPr>
        <w:t>69</w:t>
      </w:r>
      <w:r>
        <w:rPr>
          <w:rFonts w:hint="eastAsia"/>
          <w:bCs/>
          <w:color w:val="000000"/>
        </w:rPr>
        <w:t>人。人口密度比马来西亚略高，比斯威士兰略低。</w:t>
      </w:r>
      <w:r>
        <w:rPr>
          <w:rStyle w:val="FootnoteReference"/>
          <w:bCs/>
          <w:color w:val="000000"/>
        </w:rPr>
        <w:footnoteReference w:id="391"/>
      </w:r>
    </w:p>
    <w:p w:rsidR="00692915" w:rsidRDefault="00692915" w:rsidP="009A1C1B">
      <w:pPr>
        <w:spacing w:after="240"/>
        <w:ind w:firstLine="31680"/>
        <w:rPr>
          <w:rFonts w:hint="eastAsia"/>
          <w:color w:val="000000"/>
        </w:rPr>
      </w:pPr>
      <w:r>
        <w:rPr>
          <w:rFonts w:hint="eastAsia"/>
          <w:color w:val="000000"/>
        </w:rPr>
        <w:t>只有帝力、埃尔梅拉、利基萨的人口密度在每平方公里</w:t>
      </w:r>
      <w:r>
        <w:rPr>
          <w:rFonts w:hint="eastAsia"/>
          <w:color w:val="000000"/>
        </w:rPr>
        <w:t>72</w:t>
      </w:r>
      <w:r>
        <w:rPr>
          <w:rFonts w:hint="eastAsia"/>
          <w:color w:val="000000"/>
        </w:rPr>
        <w:t>人以上。马努法希、马纳图托、维克克和劳藤的人口密度为每平方公里不足</w:t>
      </w:r>
      <w:r>
        <w:rPr>
          <w:rFonts w:hint="eastAsia"/>
          <w:color w:val="000000"/>
        </w:rPr>
        <w:t>35</w:t>
      </w:r>
      <w:r>
        <w:rPr>
          <w:rFonts w:hint="eastAsia"/>
          <w:color w:val="000000"/>
        </w:rPr>
        <w:t>人。由于人口稀少、地形崎岖，所以发展交通和提供公共服务的难度很大。</w:t>
      </w:r>
    </w:p>
    <w:p w:rsidR="00692915" w:rsidRDefault="00692915">
      <w:pPr>
        <w:ind w:firstLineChars="0" w:firstLine="0"/>
        <w:jc w:val="center"/>
        <w:rPr>
          <w:noProof/>
          <w:color w:val="000000"/>
        </w:rPr>
      </w:pPr>
      <w:r>
        <w:rPr>
          <w:rFonts w:hint="eastAsia"/>
          <w:color w:val="000000"/>
        </w:rPr>
        <w:t>地图</w:t>
      </w:r>
      <w:r>
        <w:rPr>
          <w:color w:val="000000"/>
        </w:rPr>
        <w:t xml:space="preserve"> </w:t>
      </w:r>
      <w:r>
        <w:rPr>
          <w:noProof/>
          <w:color w:val="000000"/>
        </w:rPr>
        <w:t>1</w:t>
      </w:r>
    </w:p>
    <w:p w:rsidR="00692915" w:rsidRDefault="00692915">
      <w:pPr>
        <w:pStyle w:val="Heading2"/>
        <w:rPr>
          <w:color w:val="000000"/>
        </w:rPr>
      </w:pPr>
      <w:r>
        <w:rPr>
          <w:color w:val="000000"/>
          <w:sz w:val="24"/>
        </w:rPr>
        <w:t>2004</w:t>
      </w:r>
      <w:r>
        <w:rPr>
          <w:rFonts w:hint="eastAsia"/>
          <w:color w:val="000000"/>
          <w:sz w:val="24"/>
        </w:rPr>
        <w:t>年各地区的人口密度</w:t>
      </w:r>
    </w:p>
    <w:p w:rsidR="00692915" w:rsidRDefault="00692915" w:rsidP="009A1C1B">
      <w:pPr>
        <w:ind w:firstLine="31680"/>
        <w:rPr>
          <w:color w:val="000000"/>
        </w:rPr>
      </w:pPr>
      <w:r>
        <w:rPr>
          <w:noProof/>
          <w:snapToGrid/>
          <w:color w:val="000000"/>
          <w:sz w:val="20"/>
        </w:rPr>
        <w:pict>
          <v:shape id="_x0000_s2422" type="#_x0000_t202" style="position:absolute;left:0;text-align:left;margin-left:9.5pt;margin-top:17.95pt;width:110.5pt;height:27pt;z-index:151" filled="f" stroked="f">
            <v:textbox>
              <w:txbxContent>
                <w:p w:rsidR="00692915" w:rsidRDefault="00692915">
                  <w:pPr>
                    <w:spacing w:line="180" w:lineRule="exact"/>
                    <w:ind w:firstLineChars="0" w:firstLine="0"/>
                    <w:rPr>
                      <w:sz w:val="13"/>
                    </w:rPr>
                  </w:pPr>
                  <w:r>
                    <w:rPr>
                      <w:rFonts w:ascii="SimSun" w:hAnsi="SimSun" w:hint="eastAsia"/>
                      <w:sz w:val="13"/>
                    </w:rPr>
                    <w:t>资料来源：东帝汶2004年</w:t>
                  </w:r>
                  <w:r>
                    <w:rPr>
                      <w:rFonts w:ascii="SimSun" w:hAnsi="SimSun"/>
                      <w:sz w:val="13"/>
                    </w:rPr>
                    <w:br/>
                  </w:r>
                  <w:r>
                    <w:rPr>
                      <w:rFonts w:ascii="SimSun" w:hAnsi="SimSun" w:hint="eastAsia"/>
                      <w:sz w:val="13"/>
                    </w:rPr>
                    <w:t>人口普查</w:t>
                  </w:r>
                </w:p>
              </w:txbxContent>
            </v:textbox>
          </v:shape>
        </w:pict>
      </w:r>
      <w:r>
        <w:rPr>
          <w:noProof/>
          <w:snapToGrid/>
          <w:color w:val="000000"/>
          <w:sz w:val="20"/>
        </w:rPr>
        <w:pict>
          <v:shape id="_x0000_s2421" type="#_x0000_t202" style="position:absolute;left:0;text-align:left;margin-left:-6.5pt;margin-top:7.45pt;width:473.1pt;height:297pt;z-index:150" filled="f" stroked="f">
            <v:textbox>
              <w:txbxContent>
                <w:p w:rsidR="00692915" w:rsidRDefault="00692915">
                  <w:pPr>
                    <w:ind w:firstLineChars="0" w:firstLine="0"/>
                  </w:pPr>
                  <w:r>
                    <w:pict>
                      <v:shape id="_x0000_i1057" type="#_x0000_t75" style="width:458.25pt;height:278.25pt">
                        <v:imagedata r:id="rId11" o:title=""/>
                      </v:shape>
                    </w:pict>
                  </w:r>
                </w:p>
                <w:p w:rsidR="00692915" w:rsidRDefault="00692915">
                  <w:pPr>
                    <w:ind w:firstLineChars="0" w:firstLine="0"/>
                  </w:pPr>
                </w:p>
              </w:txbxContent>
            </v:textbox>
          </v:shape>
        </w:pict>
      </w:r>
    </w:p>
    <w:p w:rsidR="00692915" w:rsidRDefault="00692915" w:rsidP="009A1C1B">
      <w:pPr>
        <w:ind w:firstLine="31680"/>
        <w:rPr>
          <w:color w:val="000000"/>
        </w:rPr>
      </w:pPr>
    </w:p>
    <w:p w:rsidR="00692915" w:rsidRDefault="00692915" w:rsidP="009A1C1B">
      <w:pPr>
        <w:ind w:firstLine="31680"/>
        <w:rPr>
          <w:color w:val="000000"/>
        </w:rPr>
      </w:pPr>
    </w:p>
    <w:p w:rsidR="00692915" w:rsidRDefault="00692915" w:rsidP="009A1C1B">
      <w:pPr>
        <w:ind w:firstLine="31680"/>
        <w:rPr>
          <w:color w:val="000000"/>
        </w:rPr>
      </w:pPr>
    </w:p>
    <w:p w:rsidR="00692915" w:rsidRDefault="00692915" w:rsidP="009A1C1B">
      <w:pPr>
        <w:ind w:firstLine="31680"/>
        <w:rPr>
          <w:color w:val="000000"/>
        </w:rPr>
      </w:pPr>
      <w:r>
        <w:rPr>
          <w:rFonts w:eastAsia="KaiTi_GB2312"/>
          <w:noProof/>
          <w:snapToGrid/>
          <w:color w:val="000000"/>
          <w:sz w:val="20"/>
        </w:rPr>
        <w:pict>
          <v:shape id="_x0000_s2428" type="#_x0000_t202" style="position:absolute;left:0;text-align:left;margin-left:117pt;margin-top:11.15pt;width:71.5pt;height:18pt;z-index:157" filled="f" stroked="f">
            <v:textbox inset=".5mm,.3mm,.5mm,.3mm">
              <w:txbxContent>
                <w:p w:rsidR="00692915" w:rsidRDefault="00692915">
                  <w:pPr>
                    <w:ind w:firstLineChars="0" w:firstLine="0"/>
                    <w:jc w:val="center"/>
                  </w:pPr>
                  <w:r>
                    <w:rPr>
                      <w:rFonts w:ascii="SimSun" w:hAnsi="SimSun" w:hint="eastAsia"/>
                      <w:spacing w:val="0"/>
                      <w:sz w:val="18"/>
                      <w:szCs w:val="30"/>
                    </w:rPr>
                    <w:t>帝力</w:t>
                  </w:r>
                </w:p>
              </w:txbxContent>
            </v:textbox>
          </v:shape>
        </w:pict>
      </w:r>
      <w:r>
        <w:rPr>
          <w:rFonts w:eastAsia="KaiTi_GB2312"/>
          <w:noProof/>
          <w:snapToGrid/>
          <w:color w:val="000000"/>
          <w:sz w:val="20"/>
        </w:rPr>
        <w:pict>
          <v:shape id="_x0000_s2433" type="#_x0000_t202" style="position:absolute;left:0;text-align:left;margin-left:338pt;margin-top:11.15pt;width:71.5pt;height:18pt;z-index:162" filled="f" stroked="f">
            <v:textbox inset=".5mm,.3mm,.5mm,.3mm">
              <w:txbxContent>
                <w:p w:rsidR="00692915" w:rsidRDefault="00692915">
                  <w:pPr>
                    <w:ind w:firstLineChars="0" w:firstLine="0"/>
                    <w:jc w:val="center"/>
                  </w:pPr>
                  <w:r>
                    <w:rPr>
                      <w:rFonts w:ascii="SimSun" w:hAnsi="SimSun" w:hint="eastAsia"/>
                      <w:spacing w:val="0"/>
                      <w:sz w:val="18"/>
                      <w:szCs w:val="30"/>
                    </w:rPr>
                    <w:t>劳滕</w:t>
                  </w:r>
                </w:p>
              </w:txbxContent>
            </v:textbox>
          </v:shape>
        </w:pict>
      </w:r>
    </w:p>
    <w:p w:rsidR="00692915" w:rsidRDefault="00692915" w:rsidP="009A1C1B">
      <w:pPr>
        <w:ind w:firstLine="31680"/>
        <w:rPr>
          <w:color w:val="000000"/>
        </w:rPr>
      </w:pPr>
      <w:r>
        <w:rPr>
          <w:rFonts w:eastAsia="KaiTi_GB2312"/>
          <w:noProof/>
          <w:snapToGrid/>
          <w:color w:val="000000"/>
          <w:sz w:val="20"/>
        </w:rPr>
        <w:pict>
          <v:shape id="_x0000_s2426" type="#_x0000_t202" style="position:absolute;left:0;text-align:left;margin-left:52pt;margin-top:16.6pt;width:71.5pt;height:18pt;z-index:155" filled="f" stroked="f">
            <v:textbox inset=".5mm,.3mm,.5mm,.3mm">
              <w:txbxContent>
                <w:p w:rsidR="00692915" w:rsidRDefault="00692915">
                  <w:pPr>
                    <w:ind w:firstLineChars="0" w:firstLine="0"/>
                    <w:jc w:val="center"/>
                  </w:pPr>
                  <w:r>
                    <w:rPr>
                      <w:rFonts w:ascii="SimSun" w:hAnsi="SimSun" w:hint="eastAsia"/>
                      <w:spacing w:val="0"/>
                      <w:sz w:val="18"/>
                      <w:szCs w:val="30"/>
                    </w:rPr>
                    <w:t>利基萨</w:t>
                  </w:r>
                </w:p>
              </w:txbxContent>
            </v:textbox>
          </v:shape>
        </w:pict>
      </w:r>
      <w:r>
        <w:rPr>
          <w:rFonts w:eastAsia="KaiTi_GB2312"/>
          <w:noProof/>
          <w:snapToGrid/>
          <w:color w:val="000000"/>
          <w:sz w:val="20"/>
        </w:rPr>
        <w:pict>
          <v:shape id="_x0000_s2430" type="#_x0000_t202" style="position:absolute;left:0;text-align:left;margin-left:167.5pt;margin-top:12.1pt;width:71.5pt;height:18pt;z-index:159" filled="f" stroked="f">
            <v:textbox inset=".5mm,.3mm,.5mm,.3mm">
              <w:txbxContent>
                <w:p w:rsidR="00692915" w:rsidRDefault="00692915">
                  <w:pPr>
                    <w:ind w:firstLineChars="0" w:firstLine="0"/>
                    <w:jc w:val="center"/>
                    <w:rPr>
                      <w:rFonts w:ascii="SimSun" w:hAnsi="SimSun"/>
                      <w:spacing w:val="0"/>
                      <w:sz w:val="18"/>
                      <w:szCs w:val="30"/>
                    </w:rPr>
                  </w:pPr>
                  <w:r>
                    <w:rPr>
                      <w:rFonts w:ascii="SimSun" w:hAnsi="SimSun" w:hint="eastAsia"/>
                      <w:spacing w:val="0"/>
                      <w:sz w:val="18"/>
                      <w:szCs w:val="30"/>
                    </w:rPr>
                    <w:t>马纳图托</w:t>
                  </w:r>
                </w:p>
              </w:txbxContent>
            </v:textbox>
          </v:shape>
        </w:pict>
      </w:r>
      <w:r>
        <w:rPr>
          <w:rFonts w:eastAsia="KaiTi_GB2312"/>
          <w:noProof/>
          <w:snapToGrid/>
          <w:color w:val="000000"/>
          <w:sz w:val="20"/>
        </w:rPr>
        <w:pict>
          <v:shape id="_x0000_s2432" type="#_x0000_t202" style="position:absolute;left:0;text-align:left;margin-left:247pt;margin-top:.85pt;width:71.5pt;height:18pt;z-index:161" filled="f" stroked="f">
            <v:textbox inset=".5mm,.3mm,.5mm,.3mm">
              <w:txbxContent>
                <w:p w:rsidR="00692915" w:rsidRDefault="00692915">
                  <w:pPr>
                    <w:ind w:firstLineChars="0" w:firstLine="0"/>
                    <w:jc w:val="center"/>
                  </w:pPr>
                  <w:r>
                    <w:rPr>
                      <w:rFonts w:ascii="SimSun" w:hAnsi="SimSun" w:hint="eastAsia"/>
                      <w:spacing w:val="0"/>
                      <w:sz w:val="18"/>
                      <w:szCs w:val="30"/>
                    </w:rPr>
                    <w:t>包考</w:t>
                  </w:r>
                </w:p>
              </w:txbxContent>
            </v:textbox>
          </v:shape>
        </w:pict>
      </w:r>
    </w:p>
    <w:p w:rsidR="00692915" w:rsidRDefault="00692915" w:rsidP="009A1C1B">
      <w:pPr>
        <w:ind w:firstLine="31680"/>
        <w:rPr>
          <w:color w:val="000000"/>
        </w:rPr>
      </w:pPr>
      <w:r>
        <w:rPr>
          <w:rFonts w:eastAsia="KaiTi_GB2312"/>
          <w:noProof/>
          <w:snapToGrid/>
          <w:color w:val="000000"/>
          <w:sz w:val="20"/>
        </w:rPr>
        <w:pict>
          <v:shape id="_x0000_s2434" type="#_x0000_t202" style="position:absolute;left:0;text-align:left;margin-left:113.5pt;margin-top:5.5pt;width:71.5pt;height:18pt;z-index:163" filled="f" stroked="f">
            <v:textbox inset=".5mm,.3mm,.5mm,.3mm">
              <w:txbxContent>
                <w:p w:rsidR="00692915" w:rsidRDefault="00692915">
                  <w:pPr>
                    <w:ind w:firstLineChars="0" w:firstLine="0"/>
                    <w:jc w:val="center"/>
                  </w:pPr>
                  <w:r>
                    <w:rPr>
                      <w:rFonts w:ascii="SimSun" w:hAnsi="SimSun" w:hint="eastAsia"/>
                      <w:spacing w:val="0"/>
                      <w:sz w:val="18"/>
                      <w:szCs w:val="30"/>
                    </w:rPr>
                    <w:t>阿伊莱乌</w:t>
                  </w:r>
                </w:p>
              </w:txbxContent>
            </v:textbox>
          </v:shape>
        </w:pict>
      </w:r>
    </w:p>
    <w:p w:rsidR="00692915" w:rsidRDefault="00692915" w:rsidP="009A1C1B">
      <w:pPr>
        <w:ind w:firstLine="31680"/>
        <w:rPr>
          <w:color w:val="000000"/>
        </w:rPr>
      </w:pPr>
      <w:r>
        <w:rPr>
          <w:rFonts w:eastAsia="KaiTi_GB2312"/>
          <w:noProof/>
          <w:snapToGrid/>
          <w:color w:val="000000"/>
          <w:sz w:val="20"/>
        </w:rPr>
        <w:pict>
          <v:shape id="_x0000_s2425" type="#_x0000_t202" style="position:absolute;left:0;text-align:left;margin-left:65pt;margin-top:7.2pt;width:71.5pt;height:18pt;z-index:154" filled="f" stroked="f">
            <v:textbox inset=".5mm,.3mm,.5mm,.3mm">
              <w:txbxContent>
                <w:p w:rsidR="00692915" w:rsidRDefault="00692915">
                  <w:pPr>
                    <w:ind w:firstLineChars="0" w:firstLine="0"/>
                    <w:jc w:val="center"/>
                  </w:pPr>
                  <w:r>
                    <w:rPr>
                      <w:rFonts w:ascii="SimSun" w:hAnsi="SimSun" w:hint="eastAsia"/>
                      <w:spacing w:val="0"/>
                      <w:sz w:val="18"/>
                      <w:szCs w:val="30"/>
                    </w:rPr>
                    <w:t>埃尔梅拉</w:t>
                  </w:r>
                </w:p>
              </w:txbxContent>
            </v:textbox>
          </v:shape>
        </w:pict>
      </w:r>
      <w:r>
        <w:rPr>
          <w:rFonts w:eastAsia="KaiTi_GB2312"/>
          <w:noProof/>
          <w:snapToGrid/>
          <w:color w:val="000000"/>
          <w:sz w:val="20"/>
        </w:rPr>
        <w:pict>
          <v:shape id="_x0000_s2431" type="#_x0000_t202" style="position:absolute;left:0;text-align:left;margin-left:234pt;margin-top:7.2pt;width:71.5pt;height:18pt;z-index:160" filled="f" stroked="f">
            <v:textbox inset=".5mm,.3mm,.5mm,.3mm">
              <w:txbxContent>
                <w:p w:rsidR="00692915" w:rsidRDefault="00692915" w:rsidP="009A1C1B">
                  <w:pPr>
                    <w:ind w:firstLine="31680"/>
                  </w:pPr>
                  <w:r>
                    <w:rPr>
                      <w:rFonts w:ascii="SimSun" w:hAnsi="SimSun" w:hint="eastAsia"/>
                      <w:spacing w:val="0"/>
                      <w:sz w:val="18"/>
                      <w:szCs w:val="30"/>
                    </w:rPr>
                    <w:t>维克克</w:t>
                  </w:r>
                </w:p>
              </w:txbxContent>
            </v:textbox>
          </v:shape>
        </w:pict>
      </w:r>
    </w:p>
    <w:p w:rsidR="00692915" w:rsidRDefault="00692915" w:rsidP="009A1C1B">
      <w:pPr>
        <w:ind w:firstLine="31680"/>
        <w:rPr>
          <w:color w:val="000000"/>
        </w:rPr>
      </w:pPr>
      <w:r>
        <w:rPr>
          <w:rFonts w:eastAsia="KaiTi_GB2312"/>
          <w:noProof/>
          <w:snapToGrid/>
          <w:color w:val="000000"/>
          <w:sz w:val="20"/>
        </w:rPr>
        <w:pict>
          <v:shape id="_x0000_s2429" type="#_x0000_t202" style="position:absolute;left:0;text-align:left;margin-left:137.75pt;margin-top:15.65pt;width:71.5pt;height:18pt;z-index:158" filled="f" stroked="f">
            <v:textbox inset=".5mm,.3mm,.5mm,.3mm">
              <w:txbxContent>
                <w:p w:rsidR="00692915" w:rsidRDefault="00692915">
                  <w:pPr>
                    <w:ind w:firstLineChars="0" w:firstLine="0"/>
                    <w:jc w:val="center"/>
                  </w:pPr>
                  <w:r>
                    <w:rPr>
                      <w:rFonts w:ascii="SimSun" w:hAnsi="SimSun" w:hint="eastAsia"/>
                      <w:spacing w:val="0"/>
                      <w:sz w:val="18"/>
                      <w:szCs w:val="30"/>
                    </w:rPr>
                    <w:t>马努法希</w:t>
                  </w:r>
                </w:p>
              </w:txbxContent>
            </v:textbox>
          </v:shape>
        </w:pict>
      </w:r>
      <w:r>
        <w:rPr>
          <w:noProof/>
          <w:snapToGrid/>
          <w:color w:val="000000"/>
          <w:sz w:val="20"/>
        </w:rPr>
        <w:pict>
          <v:shape id="_x0000_s2423" type="#_x0000_t202" style="position:absolute;left:0;text-align:left;margin-left:26.75pt;margin-top:2.15pt;width:71.5pt;height:18pt;z-index:152" filled="f" stroked="f">
            <v:textbox inset=".5mm,.3mm,.5mm,.3mm">
              <w:txbxContent>
                <w:p w:rsidR="00692915" w:rsidRDefault="00692915">
                  <w:pPr>
                    <w:ind w:firstLineChars="0" w:firstLine="0"/>
                    <w:jc w:val="center"/>
                  </w:pPr>
                  <w:r>
                    <w:rPr>
                      <w:rFonts w:ascii="SimSun" w:hAnsi="SimSun" w:hint="eastAsia"/>
                      <w:spacing w:val="0"/>
                      <w:sz w:val="18"/>
                      <w:szCs w:val="30"/>
                    </w:rPr>
                    <w:t>波波纳罗</w:t>
                  </w:r>
                </w:p>
              </w:txbxContent>
            </v:textbox>
          </v:shape>
        </w:pict>
      </w:r>
    </w:p>
    <w:p w:rsidR="00692915" w:rsidRDefault="00692915" w:rsidP="009A1C1B">
      <w:pPr>
        <w:ind w:firstLine="31680"/>
        <w:rPr>
          <w:color w:val="000000"/>
        </w:rPr>
      </w:pPr>
      <w:r>
        <w:rPr>
          <w:rFonts w:eastAsia="KaiTi_GB2312"/>
          <w:noProof/>
          <w:snapToGrid/>
          <w:color w:val="000000"/>
          <w:sz w:val="20"/>
        </w:rPr>
        <w:pict>
          <v:shape id="_x0000_s2424" type="#_x0000_t202" style="position:absolute;left:0;text-align:left;margin-left:97.5pt;margin-top:7.55pt;width:71.5pt;height:18pt;z-index:153" filled="f" stroked="f">
            <v:textbox inset=".5mm,.3mm,.5mm,.3mm">
              <w:txbxContent>
                <w:p w:rsidR="00692915" w:rsidRDefault="00692915">
                  <w:pPr>
                    <w:ind w:firstLineChars="0" w:firstLine="0"/>
                    <w:jc w:val="center"/>
                  </w:pPr>
                  <w:r>
                    <w:rPr>
                      <w:rFonts w:ascii="SimSun" w:hAnsi="SimSun" w:hint="eastAsia"/>
                      <w:spacing w:val="0"/>
                      <w:sz w:val="18"/>
                      <w:szCs w:val="30"/>
                    </w:rPr>
                    <w:t>艾纳鲁</w:t>
                  </w:r>
                </w:p>
              </w:txbxContent>
            </v:textbox>
          </v:shape>
        </w:pict>
      </w:r>
    </w:p>
    <w:p w:rsidR="00692915" w:rsidRDefault="00692915" w:rsidP="009A1C1B">
      <w:pPr>
        <w:ind w:firstLine="31680"/>
        <w:rPr>
          <w:color w:val="000000"/>
        </w:rPr>
      </w:pPr>
      <w:r>
        <w:rPr>
          <w:rFonts w:eastAsia="KaiTi_GB2312"/>
          <w:noProof/>
          <w:snapToGrid/>
          <w:color w:val="000000"/>
          <w:sz w:val="20"/>
        </w:rPr>
        <w:pict>
          <v:shape id="_x0000_s2437" type="#_x0000_t202" style="position:absolute;left:0;text-align:left;margin-left:227.5pt;margin-top:3.25pt;width:71.5pt;height:18pt;z-index:166" filled="f" stroked="f">
            <v:textbox inset=".5mm,.3mm,.5mm,.3mm">
              <w:txbxContent>
                <w:p w:rsidR="00692915" w:rsidRDefault="00692915">
                  <w:pPr>
                    <w:ind w:firstLineChars="0" w:firstLine="0"/>
                    <w:jc w:val="center"/>
                  </w:pPr>
                  <w:r>
                    <w:rPr>
                      <w:rFonts w:ascii="SimSun" w:hAnsi="SimSun" w:hint="eastAsia"/>
                      <w:spacing w:val="0"/>
                      <w:sz w:val="18"/>
                      <w:szCs w:val="30"/>
                    </w:rPr>
                    <w:t>人口密度</w:t>
                  </w:r>
                </w:p>
              </w:txbxContent>
            </v:textbox>
          </v:shape>
        </w:pict>
      </w:r>
    </w:p>
    <w:p w:rsidR="00692915" w:rsidRDefault="00692915" w:rsidP="009A1C1B">
      <w:pPr>
        <w:ind w:firstLine="31680"/>
        <w:rPr>
          <w:color w:val="000000"/>
        </w:rPr>
      </w:pPr>
      <w:r>
        <w:rPr>
          <w:noProof/>
          <w:snapToGrid/>
          <w:color w:val="000000"/>
          <w:sz w:val="20"/>
        </w:rPr>
        <w:pict>
          <v:shape id="_x0000_s2435" type="#_x0000_t202" style="position:absolute;left:0;text-align:left;margin-left:344.5pt;margin-top:1.95pt;width:71.5pt;height:18pt;z-index:164" filled="f" stroked="f">
            <v:textbox inset=".5mm,.3mm,.5mm,.3mm">
              <w:txbxContent>
                <w:p w:rsidR="00692915" w:rsidRDefault="00692915">
                  <w:pPr>
                    <w:ind w:firstLineChars="0" w:firstLine="0"/>
                    <w:jc w:val="center"/>
                  </w:pPr>
                  <w:r>
                    <w:rPr>
                      <w:rFonts w:ascii="SimSun" w:hAnsi="SimSun" w:hint="eastAsia"/>
                      <w:spacing w:val="0"/>
                      <w:sz w:val="18"/>
                      <w:szCs w:val="30"/>
                    </w:rPr>
                    <w:t>欧库西</w:t>
                  </w:r>
                </w:p>
              </w:txbxContent>
            </v:textbox>
          </v:shape>
        </w:pict>
      </w:r>
      <w:r>
        <w:rPr>
          <w:rFonts w:eastAsia="KaiTi_GB2312"/>
          <w:noProof/>
          <w:snapToGrid/>
          <w:color w:val="000000"/>
          <w:sz w:val="20"/>
        </w:rPr>
        <w:pict>
          <v:shape id="_x0000_s2427" type="#_x0000_t202" style="position:absolute;left:0;text-align:left;margin-left:32.5pt;margin-top:1.95pt;width:71.5pt;height:18pt;z-index:156" filled="f" stroked="f">
            <v:textbox inset=".5mm,.3mm,.5mm,.3mm">
              <w:txbxContent>
                <w:p w:rsidR="00692915" w:rsidRDefault="00692915">
                  <w:pPr>
                    <w:ind w:firstLineChars="0" w:firstLine="0"/>
                    <w:jc w:val="center"/>
                    <w:rPr>
                      <w:spacing w:val="0"/>
                    </w:rPr>
                  </w:pPr>
                  <w:r>
                    <w:rPr>
                      <w:rFonts w:ascii="SimSun" w:hAnsi="SimSun" w:hint="eastAsia"/>
                      <w:spacing w:val="0"/>
                      <w:sz w:val="18"/>
                      <w:szCs w:val="30"/>
                    </w:rPr>
                    <w:t>科瓦利马</w:t>
                  </w:r>
                </w:p>
              </w:txbxContent>
            </v:textbox>
          </v:shape>
        </w:pict>
      </w:r>
    </w:p>
    <w:p w:rsidR="00692915" w:rsidRDefault="00692915" w:rsidP="009A1C1B">
      <w:pPr>
        <w:ind w:firstLine="31680"/>
        <w:rPr>
          <w:color w:val="000000"/>
        </w:rPr>
      </w:pPr>
    </w:p>
    <w:p w:rsidR="00692915" w:rsidRDefault="00692915" w:rsidP="009A1C1B">
      <w:pPr>
        <w:ind w:firstLine="31680"/>
        <w:rPr>
          <w:color w:val="000000"/>
        </w:rPr>
      </w:pPr>
      <w:r>
        <w:rPr>
          <w:noProof/>
          <w:snapToGrid/>
          <w:color w:val="000000"/>
          <w:sz w:val="20"/>
        </w:rPr>
        <w:pict>
          <v:shape id="_x0000_s2436" type="#_x0000_t202" style="position:absolute;left:0;text-align:left;margin-left:152.25pt;margin-top:.8pt;width:58.5pt;height:27pt;z-index:165" filled="f" stroked="f">
            <v:textbox>
              <w:txbxContent>
                <w:p w:rsidR="00692915" w:rsidRDefault="00692915">
                  <w:pPr>
                    <w:ind w:firstLineChars="0" w:firstLine="0"/>
                    <w:rPr>
                      <w:sz w:val="13"/>
                    </w:rPr>
                  </w:pPr>
                  <w:r>
                    <w:rPr>
                      <w:rFonts w:ascii="SimSun" w:hAnsi="SimSun" w:hint="eastAsia"/>
                      <w:spacing w:val="0"/>
                      <w:sz w:val="13"/>
                      <w:szCs w:val="30"/>
                    </w:rPr>
                    <w:t>公里</w:t>
                  </w:r>
                </w:p>
              </w:txbxContent>
            </v:textbox>
          </v:shape>
        </w:pict>
      </w:r>
    </w:p>
    <w:p w:rsidR="00692915" w:rsidRDefault="00692915" w:rsidP="009A1C1B">
      <w:pPr>
        <w:ind w:firstLine="31680"/>
        <w:rPr>
          <w:color w:val="000000"/>
        </w:rPr>
      </w:pPr>
    </w:p>
    <w:p w:rsidR="00692915" w:rsidRDefault="00692915">
      <w:pPr>
        <w:ind w:firstLineChars="0" w:firstLine="0"/>
        <w:jc w:val="center"/>
        <w:rPr>
          <w:color w:val="000000"/>
        </w:rPr>
      </w:pPr>
      <w:bookmarkStart w:id="143" w:name="_Toc132732183"/>
    </w:p>
    <w:p w:rsidR="00692915" w:rsidRDefault="00692915" w:rsidP="009A1C1B">
      <w:pPr>
        <w:spacing w:after="240"/>
        <w:ind w:firstLineChars="76" w:firstLine="31680"/>
        <w:rPr>
          <w:rFonts w:hint="eastAsia"/>
          <w:color w:val="000000"/>
          <w:sz w:val="21"/>
        </w:rPr>
      </w:pPr>
      <w:r>
        <w:rPr>
          <w:rFonts w:eastAsia="KaiTi_GB2312" w:hint="eastAsia"/>
          <w:color w:val="000000"/>
          <w:sz w:val="21"/>
        </w:rPr>
        <w:t>资料来源</w:t>
      </w:r>
      <w:r>
        <w:rPr>
          <w:rFonts w:hint="eastAsia"/>
          <w:color w:val="000000"/>
          <w:sz w:val="21"/>
        </w:rPr>
        <w:t>：国家统计管理局，人口普查绘图处。</w:t>
      </w:r>
    </w:p>
    <w:bookmarkEnd w:id="143"/>
    <w:p w:rsidR="00692915" w:rsidRDefault="00692915">
      <w:pPr>
        <w:pStyle w:val="Heading5"/>
        <w:ind w:firstLineChars="0" w:firstLine="0"/>
        <w:rPr>
          <w:rFonts w:ascii="KaiTi_GB2312" w:eastAsia="KaiTi_GB2312" w:hint="eastAsia"/>
          <w:b w:val="0"/>
          <w:bCs/>
          <w:i w:val="0"/>
          <w:iCs/>
          <w:color w:val="000000"/>
          <w:lang w:eastAsia="zh-CN"/>
        </w:rPr>
      </w:pPr>
      <w:r>
        <w:rPr>
          <w:rFonts w:ascii="KaiTi_GB2312" w:eastAsia="KaiTi_GB2312" w:hint="eastAsia"/>
          <w:b w:val="0"/>
          <w:bCs/>
          <w:i w:val="0"/>
          <w:iCs/>
          <w:color w:val="000000"/>
          <w:lang w:eastAsia="zh-CN"/>
        </w:rPr>
        <w:t>民族构成</w:t>
      </w:r>
    </w:p>
    <w:p w:rsidR="00692915" w:rsidRDefault="00692915" w:rsidP="009A1C1B">
      <w:pPr>
        <w:ind w:firstLine="31680"/>
        <w:rPr>
          <w:rFonts w:hint="eastAsia"/>
          <w:bCs/>
          <w:color w:val="000000"/>
        </w:rPr>
      </w:pPr>
      <w:bookmarkStart w:id="144" w:name="_Toc135830057"/>
      <w:r>
        <w:rPr>
          <w:rFonts w:hint="eastAsia"/>
          <w:bCs/>
          <w:color w:val="000000"/>
        </w:rPr>
        <w:t>没有直接收集民族构成方面的数据。但是，有关家庭语言的数据可在一定程度上说明种族的多样性（见下文内容）。</w:t>
      </w:r>
    </w:p>
    <w:bookmarkEnd w:id="144"/>
    <w:p w:rsidR="00692915" w:rsidRDefault="00692915">
      <w:pPr>
        <w:pStyle w:val="Heading5"/>
        <w:ind w:firstLineChars="0" w:firstLine="0"/>
        <w:rPr>
          <w:rFonts w:ascii="KaiTi_GB2312" w:eastAsia="KaiTi_GB2312" w:hint="eastAsia"/>
          <w:b w:val="0"/>
          <w:bCs/>
          <w:i w:val="0"/>
          <w:iCs/>
          <w:color w:val="000000"/>
          <w:lang w:eastAsia="zh-CN"/>
        </w:rPr>
      </w:pPr>
      <w:r>
        <w:rPr>
          <w:rFonts w:ascii="KaiTi_GB2312" w:eastAsia="KaiTi_GB2312" w:hint="eastAsia"/>
          <w:b w:val="0"/>
          <w:bCs/>
          <w:i w:val="0"/>
          <w:iCs/>
          <w:color w:val="000000"/>
          <w:lang w:eastAsia="zh-CN"/>
        </w:rPr>
        <w:t>土地利用</w:t>
      </w:r>
    </w:p>
    <w:p w:rsidR="00692915" w:rsidRDefault="00692915" w:rsidP="009A1C1B">
      <w:pPr>
        <w:ind w:firstLine="31680"/>
        <w:rPr>
          <w:rFonts w:hint="eastAsia"/>
          <w:bCs/>
          <w:color w:val="000000"/>
        </w:rPr>
      </w:pPr>
      <w:r>
        <w:rPr>
          <w:rFonts w:hint="eastAsia"/>
          <w:bCs/>
          <w:color w:val="000000"/>
        </w:rPr>
        <w:t>东帝汶的土地总面积为</w:t>
      </w:r>
      <w:r>
        <w:rPr>
          <w:bCs/>
          <w:color w:val="000000"/>
        </w:rPr>
        <w:t>14</w:t>
      </w:r>
      <w:r>
        <w:rPr>
          <w:rFonts w:hint="eastAsia"/>
          <w:bCs/>
          <w:color w:val="000000"/>
        </w:rPr>
        <w:t xml:space="preserve"> </w:t>
      </w:r>
      <w:r>
        <w:rPr>
          <w:bCs/>
          <w:color w:val="000000"/>
        </w:rPr>
        <w:t>874</w:t>
      </w:r>
      <w:r>
        <w:rPr>
          <w:rFonts w:hint="eastAsia"/>
          <w:bCs/>
          <w:color w:val="000000"/>
        </w:rPr>
        <w:t>平方公里，分布在帝汶岛东端，欧库西飞地（</w:t>
      </w:r>
      <w:r>
        <w:rPr>
          <w:rFonts w:hint="eastAsia"/>
          <w:bCs/>
          <w:color w:val="000000"/>
        </w:rPr>
        <w:t>2 500</w:t>
      </w:r>
      <w:r>
        <w:rPr>
          <w:rFonts w:hint="eastAsia"/>
          <w:bCs/>
          <w:color w:val="000000"/>
        </w:rPr>
        <w:t>平方公里）、</w:t>
      </w:r>
      <w:r>
        <w:rPr>
          <w:rFonts w:hint="eastAsia"/>
          <w:color w:val="000000"/>
        </w:rPr>
        <w:t>阿陶罗岛（</w:t>
      </w:r>
      <w:r>
        <w:rPr>
          <w:rFonts w:hint="eastAsia"/>
          <w:color w:val="000000"/>
        </w:rPr>
        <w:t>144</w:t>
      </w:r>
      <w:r>
        <w:rPr>
          <w:rFonts w:hint="eastAsia"/>
          <w:color w:val="000000"/>
        </w:rPr>
        <w:t>平</w:t>
      </w:r>
      <w:r>
        <w:rPr>
          <w:rFonts w:ascii="Arial" w:hAnsi="Arial" w:cs="Arial" w:hint="eastAsia"/>
          <w:color w:val="000000"/>
        </w:rPr>
        <w:t>方公里）和嘉科岛（</w:t>
      </w:r>
      <w:r>
        <w:rPr>
          <w:rFonts w:ascii="Arial" w:hAnsi="Arial" w:cs="Arial" w:hint="eastAsia"/>
          <w:color w:val="000000"/>
        </w:rPr>
        <w:t>8</w:t>
      </w:r>
      <w:r>
        <w:rPr>
          <w:rFonts w:ascii="Arial" w:hAnsi="Arial" w:cs="Arial" w:hint="eastAsia"/>
          <w:color w:val="000000"/>
        </w:rPr>
        <w:t>平方公里）。东帝汶的陆地面积略小于斯威士兰、科威特和斐济，略大于巴哈马和瓦努阿图。</w:t>
      </w:r>
      <w:r>
        <w:rPr>
          <w:rStyle w:val="FootnoteReference"/>
          <w:bCs/>
          <w:color w:val="000000"/>
        </w:rPr>
        <w:footnoteReference w:id="392"/>
      </w:r>
    </w:p>
    <w:p w:rsidR="00692915" w:rsidRDefault="00692915" w:rsidP="009A1C1B">
      <w:pPr>
        <w:ind w:firstLine="31680"/>
        <w:rPr>
          <w:rFonts w:hint="eastAsia"/>
          <w:bCs/>
          <w:color w:val="000000"/>
        </w:rPr>
      </w:pPr>
      <w:r>
        <w:rPr>
          <w:rFonts w:hint="eastAsia"/>
          <w:bCs/>
          <w:color w:val="000000"/>
        </w:rPr>
        <w:t>宜耕土地面积很小。耕地面积不到总面积的</w:t>
      </w:r>
      <w:r>
        <w:rPr>
          <w:rFonts w:hint="eastAsia"/>
          <w:bCs/>
          <w:color w:val="000000"/>
        </w:rPr>
        <w:t>5%</w:t>
      </w:r>
      <w:r>
        <w:rPr>
          <w:rFonts w:hint="eastAsia"/>
          <w:bCs/>
          <w:color w:val="000000"/>
        </w:rPr>
        <w:t>，多年生作物用地不足</w:t>
      </w:r>
      <w:r>
        <w:rPr>
          <w:bCs/>
          <w:color w:val="000000"/>
        </w:rPr>
        <w:t>1 %</w:t>
      </w:r>
      <w:r>
        <w:rPr>
          <w:rFonts w:hint="eastAsia"/>
          <w:bCs/>
          <w:color w:val="000000"/>
        </w:rPr>
        <w:t>。</w:t>
      </w:r>
      <w:r>
        <w:rPr>
          <w:rStyle w:val="FootnoteReference"/>
          <w:bCs/>
          <w:color w:val="000000"/>
        </w:rPr>
        <w:footnoteReference w:id="393"/>
      </w:r>
    </w:p>
    <w:p w:rsidR="00692915" w:rsidRDefault="00692915" w:rsidP="009A1C1B">
      <w:pPr>
        <w:ind w:firstLine="31680"/>
        <w:rPr>
          <w:rFonts w:hint="eastAsia"/>
          <w:bCs/>
          <w:color w:val="000000"/>
        </w:rPr>
      </w:pPr>
      <w:r>
        <w:rPr>
          <w:rFonts w:hint="eastAsia"/>
          <w:bCs/>
          <w:color w:val="000000"/>
        </w:rPr>
        <w:t>全国所有区都广泛种植农作物（图</w:t>
      </w:r>
      <w:r>
        <w:rPr>
          <w:rFonts w:hint="eastAsia"/>
          <w:bCs/>
          <w:color w:val="000000"/>
        </w:rPr>
        <w:t>3</w:t>
      </w:r>
      <w:r>
        <w:rPr>
          <w:rFonts w:hint="eastAsia"/>
          <w:bCs/>
          <w:color w:val="000000"/>
        </w:rPr>
        <w:t>），这说明农业经济是东帝汶维生的手段。专业化生产的情况很有限。咖啡是主要的经济作物，在全国大多数地区都有种植。</w:t>
      </w:r>
    </w:p>
    <w:p w:rsidR="00692915" w:rsidRDefault="00692915" w:rsidP="009A1C1B">
      <w:pPr>
        <w:ind w:firstLine="31680"/>
        <w:rPr>
          <w:rFonts w:hint="eastAsia"/>
          <w:bCs/>
          <w:color w:val="000000"/>
        </w:rPr>
      </w:pPr>
      <w:r>
        <w:rPr>
          <w:rFonts w:hint="eastAsia"/>
          <w:bCs/>
          <w:color w:val="000000"/>
        </w:rPr>
        <w:t>但是农业经济的盈余还不足以满足城镇人口的需求。因此，粮食在进口中占了很大一部分。</w:t>
      </w:r>
    </w:p>
    <w:p w:rsidR="00692915" w:rsidRDefault="00692915" w:rsidP="009A1C1B">
      <w:pPr>
        <w:ind w:firstLine="31680"/>
        <w:rPr>
          <w:rFonts w:hint="eastAsia"/>
          <w:bCs/>
          <w:color w:val="000000"/>
        </w:rPr>
      </w:pPr>
      <w:r>
        <w:rPr>
          <w:rFonts w:hint="eastAsia"/>
          <w:bCs/>
          <w:color w:val="000000"/>
        </w:rPr>
        <w:t>大多数地区还饲养了各种牲畜。鸡、猪和羊的饲养甚至在城市地区也很普遍。在各种具有文化色彩的活动中（例如在婚礼和丧葬中），牛扮演着重要的角色，因此大多数地区都饲养牛，但只有包考饲养了很多羊。在东帝汶，小型马被广泛用于交通中，但饲养水牛的地区不多，因为它们每天需要在水中沐浴。</w:t>
      </w:r>
    </w:p>
    <w:p w:rsidR="00692915" w:rsidRDefault="00692915" w:rsidP="009A1C1B">
      <w:pPr>
        <w:pStyle w:val="BodyTextIndent"/>
        <w:ind w:firstLine="31680"/>
        <w:rPr>
          <w:rFonts w:hint="eastAsia"/>
          <w:color w:val="000000"/>
        </w:rPr>
      </w:pPr>
      <w:r>
        <w:rPr>
          <w:rFonts w:hint="eastAsia"/>
          <w:color w:val="000000"/>
        </w:rPr>
        <w:t>看管牲畜和收集饲料主要由妇女和儿童负责，但是有关的资产值却主要由男人控制。</w:t>
      </w:r>
    </w:p>
    <w:p w:rsidR="00692915" w:rsidRDefault="00692915">
      <w:pPr>
        <w:pStyle w:val="Heading5"/>
        <w:spacing w:line="336" w:lineRule="auto"/>
        <w:ind w:firstLineChars="0" w:firstLine="0"/>
        <w:rPr>
          <w:rFonts w:ascii="KaiTi_GB2312" w:eastAsia="KaiTi_GB2312" w:hint="eastAsia"/>
          <w:b w:val="0"/>
          <w:bCs/>
          <w:i w:val="0"/>
          <w:iCs/>
          <w:color w:val="000000"/>
          <w:lang w:eastAsia="zh-CN"/>
        </w:rPr>
      </w:pPr>
      <w:bookmarkStart w:id="145" w:name="_Toc150587725"/>
      <w:bookmarkStart w:id="146" w:name="_Toc150589428"/>
      <w:bookmarkStart w:id="147" w:name="_Toc150684991"/>
      <w:bookmarkEnd w:id="145"/>
      <w:bookmarkEnd w:id="146"/>
      <w:bookmarkEnd w:id="147"/>
      <w:r>
        <w:rPr>
          <w:rFonts w:ascii="KaiTi_GB2312" w:eastAsia="KaiTi_GB2312" w:hint="eastAsia"/>
          <w:b w:val="0"/>
          <w:bCs/>
          <w:i w:val="0"/>
          <w:iCs/>
          <w:color w:val="000000"/>
          <w:lang w:eastAsia="zh-CN"/>
        </w:rPr>
        <w:t>根据母语划分的人口语言</w:t>
      </w:r>
    </w:p>
    <w:p w:rsidR="00692915" w:rsidRDefault="00692915" w:rsidP="009A1C1B">
      <w:pPr>
        <w:ind w:firstLine="31680"/>
        <w:rPr>
          <w:rFonts w:hint="eastAsia"/>
          <w:bCs/>
          <w:color w:val="000000"/>
        </w:rPr>
      </w:pPr>
      <w:r>
        <w:rPr>
          <w:rFonts w:hint="eastAsia"/>
          <w:bCs/>
          <w:color w:val="000000"/>
        </w:rPr>
        <w:t>表</w:t>
      </w:r>
      <w:r>
        <w:rPr>
          <w:rFonts w:hint="eastAsia"/>
          <w:bCs/>
          <w:color w:val="000000"/>
        </w:rPr>
        <w:t>3</w:t>
      </w:r>
      <w:r>
        <w:rPr>
          <w:rFonts w:hint="eastAsia"/>
          <w:bCs/>
          <w:color w:val="000000"/>
        </w:rPr>
        <w:t>为各种口语，只包括那些至少有</w:t>
      </w:r>
      <w:r>
        <w:rPr>
          <w:rFonts w:hint="eastAsia"/>
          <w:bCs/>
          <w:color w:val="000000"/>
        </w:rPr>
        <w:t>1 000</w:t>
      </w:r>
      <w:r>
        <w:rPr>
          <w:rFonts w:hint="eastAsia"/>
          <w:bCs/>
          <w:color w:val="000000"/>
        </w:rPr>
        <w:t>人使用的第一语言。那些不能满足这种条件的第一语言（包括英语、葡萄牙语、马来西亚语、汉语和其他语言）没有纳入该图中。</w:t>
      </w:r>
      <w:r>
        <w:rPr>
          <w:rFonts w:hint="eastAsia"/>
          <w:bCs/>
          <w:color w:val="000000"/>
        </w:rPr>
        <w:t xml:space="preserve"> </w:t>
      </w:r>
    </w:p>
    <w:p w:rsidR="00692915" w:rsidRDefault="00692915" w:rsidP="009A1C1B">
      <w:pPr>
        <w:pStyle w:val="BodyText3"/>
        <w:spacing w:line="336" w:lineRule="auto"/>
        <w:ind w:firstLine="31680"/>
        <w:rPr>
          <w:rFonts w:hint="eastAsia"/>
          <w:color w:val="000000"/>
          <w:lang w:eastAsia="zh-CN"/>
        </w:rPr>
      </w:pPr>
      <w:r>
        <w:rPr>
          <w:rFonts w:hint="eastAsia"/>
          <w:color w:val="000000"/>
          <w:lang w:eastAsia="zh-CN"/>
        </w:rPr>
        <w:t>另外，没有列入该图中的还有</w:t>
      </w:r>
      <w:r>
        <w:rPr>
          <w:rFonts w:hint="eastAsia"/>
          <w:color w:val="000000"/>
          <w:lang w:eastAsia="zh-CN"/>
        </w:rPr>
        <w:t>6</w:t>
      </w:r>
      <w:r>
        <w:rPr>
          <w:rFonts w:hint="eastAsia"/>
          <w:color w:val="000000"/>
          <w:lang w:eastAsia="zh-CN"/>
        </w:rPr>
        <w:t>种土著语言：阿达伯语（</w:t>
      </w:r>
      <w:r>
        <w:rPr>
          <w:color w:val="000000"/>
          <w:lang w:eastAsia="zh-CN"/>
        </w:rPr>
        <w:t>Adabe</w:t>
      </w:r>
      <w:r>
        <w:rPr>
          <w:rFonts w:hint="eastAsia"/>
          <w:color w:val="000000"/>
          <w:lang w:eastAsia="zh-CN"/>
        </w:rPr>
        <w:t>）、阿陶兰语（</w:t>
      </w:r>
      <w:r>
        <w:rPr>
          <w:color w:val="000000"/>
          <w:lang w:eastAsia="zh-CN"/>
        </w:rPr>
        <w:t>Atauran</w:t>
      </w:r>
      <w:r>
        <w:rPr>
          <w:rFonts w:hint="eastAsia"/>
          <w:color w:val="000000"/>
          <w:lang w:eastAsia="zh-CN"/>
        </w:rPr>
        <w:t>）、哈本语（</w:t>
      </w:r>
      <w:r>
        <w:rPr>
          <w:color w:val="000000"/>
          <w:lang w:eastAsia="zh-CN"/>
        </w:rPr>
        <w:t>Habun</w:t>
      </w:r>
      <w:r>
        <w:rPr>
          <w:rFonts w:hint="eastAsia"/>
          <w:color w:val="000000"/>
          <w:lang w:eastAsia="zh-CN"/>
        </w:rPr>
        <w:t>）、伊斯尼语（</w:t>
      </w:r>
      <w:r>
        <w:rPr>
          <w:color w:val="000000"/>
          <w:lang w:eastAsia="zh-CN"/>
        </w:rPr>
        <w:t>Isni</w:t>
      </w:r>
      <w:r>
        <w:rPr>
          <w:rFonts w:hint="eastAsia"/>
          <w:color w:val="000000"/>
          <w:lang w:eastAsia="zh-CN"/>
        </w:rPr>
        <w:t>）、马库纳语（</w:t>
      </w:r>
      <w:r>
        <w:rPr>
          <w:color w:val="000000"/>
          <w:lang w:eastAsia="zh-CN"/>
        </w:rPr>
        <w:t>Makuna</w:t>
      </w:r>
      <w:r>
        <w:rPr>
          <w:rFonts w:hint="eastAsia"/>
          <w:color w:val="000000"/>
          <w:lang w:eastAsia="zh-CN"/>
        </w:rPr>
        <w:t>）和纳乃克语（</w:t>
      </w:r>
      <w:r>
        <w:rPr>
          <w:color w:val="000000"/>
          <w:lang w:eastAsia="zh-CN"/>
        </w:rPr>
        <w:t>Nanaek</w:t>
      </w:r>
      <w:r>
        <w:rPr>
          <w:rFonts w:hint="eastAsia"/>
          <w:color w:val="000000"/>
          <w:lang w:eastAsia="zh-CN"/>
        </w:rPr>
        <w:t>）。说哈本语的人数不足</w:t>
      </w:r>
      <w:r>
        <w:rPr>
          <w:rFonts w:hint="eastAsia"/>
          <w:color w:val="000000"/>
          <w:lang w:eastAsia="zh-CN"/>
        </w:rPr>
        <w:t>20</w:t>
      </w:r>
      <w:r>
        <w:rPr>
          <w:rFonts w:hint="eastAsia"/>
          <w:color w:val="000000"/>
          <w:lang w:eastAsia="zh-CN"/>
        </w:rPr>
        <w:t>人。</w:t>
      </w:r>
    </w:p>
    <w:p w:rsidR="00692915" w:rsidRDefault="00692915">
      <w:pPr>
        <w:pStyle w:val="Heading2"/>
        <w:rPr>
          <w:noProof/>
          <w:color w:val="000000"/>
          <w:sz w:val="24"/>
        </w:rPr>
      </w:pPr>
      <w:r>
        <w:rPr>
          <w:rFonts w:hint="eastAsia"/>
          <w:color w:val="000000"/>
          <w:sz w:val="24"/>
        </w:rPr>
        <w:t>图</w:t>
      </w:r>
      <w:r>
        <w:rPr>
          <w:noProof/>
          <w:color w:val="000000"/>
          <w:sz w:val="24"/>
        </w:rPr>
        <w:t>3</w:t>
      </w:r>
    </w:p>
    <w:p w:rsidR="00692915" w:rsidRDefault="00692915">
      <w:pPr>
        <w:pStyle w:val="Heading2"/>
        <w:rPr>
          <w:rFonts w:hint="eastAsia"/>
          <w:color w:val="000000"/>
          <w:sz w:val="24"/>
        </w:rPr>
      </w:pPr>
      <w:r>
        <w:rPr>
          <w:noProof/>
          <w:snapToGrid/>
          <w:color w:val="000000"/>
          <w:sz w:val="24"/>
        </w:rPr>
        <w:pict>
          <v:group id="_x0000_s2440" style="position:absolute;left:0;text-align:left;margin-left:18pt;margin-top:26.75pt;width:404.5pt;height:369.8pt;z-index:1" coordorigin="2061,3196" coordsize="8090,7396">
            <v:shape id="_x0000_s2050" type="#_x0000_t75" style="position:absolute;left:2061;top:3196;width:8014;height:7270" o:preferrelative="f" o:regroupid="26">
              <v:fill o:detectmouseclick="t"/>
              <v:path o:extrusionok="t" o:connecttype="none"/>
              <o:lock v:ext="edit" text="t"/>
            </v:shape>
            <v:shape id="_x0000_s2051" type="#_x0000_t75" style="position:absolute;left:2132;top:3196;width:7943;height:7270" o:regroupid="26">
              <v:imagedata r:id="rId12" o:title=""/>
            </v:shape>
            <v:rect id="_x0000_s2052" style="position:absolute;left:2132;top:3196;width:7943;height:7270" o:regroupid="26" filled="f" strokeweight="1.45pt"/>
            <v:shape id="_x0000_s2053" type="#_x0000_t75" style="position:absolute;left:3432;top:3776;width:6201;height:6471" o:regroupid="26">
              <v:imagedata r:id="rId13" o:title=""/>
            </v:shape>
            <v:rect id="_x0000_s2054" style="position:absolute;left:3432;top:3776;width:6201;height:6471" o:regroupid="26" filled="f" stroked="f"/>
            <v:line id="_x0000_s2055" style="position:absolute" from="4318,3776" to="4319,10247" o:regroupid="26" strokeweight="0"/>
            <v:line id="_x0000_s2056" style="position:absolute" from="5204,3776" to="5205,10247" o:regroupid="26" strokeweight="0"/>
            <v:line id="_x0000_s2057" style="position:absolute" from="6090,3776" to="6091,10247" o:regroupid="26" strokeweight="0"/>
            <v:line id="_x0000_s2058" style="position:absolute" from="6975,3776" to="6976,10247" o:regroupid="26" strokeweight="0"/>
            <v:line id="_x0000_s2059" style="position:absolute" from="7861,3776" to="7862,10247" o:regroupid="26" strokeweight="0"/>
            <v:line id="_x0000_s2060" style="position:absolute" from="8747,3776" to="8748,10247" o:regroupid="26" strokeweight="0"/>
            <v:line id="_x0000_s2061" style="position:absolute" from="9633,3776" to="9634,10247" o:regroupid="26" strokeweight="0"/>
            <v:rect id="_x0000_s2062" style="position:absolute;left:3432;top:3776;width:6201;height:6471" o:regroupid="26" filled="f" strokeweight="0"/>
            <v:rect id="_x0000_s2063" style="position:absolute;left:3432;top:10039;width:5901;height:175" o:regroupid="26" stroked="f"/>
            <v:rect id="_x0000_s2064" style="position:absolute;left:3432;top:10039;width:5901;height:175" o:regroupid="26" filled="f" strokeweight=".7pt"/>
            <v:rect id="_x0000_s2065" style="position:absolute;left:3432;top:9798;width:5829;height:176" o:regroupid="26" stroked="f"/>
            <v:rect id="_x0000_s2066" style="position:absolute;left:3432;top:9798;width:5829;height:176" o:regroupid="26" filled="f" strokeweight=".7pt"/>
            <v:rect id="_x0000_s2067" style="position:absolute;left:3432;top:9558;width:3986;height:175" o:regroupid="26" stroked="f"/>
            <v:rect id="_x0000_s2068" style="position:absolute;left:3432;top:9558;width:3986;height:175" o:regroupid="26" filled="f" strokeweight=".7pt"/>
            <v:rect id="_x0000_s2069" style="position:absolute;left:3432;top:9317;width:2258;height:175" o:regroupid="26" stroked="f"/>
            <v:rect id="_x0000_s2070" style="position:absolute;left:3432;top:9317;width:2258;height:175" o:regroupid="26" filled="f" strokeweight=".7pt"/>
            <v:rect id="_x0000_s2071" style="position:absolute;left:3432;top:9087;width:2243;height:164" o:regroupid="26" stroked="f"/>
            <v:rect id="_x0000_s2072" style="position:absolute;left:3432;top:9087;width:2243;height:164" o:regroupid="26" filled="f" strokeweight=".7pt"/>
            <v:rect id="_x0000_s2073" style="position:absolute;left:3432;top:8846;width:2029;height:175" o:regroupid="26" stroked="f"/>
            <v:rect id="_x0000_s2074" style="position:absolute;left:3432;top:8846;width:2029;height:175" o:regroupid="26" filled="f" strokeweight=".7pt"/>
            <v:rect id="_x0000_s2075" style="position:absolute;left:3432;top:8605;width:2015;height:175" o:regroupid="26" stroked="f"/>
            <v:rect id="_x0000_s2076" style="position:absolute;left:3432;top:8605;width:2015;height:175" o:regroupid="26" filled="f" strokeweight=".7pt"/>
            <v:rect id="_x0000_s2077" style="position:absolute;left:3432;top:8364;width:1415;height:175" o:regroupid="26" stroked="f"/>
            <v:rect id="_x0000_s2078" style="position:absolute;left:3432;top:8364;width:1415;height:175" o:regroupid="26" filled="f" strokeweight=".7pt"/>
            <v:rect id="_x0000_s2079" style="position:absolute;left:3432;top:8123;width:1286;height:175" o:regroupid="26" stroked="f"/>
            <v:rect id="_x0000_s2080" style="position:absolute;left:3432;top:8123;width:1286;height:175" o:regroupid="26" filled="f" strokeweight=".7pt"/>
            <v:rect id="_x0000_s2081" style="position:absolute;left:3432;top:7882;width:1258;height:175" o:regroupid="26" stroked="f"/>
            <v:rect id="_x0000_s2082" style="position:absolute;left:3432;top:7882;width:1258;height:175" o:regroupid="26" filled="f" strokeweight=".7pt"/>
            <v:rect id="_x0000_s2083" style="position:absolute;left:3432;top:7641;width:772;height:175" o:regroupid="26" stroked="f"/>
            <v:rect id="_x0000_s2084" style="position:absolute;left:3432;top:7641;width:772;height:175" o:regroupid="26" filled="f" strokeweight=".7pt"/>
            <v:rect id="_x0000_s2085" style="position:absolute;left:3432;top:7400;width:643;height:176" o:regroupid="26" stroked="f"/>
            <v:rect id="_x0000_s2086" style="position:absolute;left:3432;top:7400;width:643;height:176" o:regroupid="26" filled="f" strokeweight=".7pt"/>
            <v:rect id="_x0000_s2087" style="position:absolute;left:3432;top:7160;width:500;height:175" o:regroupid="26" stroked="f"/>
            <v:rect id="_x0000_s2088" style="position:absolute;left:3432;top:7160;width:500;height:175" o:regroupid="26" filled="f" strokeweight=".7pt"/>
            <v:rect id="_x0000_s2089" style="position:absolute;left:3432;top:6930;width:486;height:164" o:regroupid="26" stroked="f"/>
            <v:rect id="_x0000_s2090" style="position:absolute;left:3432;top:6930;width:486;height:164" o:regroupid="26" filled="f" strokeweight=".7pt"/>
            <v:rect id="_x0000_s2091" style="position:absolute;left:3432;top:6689;width:429;height:175" o:regroupid="26" stroked="f"/>
            <v:rect id="_x0000_s2092" style="position:absolute;left:3432;top:6689;width:429;height:175" o:regroupid="26" filled="f" strokeweight=".7pt"/>
            <v:rect id="_x0000_s2093" style="position:absolute;left:3432;top:6448;width:415;height:175" o:regroupid="26" stroked="f"/>
            <v:rect id="_x0000_s2094" style="position:absolute;left:3432;top:6448;width:415;height:175" o:regroupid="26" filled="f" strokeweight=".7pt"/>
            <v:rect id="_x0000_s2095" style="position:absolute;left:3432;top:6207;width:272;height:175" o:regroupid="26" stroked="f"/>
            <v:rect id="_x0000_s2096" style="position:absolute;left:3432;top:6207;width:272;height:175" o:regroupid="26" filled="f" strokeweight=".7pt"/>
            <v:rect id="_x0000_s2097" style="position:absolute;left:3432;top:5966;width:186;height:175" o:regroupid="26" stroked="f"/>
            <v:rect id="_x0000_s2098" style="position:absolute;left:3432;top:5966;width:186;height:175" o:regroupid="26" filled="f" strokeweight=".7pt"/>
            <v:rect id="_x0000_s2099" style="position:absolute;left:3432;top:5725;width:143;height:175" o:regroupid="26" stroked="f"/>
            <v:rect id="_x0000_s2100" style="position:absolute;left:3432;top:5725;width:143;height:175" o:regroupid="26" filled="f" strokeweight=".7pt"/>
            <v:rect id="_x0000_s2101" style="position:absolute;left:3432;top:5484;width:129;height:175" o:regroupid="26" stroked="f"/>
            <v:rect id="_x0000_s2102" style="position:absolute;left:3432;top:5484;width:129;height:175" o:regroupid="26" filled="f" strokeweight=".7pt"/>
            <v:rect id="_x0000_s2103" style="position:absolute;left:3432;top:5243;width:100;height:175" o:regroupid="26" stroked="f"/>
            <v:rect id="_x0000_s2104" style="position:absolute;left:3432;top:5243;width:100;height:175" o:regroupid="26" filled="f" strokeweight=".7pt"/>
            <v:rect id="_x0000_s2105" style="position:absolute;left:3432;top:5002;width:86;height:176" o:regroupid="26" stroked="f"/>
            <v:rect id="_x0000_s2106" style="position:absolute;left:3432;top:5002;width:86;height:176" o:regroupid="26" filled="f" strokeweight=".7pt"/>
            <v:rect id="_x0000_s2107" style="position:absolute;left:3432;top:4772;width:86;height:165" o:regroupid="26" stroked="f"/>
            <v:rect id="_x0000_s2108" style="position:absolute;left:3432;top:4772;width:86;height:165" o:regroupid="26" filled="f" strokeweight=".7pt"/>
            <v:rect id="_x0000_s2109" style="position:absolute;left:3432;top:4532;width:72;height:175" o:regroupid="26" stroked="f"/>
            <v:rect id="_x0000_s2110" style="position:absolute;left:3432;top:4532;width:72;height:175" o:regroupid="26" filled="f" strokeweight=".7pt"/>
            <v:rect id="_x0000_s2111" style="position:absolute;left:3432;top:4291;width:72;height:175" o:regroupid="26" stroked="f"/>
            <v:rect id="_x0000_s2112" style="position:absolute;left:3432;top:4291;width:72;height:175" o:regroupid="26" filled="f" strokeweight=".7pt"/>
            <v:rect id="_x0000_s2113" style="position:absolute;left:3432;top:4050;width:58;height:175" o:regroupid="26" stroked="f"/>
            <v:rect id="_x0000_s2114" style="position:absolute;left:3432;top:4050;width:58;height:175" o:regroupid="26" filled="f" strokeweight=".7pt"/>
            <v:rect id="_x0000_s2115" style="position:absolute;left:3432;top:3809;width:43;height:175" o:regroupid="26" stroked="f"/>
            <v:rect id="_x0000_s2116" style="position:absolute;left:3432;top:3809;width:43;height:175" o:regroupid="26" filled="f" strokeweight=".7pt"/>
            <v:line id="_x0000_s2117" style="position:absolute" from="3432,10247" to="9633,10248" o:regroupid="26" strokeweight="0"/>
            <v:line id="_x0000_s2118" style="position:absolute;flip:y" from="3432,10247" to="3433,10280" o:regroupid="26" strokeweight="0"/>
            <v:line id="_x0000_s2119" style="position:absolute;flip:y" from="4318,10247" to="4319,10280" o:regroupid="26" strokeweight="0"/>
            <v:line id="_x0000_s2120" style="position:absolute;flip:y" from="5204,10247" to="5205,10280" o:regroupid="26" strokeweight="0"/>
            <v:line id="_x0000_s2121" style="position:absolute;flip:y" from="6090,10247" to="6091,10280" o:regroupid="26" strokeweight="0"/>
            <v:line id="_x0000_s2122" style="position:absolute;flip:y" from="6975,10247" to="6976,10280" o:regroupid="26" strokeweight="0"/>
            <v:line id="_x0000_s2123" style="position:absolute;flip:y" from="7861,10247" to="7862,10280" o:regroupid="26" strokeweight="0"/>
            <v:line id="_x0000_s2124" style="position:absolute;flip:y" from="8747,10247" to="8748,10280" o:regroupid="26" strokeweight="0"/>
            <v:line id="_x0000_s2125" style="position:absolute;flip:y" from="9633,10247" to="9634,10280" o:regroupid="26" strokeweight="0"/>
            <v:line id="_x0000_s2126" style="position:absolute" from="3432,3776" to="3433,10247" o:regroupid="26" strokeweight="0"/>
            <v:line id="_x0000_s2127" style="position:absolute" from="3390,10247" to="3432,10248" o:regroupid="26" strokeweight="0"/>
            <v:line id="_x0000_s2128" style="position:absolute" from="3390,10006" to="3432,10007" o:regroupid="26" strokeweight="0"/>
            <v:line id="_x0000_s2129" style="position:absolute" from="3390,9766" to="3432,9767" o:regroupid="26" strokeweight="0"/>
            <v:line id="_x0000_s2130" style="position:absolute" from="3390,9525" to="3432,9526" o:regroupid="26" strokeweight="0"/>
            <v:line id="_x0000_s2131" style="position:absolute" from="3390,9284" to="3432,9285" o:regroupid="26" strokeweight="0"/>
            <v:line id="_x0000_s2132" style="position:absolute" from="3390,9054" to="3432,9055" o:regroupid="26" strokeweight="0"/>
            <v:line id="_x0000_s2133" style="position:absolute" from="3390,8813" to="3432,8814" o:regroupid="26" strokeweight="0"/>
            <v:line id="_x0000_s2134" style="position:absolute" from="3390,8572" to="3432,8573" o:regroupid="26" strokeweight="0"/>
            <v:line id="_x0000_s2135" style="position:absolute" from="3390,8331" to="3432,8332" o:regroupid="26" strokeweight="0"/>
            <v:line id="_x0000_s2136" style="position:absolute" from="3390,8090" to="3432,8091" o:regroupid="26" strokeweight="0"/>
            <v:line id="_x0000_s2137" style="position:absolute" from="3390,7849" to="3432,7850" o:regroupid="26" strokeweight="0"/>
            <v:line id="_x0000_s2138" style="position:absolute" from="3390,7608" to="3432,7609" o:regroupid="26" strokeweight="0"/>
            <v:line id="_x0000_s2139" style="position:absolute" from="3390,7368" to="3432,7369" o:regroupid="26" strokeweight="0"/>
            <v:line id="_x0000_s2140" style="position:absolute" from="3390,7127" to="3432,7128" o:regroupid="26" strokeweight="0"/>
            <v:line id="_x0000_s2141" style="position:absolute" from="3390,6897" to="3432,6898" o:regroupid="26" strokeweight="0"/>
            <v:line id="_x0000_s2142" style="position:absolute" from="3390,6656" to="3432,6657" o:regroupid="26" strokeweight="0"/>
            <v:line id="_x0000_s2143" style="position:absolute" from="3390,6415" to="3432,6416" o:regroupid="26" strokeweight="0"/>
            <v:line id="_x0000_s2144" style="position:absolute" from="3390,6174" to="3432,6175" o:regroupid="26" strokeweight="0"/>
            <v:line id="_x0000_s2145" style="position:absolute" from="3390,5933" to="3432,5934" o:regroupid="26" strokeweight="0"/>
            <v:line id="_x0000_s2146" style="position:absolute" from="3390,5692" to="3432,5693" o:regroupid="26" strokeweight="0"/>
            <v:line id="_x0000_s2147" style="position:absolute" from="3390,5451" to="3432,5452" o:regroupid="26" strokeweight="0"/>
            <v:line id="_x0000_s2148" style="position:absolute" from="3390,5210" to="3432,5211" o:regroupid="26" strokeweight="0"/>
            <v:line id="_x0000_s2149" style="position:absolute" from="3390,4970" to="3432,4971" o:regroupid="26" strokeweight="0"/>
            <v:line id="_x0000_s2150" style="position:absolute" from="3390,4740" to="3432,4741" o:regroupid="26" strokeweight="0"/>
            <v:line id="_x0000_s2151" style="position:absolute" from="3390,4499" to="3432,4500" o:regroupid="26" strokeweight="0"/>
            <v:line id="_x0000_s2152" style="position:absolute" from="3390,4258" to="3432,4259" o:regroupid="26" strokeweight="0"/>
            <v:line id="_x0000_s2153" style="position:absolute" from="3390,4017" to="3432,4018" o:regroupid="26" strokeweight="0"/>
            <v:line id="_x0000_s2154" style="position:absolute" from="3390,3776" to="3432,3777" o:regroupid="26" strokeweight="0"/>
            <v:rect id="_x0000_s2155" style="position:absolute;left:3651;top:3353;width:4810;height:180" o:regroupid="26" filled="f" stroked="f">
              <v:textbox style="mso-next-textbox:#_x0000_s2155" inset="0,0,0,0">
                <w:txbxContent>
                  <w:p w:rsidR="00692915" w:rsidRDefault="00692915">
                    <w:pPr>
                      <w:spacing w:line="180" w:lineRule="exact"/>
                      <w:ind w:firstLineChars="0" w:firstLine="0"/>
                      <w:jc w:val="center"/>
                      <w:rPr>
                        <w:rFonts w:ascii="SimHei" w:eastAsia="SimHei"/>
                        <w:sz w:val="18"/>
                      </w:rPr>
                    </w:pPr>
                    <w:r>
                      <w:rPr>
                        <w:rFonts w:ascii="SimHei" w:eastAsia="SimHei" w:hAnsi="Arial" w:cs="Arial" w:hint="eastAsia"/>
                        <w:color w:val="000000"/>
                        <w:sz w:val="18"/>
                        <w:szCs w:val="16"/>
                      </w:rPr>
                      <w:t xml:space="preserve">   </w:t>
                    </w:r>
                    <w:r>
                      <w:rPr>
                        <w:rFonts w:ascii="SimHei" w:eastAsia="SimHei" w:hAnsi="Arial" w:cs="Arial"/>
                        <w:color w:val="000000"/>
                        <w:sz w:val="18"/>
                        <w:szCs w:val="16"/>
                      </w:rPr>
                      <w:t>2004</w:t>
                    </w:r>
                    <w:r>
                      <w:rPr>
                        <w:rFonts w:ascii="SimHei" w:eastAsia="SimHei" w:hAnsi="Arial" w:cs="Arial" w:hint="eastAsia"/>
                        <w:color w:val="000000"/>
                        <w:sz w:val="18"/>
                        <w:szCs w:val="16"/>
                      </w:rPr>
                      <w:t>年至少有1 000人使用的35种第一语言</w:t>
                    </w:r>
                  </w:p>
                </w:txbxContent>
              </v:textbox>
            </v:rect>
            <v:rect id="_x0000_s2156" style="position:absolute;left:9390;top:10050;width:761;height:276" o:regroupid="26" filled="f" stroked="f">
              <v:textbox style="mso-next-textbox:#_x0000_s2156" inset="0,0,0,0">
                <w:txbxContent>
                  <w:p w:rsidR="00692915" w:rsidRDefault="00692915">
                    <w:pPr>
                      <w:spacing w:line="180" w:lineRule="exact"/>
                      <w:ind w:firstLineChars="0" w:firstLine="0"/>
                    </w:pPr>
                    <w:r>
                      <w:rPr>
                        <w:rFonts w:ascii="Arial" w:hAnsi="Arial" w:cs="Arial"/>
                        <w:b/>
                        <w:bCs/>
                        <w:color w:val="000000"/>
                        <w:sz w:val="12"/>
                        <w:szCs w:val="12"/>
                      </w:rPr>
                      <w:t>133</w:t>
                    </w:r>
                    <w:r>
                      <w:rPr>
                        <w:rFonts w:ascii="Arial" w:hAnsi="Arial" w:cs="Arial" w:hint="eastAsia"/>
                        <w:b/>
                        <w:bCs/>
                        <w:color w:val="000000"/>
                        <w:sz w:val="12"/>
                        <w:szCs w:val="12"/>
                      </w:rPr>
                      <w:t xml:space="preserve"> </w:t>
                    </w:r>
                    <w:r>
                      <w:rPr>
                        <w:rFonts w:ascii="Arial" w:hAnsi="Arial" w:cs="Arial"/>
                        <w:b/>
                        <w:bCs/>
                        <w:color w:val="000000"/>
                        <w:sz w:val="12"/>
                        <w:szCs w:val="12"/>
                      </w:rPr>
                      <w:t>102</w:t>
                    </w:r>
                  </w:p>
                </w:txbxContent>
              </v:textbox>
            </v:rect>
            <v:rect id="_x0000_s2157" style="position:absolute;left:9318;top:9809;width:703;height:276" o:regroupid="26" filled="f" stroked="f">
              <v:textbox style="mso-next-textbox:#_x0000_s2157" inset="0,0,0,0">
                <w:txbxContent>
                  <w:p w:rsidR="00692915" w:rsidRDefault="00692915">
                    <w:pPr>
                      <w:spacing w:line="180" w:lineRule="exact"/>
                      <w:ind w:firstLineChars="0" w:firstLine="0"/>
                    </w:pPr>
                    <w:r>
                      <w:rPr>
                        <w:rFonts w:ascii="Arial" w:hAnsi="Arial" w:cs="Arial"/>
                        <w:b/>
                        <w:bCs/>
                        <w:color w:val="000000"/>
                        <w:sz w:val="12"/>
                        <w:szCs w:val="12"/>
                      </w:rPr>
                      <w:t>131</w:t>
                    </w:r>
                    <w:r>
                      <w:rPr>
                        <w:rFonts w:ascii="Arial" w:hAnsi="Arial" w:cs="Arial" w:hint="eastAsia"/>
                        <w:b/>
                        <w:bCs/>
                        <w:color w:val="000000"/>
                        <w:sz w:val="12"/>
                        <w:szCs w:val="12"/>
                      </w:rPr>
                      <w:t xml:space="preserve"> </w:t>
                    </w:r>
                    <w:r>
                      <w:rPr>
                        <w:rFonts w:ascii="Arial" w:hAnsi="Arial" w:cs="Arial"/>
                        <w:b/>
                        <w:bCs/>
                        <w:color w:val="000000"/>
                        <w:sz w:val="12"/>
                        <w:szCs w:val="12"/>
                      </w:rPr>
                      <w:t>472</w:t>
                    </w:r>
                  </w:p>
                </w:txbxContent>
              </v:textbox>
            </v:rect>
            <v:rect id="_x0000_s2158" style="position:absolute;left:7475;top:9568;width:596;height:276" o:regroupid="26" filled="f" stroked="f">
              <v:textbox style="mso-next-textbox:#_x0000_s2158" inset="0,0,0,0">
                <w:txbxContent>
                  <w:p w:rsidR="00692915" w:rsidRDefault="00692915">
                    <w:pPr>
                      <w:spacing w:line="180" w:lineRule="exact"/>
                      <w:ind w:firstLineChars="0" w:firstLine="0"/>
                    </w:pPr>
                    <w:r>
                      <w:rPr>
                        <w:rFonts w:ascii="Arial" w:hAnsi="Arial" w:cs="Arial"/>
                        <w:b/>
                        <w:bCs/>
                        <w:color w:val="000000"/>
                        <w:sz w:val="12"/>
                        <w:szCs w:val="12"/>
                      </w:rPr>
                      <w:t>90</w:t>
                    </w:r>
                    <w:r>
                      <w:rPr>
                        <w:rFonts w:ascii="Arial" w:hAnsi="Arial" w:cs="Arial" w:hint="eastAsia"/>
                        <w:b/>
                        <w:bCs/>
                        <w:color w:val="000000"/>
                        <w:sz w:val="12"/>
                        <w:szCs w:val="12"/>
                      </w:rPr>
                      <w:t xml:space="preserve"> </w:t>
                    </w:r>
                    <w:r>
                      <w:rPr>
                        <w:rFonts w:ascii="Arial" w:hAnsi="Arial" w:cs="Arial"/>
                        <w:b/>
                        <w:bCs/>
                        <w:color w:val="000000"/>
                        <w:sz w:val="12"/>
                        <w:szCs w:val="12"/>
                      </w:rPr>
                      <w:t>018</w:t>
                    </w:r>
                  </w:p>
                </w:txbxContent>
              </v:textbox>
            </v:rect>
            <v:rect id="_x0000_s2159" style="position:absolute;left:5747;top:9328;width:596;height:276" o:regroupid="26" filled="f" stroked="f">
              <v:textbox style="mso-next-textbox:#_x0000_s2159" inset="0,0,0,0">
                <w:txbxContent>
                  <w:p w:rsidR="00692915" w:rsidRDefault="00692915">
                    <w:pPr>
                      <w:spacing w:line="180" w:lineRule="exact"/>
                      <w:ind w:firstLineChars="0" w:firstLine="0"/>
                    </w:pPr>
                    <w:r>
                      <w:rPr>
                        <w:rFonts w:ascii="Arial" w:hAnsi="Arial" w:cs="Arial"/>
                        <w:b/>
                        <w:bCs/>
                        <w:color w:val="000000"/>
                        <w:sz w:val="12"/>
                        <w:szCs w:val="12"/>
                      </w:rPr>
                      <w:t>51</w:t>
                    </w:r>
                    <w:r>
                      <w:rPr>
                        <w:rFonts w:ascii="Arial" w:hAnsi="Arial" w:cs="Arial" w:hint="eastAsia"/>
                        <w:b/>
                        <w:bCs/>
                        <w:color w:val="000000"/>
                        <w:sz w:val="12"/>
                        <w:szCs w:val="12"/>
                      </w:rPr>
                      <w:t xml:space="preserve"> </w:t>
                    </w:r>
                    <w:r>
                      <w:rPr>
                        <w:rFonts w:ascii="Arial" w:hAnsi="Arial" w:cs="Arial"/>
                        <w:b/>
                        <w:bCs/>
                        <w:color w:val="000000"/>
                        <w:sz w:val="12"/>
                        <w:szCs w:val="12"/>
                      </w:rPr>
                      <w:t>057</w:t>
                    </w:r>
                  </w:p>
                </w:txbxContent>
              </v:textbox>
            </v:rect>
            <v:rect id="_x0000_s2160" style="position:absolute;left:5733;top:9087;width:596;height:276" o:regroupid="26" filled="f" stroked="f">
              <v:textbox style="mso-next-textbox:#_x0000_s2160" inset="0,0,0,0">
                <w:txbxContent>
                  <w:p w:rsidR="00692915" w:rsidRDefault="00692915">
                    <w:pPr>
                      <w:spacing w:line="180" w:lineRule="exact"/>
                      <w:ind w:firstLineChars="0" w:firstLine="0"/>
                    </w:pPr>
                    <w:r>
                      <w:rPr>
                        <w:rFonts w:ascii="Arial" w:hAnsi="Arial" w:cs="Arial"/>
                        <w:b/>
                        <w:bCs/>
                        <w:color w:val="000000"/>
                        <w:sz w:val="12"/>
                        <w:szCs w:val="12"/>
                      </w:rPr>
                      <w:t>50</w:t>
                    </w:r>
                    <w:r>
                      <w:rPr>
                        <w:rFonts w:ascii="Arial" w:hAnsi="Arial" w:cs="Arial" w:hint="eastAsia"/>
                        <w:b/>
                        <w:bCs/>
                        <w:color w:val="000000"/>
                        <w:sz w:val="12"/>
                        <w:szCs w:val="12"/>
                      </w:rPr>
                      <w:t xml:space="preserve"> </w:t>
                    </w:r>
                    <w:r>
                      <w:rPr>
                        <w:rFonts w:ascii="Arial" w:hAnsi="Arial" w:cs="Arial"/>
                        <w:b/>
                        <w:bCs/>
                        <w:color w:val="000000"/>
                        <w:sz w:val="12"/>
                        <w:szCs w:val="12"/>
                      </w:rPr>
                      <w:t>631</w:t>
                    </w:r>
                  </w:p>
                </w:txbxContent>
              </v:textbox>
            </v:rect>
            <v:rect id="_x0000_s2161" style="position:absolute;left:5518;top:8857;width:596;height:276" o:regroupid="26" filled="f" stroked="f">
              <v:textbox style="mso-next-textbox:#_x0000_s2161" inset="0,0,0,0">
                <w:txbxContent>
                  <w:p w:rsidR="00692915" w:rsidRDefault="00692915">
                    <w:pPr>
                      <w:spacing w:line="180" w:lineRule="exact"/>
                      <w:ind w:firstLineChars="0" w:firstLine="0"/>
                    </w:pPr>
                    <w:r>
                      <w:rPr>
                        <w:rFonts w:ascii="Arial" w:hAnsi="Arial" w:cs="Arial"/>
                        <w:b/>
                        <w:bCs/>
                        <w:color w:val="000000"/>
                        <w:sz w:val="12"/>
                        <w:szCs w:val="12"/>
                      </w:rPr>
                      <w:t>45</w:t>
                    </w:r>
                    <w:r>
                      <w:rPr>
                        <w:rFonts w:ascii="Arial" w:hAnsi="Arial" w:cs="Arial" w:hint="eastAsia"/>
                        <w:b/>
                        <w:bCs/>
                        <w:color w:val="000000"/>
                        <w:sz w:val="12"/>
                        <w:szCs w:val="12"/>
                      </w:rPr>
                      <w:t xml:space="preserve"> </w:t>
                    </w:r>
                    <w:r>
                      <w:rPr>
                        <w:rFonts w:ascii="Arial" w:hAnsi="Arial" w:cs="Arial"/>
                        <w:b/>
                        <w:bCs/>
                        <w:color w:val="000000"/>
                        <w:sz w:val="12"/>
                        <w:szCs w:val="12"/>
                      </w:rPr>
                      <w:t>944</w:t>
                    </w:r>
                  </w:p>
                </w:txbxContent>
              </v:textbox>
            </v:rect>
            <v:rect id="_x0000_s2162" style="position:absolute;left:5504;top:8616;width:596;height:276" o:regroupid="26" filled="f" stroked="f">
              <v:textbox style="mso-next-textbox:#_x0000_s2162" inset="0,0,0,0">
                <w:txbxContent>
                  <w:p w:rsidR="00692915" w:rsidRDefault="00692915">
                    <w:pPr>
                      <w:spacing w:line="180" w:lineRule="exact"/>
                      <w:ind w:firstLineChars="0" w:firstLine="0"/>
                    </w:pPr>
                    <w:r>
                      <w:rPr>
                        <w:rFonts w:ascii="Arial" w:hAnsi="Arial" w:cs="Arial"/>
                        <w:b/>
                        <w:bCs/>
                        <w:color w:val="000000"/>
                        <w:sz w:val="12"/>
                        <w:szCs w:val="12"/>
                      </w:rPr>
                      <w:t>45</w:t>
                    </w:r>
                    <w:r>
                      <w:rPr>
                        <w:rFonts w:ascii="Arial" w:hAnsi="Arial" w:cs="Arial" w:hint="eastAsia"/>
                        <w:b/>
                        <w:bCs/>
                        <w:color w:val="000000"/>
                        <w:sz w:val="12"/>
                        <w:szCs w:val="12"/>
                      </w:rPr>
                      <w:t xml:space="preserve"> </w:t>
                    </w:r>
                    <w:r>
                      <w:rPr>
                        <w:rFonts w:ascii="Arial" w:hAnsi="Arial" w:cs="Arial"/>
                        <w:b/>
                        <w:bCs/>
                        <w:color w:val="000000"/>
                        <w:sz w:val="12"/>
                        <w:szCs w:val="12"/>
                      </w:rPr>
                      <w:t>362</w:t>
                    </w:r>
                  </w:p>
                </w:txbxContent>
              </v:textbox>
            </v:rect>
            <v:rect id="_x0000_s2163" style="position:absolute;left:4904;top:8375;width:596;height:276" o:regroupid="26" filled="f" stroked="f">
              <v:textbox style="mso-next-textbox:#_x0000_s2163" inset="0,0,0,0">
                <w:txbxContent>
                  <w:p w:rsidR="00692915" w:rsidRDefault="00692915">
                    <w:pPr>
                      <w:spacing w:line="180" w:lineRule="exact"/>
                      <w:ind w:firstLineChars="0" w:firstLine="0"/>
                    </w:pPr>
                    <w:r>
                      <w:rPr>
                        <w:rFonts w:ascii="Arial" w:hAnsi="Arial" w:cs="Arial"/>
                        <w:b/>
                        <w:bCs/>
                        <w:color w:val="000000"/>
                        <w:sz w:val="12"/>
                        <w:szCs w:val="12"/>
                      </w:rPr>
                      <w:t>31</w:t>
                    </w:r>
                    <w:r>
                      <w:rPr>
                        <w:rFonts w:ascii="Arial" w:hAnsi="Arial" w:cs="Arial" w:hint="eastAsia"/>
                        <w:b/>
                        <w:bCs/>
                        <w:color w:val="000000"/>
                        <w:sz w:val="12"/>
                        <w:szCs w:val="12"/>
                      </w:rPr>
                      <w:t xml:space="preserve"> </w:t>
                    </w:r>
                    <w:r>
                      <w:rPr>
                        <w:rFonts w:ascii="Arial" w:hAnsi="Arial" w:cs="Arial"/>
                        <w:b/>
                        <w:bCs/>
                        <w:color w:val="000000"/>
                        <w:sz w:val="12"/>
                        <w:szCs w:val="12"/>
                      </w:rPr>
                      <w:t>814</w:t>
                    </w:r>
                  </w:p>
                </w:txbxContent>
              </v:textbox>
            </v:rect>
            <v:rect id="_x0000_s2164" style="position:absolute;left:4775;top:8134;width:596;height:276" o:regroupid="26" filled="f" stroked="f">
              <v:textbox style="mso-next-textbox:#_x0000_s2164" inset="0,0,0,0">
                <w:txbxContent>
                  <w:p w:rsidR="00692915" w:rsidRDefault="00692915">
                    <w:pPr>
                      <w:spacing w:line="180" w:lineRule="exact"/>
                      <w:ind w:firstLineChars="0" w:firstLine="0"/>
                    </w:pPr>
                    <w:r>
                      <w:rPr>
                        <w:rFonts w:ascii="Arial" w:hAnsi="Arial" w:cs="Arial"/>
                        <w:b/>
                        <w:bCs/>
                        <w:color w:val="000000"/>
                        <w:sz w:val="12"/>
                        <w:szCs w:val="12"/>
                      </w:rPr>
                      <w:t>28</w:t>
                    </w:r>
                    <w:r>
                      <w:rPr>
                        <w:rFonts w:ascii="Arial" w:hAnsi="Arial" w:cs="Arial" w:hint="eastAsia"/>
                        <w:b/>
                        <w:bCs/>
                        <w:color w:val="000000"/>
                        <w:sz w:val="12"/>
                        <w:szCs w:val="12"/>
                      </w:rPr>
                      <w:t xml:space="preserve"> </w:t>
                    </w:r>
                    <w:r>
                      <w:rPr>
                        <w:rFonts w:ascii="Arial" w:hAnsi="Arial" w:cs="Arial"/>
                        <w:b/>
                        <w:bCs/>
                        <w:color w:val="000000"/>
                        <w:sz w:val="12"/>
                        <w:szCs w:val="12"/>
                      </w:rPr>
                      <w:t>893</w:t>
                    </w:r>
                  </w:p>
                </w:txbxContent>
              </v:textbox>
            </v:rect>
            <v:rect id="_x0000_s2165" style="position:absolute;left:4747;top:7893;width:596;height:276" o:regroupid="26" filled="f" stroked="f">
              <v:textbox style="mso-next-textbox:#_x0000_s2165" inset="0,0,0,0">
                <w:txbxContent>
                  <w:p w:rsidR="00692915" w:rsidRDefault="00692915">
                    <w:pPr>
                      <w:spacing w:line="180" w:lineRule="exact"/>
                      <w:ind w:firstLineChars="0" w:firstLine="0"/>
                    </w:pPr>
                    <w:r>
                      <w:rPr>
                        <w:rFonts w:ascii="Arial" w:hAnsi="Arial" w:cs="Arial"/>
                        <w:b/>
                        <w:bCs/>
                        <w:color w:val="000000"/>
                        <w:sz w:val="12"/>
                        <w:szCs w:val="12"/>
                      </w:rPr>
                      <w:t>28</w:t>
                    </w:r>
                    <w:r>
                      <w:rPr>
                        <w:rFonts w:ascii="Arial" w:hAnsi="Arial" w:cs="Arial" w:hint="eastAsia"/>
                        <w:b/>
                        <w:bCs/>
                        <w:color w:val="000000"/>
                        <w:sz w:val="12"/>
                        <w:szCs w:val="12"/>
                      </w:rPr>
                      <w:t xml:space="preserve"> </w:t>
                    </w:r>
                    <w:r>
                      <w:rPr>
                        <w:rFonts w:ascii="Arial" w:hAnsi="Arial" w:cs="Arial"/>
                        <w:b/>
                        <w:bCs/>
                        <w:color w:val="000000"/>
                        <w:sz w:val="12"/>
                        <w:szCs w:val="12"/>
                      </w:rPr>
                      <w:t>235</w:t>
                    </w:r>
                  </w:p>
                </w:txbxContent>
              </v:textbox>
            </v:rect>
            <v:rect id="_x0000_s2166" style="position:absolute;left:4261;top:7652;width:596;height:276" o:regroupid="26" filled="f" stroked="f">
              <v:textbox style="mso-next-textbox:#_x0000_s2166" inset="0,0,0,0">
                <w:txbxContent>
                  <w:p w:rsidR="00692915" w:rsidRDefault="00692915">
                    <w:pPr>
                      <w:spacing w:line="180" w:lineRule="exact"/>
                      <w:ind w:firstLineChars="0" w:firstLine="0"/>
                    </w:pPr>
                    <w:r>
                      <w:rPr>
                        <w:rFonts w:ascii="Arial" w:hAnsi="Arial" w:cs="Arial"/>
                        <w:b/>
                        <w:bCs/>
                        <w:color w:val="000000"/>
                        <w:sz w:val="12"/>
                        <w:szCs w:val="12"/>
                      </w:rPr>
                      <w:t>17</w:t>
                    </w:r>
                    <w:r>
                      <w:rPr>
                        <w:rFonts w:ascii="Arial" w:hAnsi="Arial" w:cs="Arial" w:hint="eastAsia"/>
                        <w:b/>
                        <w:bCs/>
                        <w:color w:val="000000"/>
                        <w:sz w:val="12"/>
                        <w:szCs w:val="12"/>
                      </w:rPr>
                      <w:t xml:space="preserve"> </w:t>
                    </w:r>
                    <w:r>
                      <w:rPr>
                        <w:rFonts w:ascii="Arial" w:hAnsi="Arial" w:cs="Arial"/>
                        <w:b/>
                        <w:bCs/>
                        <w:color w:val="000000"/>
                        <w:sz w:val="12"/>
                        <w:szCs w:val="12"/>
                      </w:rPr>
                      <w:t>470</w:t>
                    </w:r>
                  </w:p>
                </w:txbxContent>
              </v:textbox>
            </v:rect>
            <v:rect id="_x0000_s2167" style="position:absolute;left:4132;top:7411;width:596;height:276" o:regroupid="26" filled="f" stroked="f">
              <v:textbox style="mso-next-textbox:#_x0000_s2167" inset="0,0,0,0">
                <w:txbxContent>
                  <w:p w:rsidR="00692915" w:rsidRDefault="00692915">
                    <w:pPr>
                      <w:spacing w:line="180" w:lineRule="exact"/>
                      <w:ind w:firstLineChars="0" w:firstLine="0"/>
                    </w:pPr>
                    <w:r>
                      <w:rPr>
                        <w:rFonts w:ascii="Arial" w:hAnsi="Arial" w:cs="Arial"/>
                        <w:b/>
                        <w:bCs/>
                        <w:color w:val="000000"/>
                        <w:sz w:val="12"/>
                        <w:szCs w:val="12"/>
                      </w:rPr>
                      <w:t>14</w:t>
                    </w:r>
                    <w:r>
                      <w:rPr>
                        <w:rFonts w:ascii="Arial" w:hAnsi="Arial" w:cs="Arial" w:hint="eastAsia"/>
                        <w:b/>
                        <w:bCs/>
                        <w:color w:val="000000"/>
                        <w:sz w:val="12"/>
                        <w:szCs w:val="12"/>
                      </w:rPr>
                      <w:t xml:space="preserve"> </w:t>
                    </w:r>
                    <w:r>
                      <w:rPr>
                        <w:rFonts w:ascii="Arial" w:hAnsi="Arial" w:cs="Arial"/>
                        <w:b/>
                        <w:bCs/>
                        <w:color w:val="000000"/>
                        <w:sz w:val="12"/>
                        <w:szCs w:val="12"/>
                      </w:rPr>
                      <w:t>506</w:t>
                    </w:r>
                  </w:p>
                </w:txbxContent>
              </v:textbox>
            </v:rect>
            <v:rect id="_x0000_s2168" style="position:absolute;left:3990;top:7170;width:604;height:276" o:regroupid="26" filled="f" stroked="f">
              <v:textbox style="mso-next-textbox:#_x0000_s2168" inset="0,0,0,0">
                <w:txbxContent>
                  <w:p w:rsidR="00692915" w:rsidRDefault="00692915">
                    <w:pPr>
                      <w:spacing w:line="180" w:lineRule="exact"/>
                      <w:ind w:firstLineChars="0" w:firstLine="0"/>
                    </w:pPr>
                    <w:r>
                      <w:rPr>
                        <w:rFonts w:ascii="Arial" w:hAnsi="Arial" w:cs="Arial"/>
                        <w:b/>
                        <w:bCs/>
                        <w:color w:val="000000"/>
                        <w:sz w:val="12"/>
                        <w:szCs w:val="12"/>
                      </w:rPr>
                      <w:t>11</w:t>
                    </w:r>
                    <w:r>
                      <w:rPr>
                        <w:rFonts w:ascii="Arial" w:hAnsi="Arial" w:cs="Arial" w:hint="eastAsia"/>
                        <w:b/>
                        <w:bCs/>
                        <w:color w:val="000000"/>
                        <w:sz w:val="12"/>
                        <w:szCs w:val="12"/>
                      </w:rPr>
                      <w:t xml:space="preserve"> </w:t>
                    </w:r>
                    <w:r>
                      <w:rPr>
                        <w:rFonts w:ascii="Arial" w:hAnsi="Arial" w:cs="Arial"/>
                        <w:b/>
                        <w:bCs/>
                        <w:color w:val="000000"/>
                        <w:sz w:val="12"/>
                        <w:szCs w:val="12"/>
                      </w:rPr>
                      <w:t>321</w:t>
                    </w:r>
                  </w:p>
                </w:txbxContent>
              </v:textbox>
            </v:rect>
            <v:rect id="_x0000_s2169" style="position:absolute;left:3975;top:6930;width:604;height:276" o:regroupid="26" filled="f" stroked="f">
              <v:textbox style="mso-next-textbox:#_x0000_s2169" inset="0,0,0,0">
                <w:txbxContent>
                  <w:p w:rsidR="00692915" w:rsidRDefault="00692915">
                    <w:pPr>
                      <w:spacing w:line="180" w:lineRule="exact"/>
                      <w:ind w:firstLineChars="0" w:firstLine="0"/>
                    </w:pPr>
                    <w:r>
                      <w:rPr>
                        <w:rFonts w:ascii="Arial" w:hAnsi="Arial" w:cs="Arial"/>
                        <w:b/>
                        <w:bCs/>
                        <w:color w:val="000000"/>
                        <w:sz w:val="12"/>
                        <w:szCs w:val="12"/>
                      </w:rPr>
                      <w:t>10</w:t>
                    </w:r>
                    <w:r>
                      <w:rPr>
                        <w:rFonts w:ascii="Arial" w:hAnsi="Arial" w:cs="Arial" w:hint="eastAsia"/>
                        <w:b/>
                        <w:bCs/>
                        <w:color w:val="000000"/>
                        <w:sz w:val="12"/>
                        <w:szCs w:val="12"/>
                      </w:rPr>
                      <w:t xml:space="preserve"> </w:t>
                    </w:r>
                    <w:r>
                      <w:rPr>
                        <w:rFonts w:ascii="Arial" w:hAnsi="Arial" w:cs="Arial"/>
                        <w:b/>
                        <w:bCs/>
                        <w:color w:val="000000"/>
                        <w:sz w:val="12"/>
                        <w:szCs w:val="12"/>
                      </w:rPr>
                      <w:t>998</w:t>
                    </w:r>
                  </w:p>
                </w:txbxContent>
              </v:textbox>
            </v:rect>
            <v:rect id="_x0000_s2170" style="position:absolute;left:3918;top:6700;width:494;height:276" o:regroupid="26" filled="f" stroked="f">
              <v:textbox style="mso-next-textbox:#_x0000_s2170" inset="0,0,0,0">
                <w:txbxContent>
                  <w:p w:rsidR="00692915" w:rsidRDefault="00692915">
                    <w:pPr>
                      <w:spacing w:line="180" w:lineRule="exact"/>
                      <w:ind w:firstLineChars="0" w:firstLine="0"/>
                    </w:pPr>
                    <w:r>
                      <w:rPr>
                        <w:rFonts w:ascii="Arial" w:hAnsi="Arial" w:cs="Arial"/>
                        <w:b/>
                        <w:bCs/>
                        <w:color w:val="000000"/>
                        <w:sz w:val="12"/>
                        <w:szCs w:val="12"/>
                      </w:rPr>
                      <w:t>9</w:t>
                    </w:r>
                    <w:r>
                      <w:rPr>
                        <w:rFonts w:ascii="Arial" w:hAnsi="Arial" w:cs="Arial" w:hint="eastAsia"/>
                        <w:b/>
                        <w:bCs/>
                        <w:color w:val="000000"/>
                        <w:sz w:val="12"/>
                        <w:szCs w:val="12"/>
                      </w:rPr>
                      <w:t xml:space="preserve"> </w:t>
                    </w:r>
                    <w:r>
                      <w:rPr>
                        <w:rFonts w:ascii="Arial" w:hAnsi="Arial" w:cs="Arial"/>
                        <w:b/>
                        <w:bCs/>
                        <w:color w:val="000000"/>
                        <w:sz w:val="12"/>
                        <w:szCs w:val="12"/>
                      </w:rPr>
                      <w:t>717</w:t>
                    </w:r>
                  </w:p>
                </w:txbxContent>
              </v:textbox>
            </v:rect>
            <v:rect id="_x0000_s2171" style="position:absolute;left:3904;top:6459;width:494;height:276" o:regroupid="26" filled="f" stroked="f">
              <v:textbox style="mso-next-textbox:#_x0000_s2171" inset="0,0,0,0">
                <w:txbxContent>
                  <w:p w:rsidR="00692915" w:rsidRDefault="00692915">
                    <w:pPr>
                      <w:spacing w:line="180" w:lineRule="exact"/>
                      <w:ind w:firstLineChars="0" w:firstLine="0"/>
                    </w:pPr>
                    <w:r>
                      <w:rPr>
                        <w:rFonts w:ascii="Arial" w:hAnsi="Arial" w:cs="Arial"/>
                        <w:b/>
                        <w:bCs/>
                        <w:color w:val="000000"/>
                        <w:sz w:val="12"/>
                        <w:szCs w:val="12"/>
                      </w:rPr>
                      <w:t>9</w:t>
                    </w:r>
                    <w:r>
                      <w:rPr>
                        <w:rFonts w:ascii="Arial" w:hAnsi="Arial" w:cs="Arial" w:hint="eastAsia"/>
                        <w:b/>
                        <w:bCs/>
                        <w:color w:val="000000"/>
                        <w:sz w:val="12"/>
                        <w:szCs w:val="12"/>
                      </w:rPr>
                      <w:t xml:space="preserve"> </w:t>
                    </w:r>
                    <w:r>
                      <w:rPr>
                        <w:rFonts w:ascii="Arial" w:hAnsi="Arial" w:cs="Arial"/>
                        <w:b/>
                        <w:bCs/>
                        <w:color w:val="000000"/>
                        <w:sz w:val="12"/>
                        <w:szCs w:val="12"/>
                      </w:rPr>
                      <w:t>262</w:t>
                    </w:r>
                  </w:p>
                </w:txbxContent>
              </v:textbox>
            </v:rect>
            <v:rect id="_x0000_s2172" style="position:absolute;left:3761;top:6218;width:494;height:276" o:regroupid="26" filled="f" stroked="f">
              <v:textbox style="mso-next-textbox:#_x0000_s2172" inset="0,0,0,0">
                <w:txbxContent>
                  <w:p w:rsidR="00692915" w:rsidRDefault="00692915">
                    <w:pPr>
                      <w:spacing w:line="180" w:lineRule="exact"/>
                      <w:ind w:firstLineChars="0" w:firstLine="0"/>
                    </w:pPr>
                    <w:r>
                      <w:rPr>
                        <w:rFonts w:ascii="Arial" w:hAnsi="Arial" w:cs="Arial"/>
                        <w:b/>
                        <w:bCs/>
                        <w:color w:val="000000"/>
                        <w:sz w:val="12"/>
                        <w:szCs w:val="12"/>
                      </w:rPr>
                      <w:t>5</w:t>
                    </w:r>
                    <w:r>
                      <w:rPr>
                        <w:rFonts w:ascii="Arial" w:hAnsi="Arial" w:cs="Arial" w:hint="eastAsia"/>
                        <w:b/>
                        <w:bCs/>
                        <w:color w:val="000000"/>
                        <w:sz w:val="12"/>
                        <w:szCs w:val="12"/>
                      </w:rPr>
                      <w:t xml:space="preserve"> </w:t>
                    </w:r>
                    <w:r>
                      <w:rPr>
                        <w:rFonts w:ascii="Arial" w:hAnsi="Arial" w:cs="Arial"/>
                        <w:b/>
                        <w:bCs/>
                        <w:color w:val="000000"/>
                        <w:sz w:val="12"/>
                        <w:szCs w:val="12"/>
                      </w:rPr>
                      <w:t>981</w:t>
                    </w:r>
                  </w:p>
                </w:txbxContent>
              </v:textbox>
            </v:rect>
            <v:rect id="_x0000_s2173" style="position:absolute;left:3675;top:5977;width:496;height:276" o:regroupid="26" filled="f" stroked="f">
              <v:textbox style="mso-next-textbox:#_x0000_s2173" inset="0,0,0,0">
                <w:txbxContent>
                  <w:p w:rsidR="00692915" w:rsidRDefault="00692915">
                    <w:pPr>
                      <w:spacing w:line="180" w:lineRule="exact"/>
                      <w:ind w:firstLineChars="0" w:firstLine="0"/>
                    </w:pPr>
                    <w:r>
                      <w:rPr>
                        <w:rFonts w:ascii="Arial" w:hAnsi="Arial" w:cs="Arial"/>
                        <w:b/>
                        <w:bCs/>
                        <w:color w:val="000000"/>
                        <w:sz w:val="12"/>
                        <w:szCs w:val="12"/>
                      </w:rPr>
                      <w:t>4</w:t>
                    </w:r>
                    <w:r>
                      <w:rPr>
                        <w:rFonts w:ascii="Arial" w:hAnsi="Arial" w:cs="Arial" w:hint="eastAsia"/>
                        <w:b/>
                        <w:bCs/>
                        <w:color w:val="000000"/>
                        <w:sz w:val="12"/>
                        <w:szCs w:val="12"/>
                      </w:rPr>
                      <w:t xml:space="preserve"> </w:t>
                    </w:r>
                    <w:r>
                      <w:rPr>
                        <w:rFonts w:ascii="Arial" w:hAnsi="Arial" w:cs="Arial"/>
                        <w:b/>
                        <w:bCs/>
                        <w:color w:val="000000"/>
                        <w:sz w:val="12"/>
                        <w:szCs w:val="12"/>
                      </w:rPr>
                      <w:t>278</w:t>
                    </w:r>
                  </w:p>
                </w:txbxContent>
              </v:textbox>
            </v:rect>
            <v:rect id="_x0000_s2174" style="position:absolute;left:3632;top:5736;width:494;height:276" o:regroupid="26" filled="f" stroked="f">
              <v:textbox style="mso-next-textbox:#_x0000_s2174" inset="0,0,0,0">
                <w:txbxContent>
                  <w:p w:rsidR="00692915" w:rsidRDefault="00692915">
                    <w:pPr>
                      <w:spacing w:line="180" w:lineRule="exact"/>
                      <w:ind w:firstLineChars="0" w:firstLine="0"/>
                    </w:pPr>
                    <w:r>
                      <w:rPr>
                        <w:rFonts w:ascii="Arial" w:hAnsi="Arial" w:cs="Arial"/>
                        <w:b/>
                        <w:bCs/>
                        <w:color w:val="000000"/>
                        <w:sz w:val="12"/>
                        <w:szCs w:val="12"/>
                      </w:rPr>
                      <w:t>3</w:t>
                    </w:r>
                    <w:r>
                      <w:rPr>
                        <w:rFonts w:ascii="Arial" w:hAnsi="Arial" w:cs="Arial" w:hint="eastAsia"/>
                        <w:b/>
                        <w:bCs/>
                        <w:color w:val="000000"/>
                        <w:sz w:val="12"/>
                        <w:szCs w:val="12"/>
                      </w:rPr>
                      <w:t xml:space="preserve"> </w:t>
                    </w:r>
                    <w:r>
                      <w:rPr>
                        <w:rFonts w:ascii="Arial" w:hAnsi="Arial" w:cs="Arial"/>
                        <w:b/>
                        <w:bCs/>
                        <w:color w:val="000000"/>
                        <w:sz w:val="12"/>
                        <w:szCs w:val="12"/>
                      </w:rPr>
                      <w:t>222</w:t>
                    </w:r>
                  </w:p>
                </w:txbxContent>
              </v:textbox>
            </v:rect>
            <v:rect id="_x0000_s2175" style="position:absolute;left:3618;top:5495;width:494;height:276" o:regroupid="26" filled="f" stroked="f">
              <v:textbox style="mso-next-textbox:#_x0000_s2175" inset="0,0,0,0">
                <w:txbxContent>
                  <w:p w:rsidR="00692915" w:rsidRDefault="00692915">
                    <w:pPr>
                      <w:spacing w:line="180" w:lineRule="exact"/>
                      <w:ind w:firstLineChars="0" w:firstLine="0"/>
                    </w:pPr>
                    <w:r>
                      <w:rPr>
                        <w:rFonts w:ascii="Arial" w:hAnsi="Arial" w:cs="Arial"/>
                        <w:b/>
                        <w:bCs/>
                        <w:color w:val="000000"/>
                        <w:sz w:val="12"/>
                        <w:szCs w:val="12"/>
                      </w:rPr>
                      <w:t>2</w:t>
                    </w:r>
                    <w:r>
                      <w:rPr>
                        <w:rFonts w:ascii="Arial" w:hAnsi="Arial" w:cs="Arial" w:hint="eastAsia"/>
                        <w:b/>
                        <w:bCs/>
                        <w:color w:val="000000"/>
                        <w:sz w:val="12"/>
                        <w:szCs w:val="12"/>
                      </w:rPr>
                      <w:t xml:space="preserve"> </w:t>
                    </w:r>
                    <w:r>
                      <w:rPr>
                        <w:rFonts w:ascii="Arial" w:hAnsi="Arial" w:cs="Arial"/>
                        <w:b/>
                        <w:bCs/>
                        <w:color w:val="000000"/>
                        <w:sz w:val="12"/>
                        <w:szCs w:val="12"/>
                      </w:rPr>
                      <w:t>753</w:t>
                    </w:r>
                  </w:p>
                </w:txbxContent>
              </v:textbox>
            </v:rect>
            <v:rect id="_x0000_s2176" style="position:absolute;left:3590;top:5254;width:581;height:276" o:regroupid="26" filled="f" stroked="f">
              <v:textbox style="mso-next-textbox:#_x0000_s2176" inset="0,0,0,0">
                <w:txbxContent>
                  <w:p w:rsidR="00692915" w:rsidRDefault="00692915">
                    <w:pPr>
                      <w:spacing w:line="180" w:lineRule="exact"/>
                      <w:ind w:firstLineChars="0" w:firstLine="0"/>
                    </w:pPr>
                    <w:r>
                      <w:rPr>
                        <w:rFonts w:ascii="Arial" w:hAnsi="Arial" w:cs="Arial"/>
                        <w:b/>
                        <w:bCs/>
                        <w:color w:val="000000"/>
                        <w:sz w:val="12"/>
                        <w:szCs w:val="12"/>
                      </w:rPr>
                      <w:t>2</w:t>
                    </w:r>
                    <w:r>
                      <w:rPr>
                        <w:rFonts w:ascii="Arial" w:hAnsi="Arial" w:cs="Arial" w:hint="eastAsia"/>
                        <w:b/>
                        <w:bCs/>
                        <w:color w:val="000000"/>
                        <w:sz w:val="12"/>
                        <w:szCs w:val="12"/>
                      </w:rPr>
                      <w:t xml:space="preserve"> </w:t>
                    </w:r>
                    <w:r>
                      <w:rPr>
                        <w:rFonts w:ascii="Arial" w:hAnsi="Arial" w:cs="Arial"/>
                        <w:b/>
                        <w:bCs/>
                        <w:color w:val="000000"/>
                        <w:sz w:val="12"/>
                        <w:szCs w:val="12"/>
                      </w:rPr>
                      <w:t>411</w:t>
                    </w:r>
                  </w:p>
                </w:txbxContent>
              </v:textbox>
            </v:rect>
            <v:rect id="_x0000_s2177" style="position:absolute;left:3575;top:5013;width:494;height:276" o:regroupid="26" filled="f" stroked="f">
              <v:textbox style="mso-next-textbox:#_x0000_s2177" inset="0,0,0,0">
                <w:txbxContent>
                  <w:p w:rsidR="00692915" w:rsidRDefault="00692915">
                    <w:pPr>
                      <w:spacing w:line="180" w:lineRule="exact"/>
                      <w:ind w:firstLineChars="0" w:firstLine="0"/>
                    </w:pPr>
                    <w:r>
                      <w:rPr>
                        <w:rFonts w:ascii="Arial" w:hAnsi="Arial" w:cs="Arial"/>
                        <w:b/>
                        <w:bCs/>
                        <w:color w:val="000000"/>
                        <w:sz w:val="12"/>
                        <w:szCs w:val="12"/>
                      </w:rPr>
                      <w:t>2</w:t>
                    </w:r>
                    <w:r>
                      <w:rPr>
                        <w:rFonts w:ascii="Arial" w:hAnsi="Arial" w:cs="Arial" w:hint="eastAsia"/>
                        <w:b/>
                        <w:bCs/>
                        <w:color w:val="000000"/>
                        <w:sz w:val="12"/>
                        <w:szCs w:val="12"/>
                      </w:rPr>
                      <w:t xml:space="preserve"> </w:t>
                    </w:r>
                    <w:r>
                      <w:rPr>
                        <w:rFonts w:ascii="Arial" w:hAnsi="Arial" w:cs="Arial"/>
                        <w:b/>
                        <w:bCs/>
                        <w:color w:val="000000"/>
                        <w:sz w:val="12"/>
                        <w:szCs w:val="12"/>
                      </w:rPr>
                      <w:t>017</w:t>
                    </w:r>
                  </w:p>
                </w:txbxContent>
              </v:textbox>
            </v:rect>
            <v:rect id="_x0000_s2178" style="position:absolute;left:3575;top:4772;width:494;height:276" o:regroupid="26" filled="f" stroked="f">
              <v:textbox style="mso-next-textbox:#_x0000_s2178" inset="0,0,0,0">
                <w:txbxContent>
                  <w:p w:rsidR="00692915" w:rsidRDefault="00692915">
                    <w:pPr>
                      <w:spacing w:line="180" w:lineRule="exact"/>
                      <w:ind w:firstLineChars="0" w:firstLine="0"/>
                    </w:pPr>
                    <w:r>
                      <w:rPr>
                        <w:rFonts w:ascii="Arial" w:hAnsi="Arial" w:cs="Arial"/>
                        <w:b/>
                        <w:bCs/>
                        <w:color w:val="000000"/>
                        <w:sz w:val="12"/>
                        <w:szCs w:val="12"/>
                      </w:rPr>
                      <w:t>1</w:t>
                    </w:r>
                    <w:r>
                      <w:rPr>
                        <w:rFonts w:ascii="Arial" w:hAnsi="Arial" w:cs="Arial" w:hint="eastAsia"/>
                        <w:b/>
                        <w:bCs/>
                        <w:color w:val="000000"/>
                        <w:sz w:val="12"/>
                        <w:szCs w:val="12"/>
                      </w:rPr>
                      <w:t xml:space="preserve"> </w:t>
                    </w:r>
                    <w:r>
                      <w:rPr>
                        <w:rFonts w:ascii="Arial" w:hAnsi="Arial" w:cs="Arial"/>
                        <w:b/>
                        <w:bCs/>
                        <w:color w:val="000000"/>
                        <w:sz w:val="12"/>
                        <w:szCs w:val="12"/>
                      </w:rPr>
                      <w:t>780</w:t>
                    </w:r>
                  </w:p>
                </w:txbxContent>
              </v:textbox>
            </v:rect>
            <v:rect id="_x0000_s2179" style="position:absolute;left:3561;top:4543;width:494;height:276" o:regroupid="26" filled="f" stroked="f">
              <v:textbox style="mso-next-textbox:#_x0000_s2179" inset="0,0,0,0">
                <w:txbxContent>
                  <w:p w:rsidR="00692915" w:rsidRDefault="00692915">
                    <w:pPr>
                      <w:spacing w:line="180" w:lineRule="exact"/>
                      <w:ind w:firstLineChars="0" w:firstLine="0"/>
                    </w:pPr>
                    <w:r>
                      <w:rPr>
                        <w:rFonts w:ascii="Arial" w:hAnsi="Arial" w:cs="Arial"/>
                        <w:b/>
                        <w:bCs/>
                        <w:color w:val="000000"/>
                        <w:sz w:val="12"/>
                        <w:szCs w:val="12"/>
                      </w:rPr>
                      <w:t>1</w:t>
                    </w:r>
                    <w:r>
                      <w:rPr>
                        <w:rFonts w:ascii="Arial" w:hAnsi="Arial" w:cs="Arial" w:hint="eastAsia"/>
                        <w:b/>
                        <w:bCs/>
                        <w:color w:val="000000"/>
                        <w:sz w:val="12"/>
                        <w:szCs w:val="12"/>
                      </w:rPr>
                      <w:t xml:space="preserve"> </w:t>
                    </w:r>
                    <w:r>
                      <w:rPr>
                        <w:rFonts w:ascii="Arial" w:hAnsi="Arial" w:cs="Arial"/>
                        <w:b/>
                        <w:bCs/>
                        <w:color w:val="000000"/>
                        <w:sz w:val="12"/>
                        <w:szCs w:val="12"/>
                      </w:rPr>
                      <w:t>654</w:t>
                    </w:r>
                  </w:p>
                </w:txbxContent>
              </v:textbox>
            </v:rect>
            <v:rect id="_x0000_s2180" style="position:absolute;left:3561;top:4302;width:480;height:276" o:regroupid="26" filled="f" stroked="f">
              <v:textbox style="mso-next-textbox:#_x0000_s2180" inset="0,0,0,0">
                <w:txbxContent>
                  <w:p w:rsidR="00692915" w:rsidRDefault="00692915">
                    <w:pPr>
                      <w:spacing w:line="180" w:lineRule="exact"/>
                      <w:ind w:firstLineChars="0" w:firstLine="0"/>
                    </w:pPr>
                    <w:r>
                      <w:rPr>
                        <w:rFonts w:ascii="Arial" w:hAnsi="Arial" w:cs="Arial"/>
                        <w:b/>
                        <w:bCs/>
                        <w:color w:val="000000"/>
                        <w:sz w:val="12"/>
                        <w:szCs w:val="12"/>
                      </w:rPr>
                      <w:t>1</w:t>
                    </w:r>
                    <w:r>
                      <w:rPr>
                        <w:rFonts w:ascii="Arial" w:hAnsi="Arial" w:cs="Arial" w:hint="eastAsia"/>
                        <w:b/>
                        <w:bCs/>
                        <w:color w:val="000000"/>
                        <w:sz w:val="12"/>
                        <w:szCs w:val="12"/>
                      </w:rPr>
                      <w:t xml:space="preserve"> </w:t>
                    </w:r>
                    <w:r>
                      <w:rPr>
                        <w:rFonts w:ascii="Arial" w:hAnsi="Arial" w:cs="Arial"/>
                        <w:b/>
                        <w:bCs/>
                        <w:color w:val="000000"/>
                        <w:sz w:val="12"/>
                        <w:szCs w:val="12"/>
                      </w:rPr>
                      <w:t>586</w:t>
                    </w:r>
                  </w:p>
                </w:txbxContent>
              </v:textbox>
            </v:rect>
            <v:rect id="_x0000_s2181" style="position:absolute;left:3547;top:4061;width:494;height:276" o:regroupid="26" filled="f" stroked="f">
              <v:textbox style="mso-next-textbox:#_x0000_s2181" inset="0,0,0,0">
                <w:txbxContent>
                  <w:p w:rsidR="00692915" w:rsidRDefault="00692915">
                    <w:pPr>
                      <w:spacing w:line="180" w:lineRule="exact"/>
                      <w:ind w:firstLineChars="0" w:firstLine="0"/>
                    </w:pPr>
                    <w:r>
                      <w:rPr>
                        <w:rFonts w:ascii="Arial" w:hAnsi="Arial" w:cs="Arial"/>
                        <w:b/>
                        <w:bCs/>
                        <w:color w:val="000000"/>
                        <w:sz w:val="12"/>
                        <w:szCs w:val="12"/>
                      </w:rPr>
                      <w:t>1</w:t>
                    </w:r>
                    <w:r>
                      <w:rPr>
                        <w:rFonts w:ascii="Arial" w:hAnsi="Arial" w:cs="Arial" w:hint="eastAsia"/>
                        <w:b/>
                        <w:bCs/>
                        <w:color w:val="000000"/>
                        <w:sz w:val="12"/>
                        <w:szCs w:val="12"/>
                      </w:rPr>
                      <w:t xml:space="preserve"> </w:t>
                    </w:r>
                    <w:r>
                      <w:rPr>
                        <w:rFonts w:ascii="Arial" w:hAnsi="Arial" w:cs="Arial"/>
                        <w:b/>
                        <w:bCs/>
                        <w:color w:val="000000"/>
                        <w:sz w:val="12"/>
                        <w:szCs w:val="12"/>
                      </w:rPr>
                      <w:t>242</w:t>
                    </w:r>
                  </w:p>
                </w:txbxContent>
              </v:textbox>
            </v:rect>
            <v:rect id="_x0000_s2182" style="position:absolute;left:3532;top:3820;width:509;height:276" o:regroupid="26" filled="f" stroked="f">
              <v:textbox style="mso-next-textbox:#_x0000_s2182" inset="0,0,0,0">
                <w:txbxContent>
                  <w:p w:rsidR="00692915" w:rsidRDefault="00692915">
                    <w:pPr>
                      <w:spacing w:line="180" w:lineRule="exact"/>
                      <w:ind w:firstLineChars="0" w:firstLine="0"/>
                    </w:pPr>
                    <w:r>
                      <w:rPr>
                        <w:rFonts w:ascii="Arial" w:hAnsi="Arial" w:cs="Arial"/>
                        <w:b/>
                        <w:bCs/>
                        <w:color w:val="000000"/>
                        <w:sz w:val="12"/>
                        <w:szCs w:val="12"/>
                      </w:rPr>
                      <w:t>1</w:t>
                    </w:r>
                    <w:r>
                      <w:rPr>
                        <w:rFonts w:ascii="Arial" w:hAnsi="Arial" w:cs="Arial" w:hint="eastAsia"/>
                        <w:b/>
                        <w:bCs/>
                        <w:color w:val="000000"/>
                        <w:sz w:val="12"/>
                        <w:szCs w:val="12"/>
                      </w:rPr>
                      <w:t xml:space="preserve"> </w:t>
                    </w:r>
                    <w:r>
                      <w:rPr>
                        <w:rFonts w:ascii="Arial" w:hAnsi="Arial" w:cs="Arial"/>
                        <w:b/>
                        <w:bCs/>
                        <w:color w:val="000000"/>
                        <w:sz w:val="12"/>
                        <w:szCs w:val="12"/>
                      </w:rPr>
                      <w:t>075</w:t>
                    </w:r>
                  </w:p>
                </w:txbxContent>
              </v:textbox>
            </v:rect>
            <v:rect id="_x0000_s2183" style="position:absolute;left:3390;top:10346;width:67;height:138" o:regroupid="26" filled="f" stroked="f">
              <v:textbox style="mso-next-textbox:#_x0000_s2183" inset="0,0,0,0">
                <w:txbxContent>
                  <w:p w:rsidR="00692915" w:rsidRDefault="00692915" w:rsidP="009A1C1B">
                    <w:pPr>
                      <w:ind w:firstLine="31680"/>
                    </w:pPr>
                    <w:r>
                      <w:rPr>
                        <w:rFonts w:ascii="Arial" w:hAnsi="Arial" w:cs="Arial"/>
                        <w:b/>
                        <w:bCs/>
                        <w:color w:val="000000"/>
                        <w:sz w:val="12"/>
                        <w:szCs w:val="12"/>
                      </w:rPr>
                      <w:t>0</w:t>
                    </w:r>
                  </w:p>
                </w:txbxContent>
              </v:textbox>
            </v:rect>
            <v:rect id="_x0000_s2184" style="position:absolute;left:3801;top:10316;width:780;height:276" o:regroupid="26" filled="f" stroked="f">
              <v:textbox style="mso-next-textbox:#_x0000_s2184" inset="0,0,0,0">
                <w:txbxContent>
                  <w:p w:rsidR="00692915" w:rsidRDefault="00692915" w:rsidP="009A1C1B">
                    <w:pPr>
                      <w:ind w:firstLine="31680"/>
                    </w:pPr>
                    <w:r>
                      <w:rPr>
                        <w:rFonts w:ascii="Arial" w:hAnsi="Arial" w:cs="Arial"/>
                        <w:b/>
                        <w:bCs/>
                        <w:color w:val="000000"/>
                        <w:sz w:val="12"/>
                        <w:szCs w:val="12"/>
                      </w:rPr>
                      <w:t>20</w:t>
                    </w:r>
                    <w:r>
                      <w:rPr>
                        <w:rFonts w:ascii="Arial" w:hAnsi="Arial" w:cs="Arial" w:hint="eastAsia"/>
                        <w:b/>
                        <w:bCs/>
                        <w:color w:val="000000"/>
                        <w:sz w:val="12"/>
                        <w:szCs w:val="12"/>
                      </w:rPr>
                      <w:t xml:space="preserve"> </w:t>
                    </w:r>
                    <w:r>
                      <w:rPr>
                        <w:rFonts w:ascii="Arial" w:hAnsi="Arial" w:cs="Arial"/>
                        <w:b/>
                        <w:bCs/>
                        <w:color w:val="000000"/>
                        <w:sz w:val="12"/>
                        <w:szCs w:val="12"/>
                      </w:rPr>
                      <w:t>000</w:t>
                    </w:r>
                  </w:p>
                </w:txbxContent>
              </v:textbox>
            </v:rect>
            <v:rect id="_x0000_s2185" style="position:absolute;left:4711;top:10316;width:780;height:276" o:regroupid="26" filled="f" stroked="f">
              <v:textbox style="mso-next-textbox:#_x0000_s2185" inset="0,0,0,0">
                <w:txbxContent>
                  <w:p w:rsidR="00692915" w:rsidRDefault="00692915" w:rsidP="009A1C1B">
                    <w:pPr>
                      <w:ind w:firstLine="31680"/>
                    </w:pPr>
                    <w:r>
                      <w:rPr>
                        <w:rFonts w:ascii="Arial" w:hAnsi="Arial" w:cs="Arial"/>
                        <w:b/>
                        <w:bCs/>
                        <w:color w:val="000000"/>
                        <w:sz w:val="12"/>
                        <w:szCs w:val="12"/>
                      </w:rPr>
                      <w:t>40</w:t>
                    </w:r>
                    <w:r>
                      <w:rPr>
                        <w:rFonts w:ascii="Arial" w:hAnsi="Arial" w:cs="Arial" w:hint="eastAsia"/>
                        <w:b/>
                        <w:bCs/>
                        <w:color w:val="000000"/>
                        <w:sz w:val="12"/>
                        <w:szCs w:val="12"/>
                      </w:rPr>
                      <w:t xml:space="preserve"> </w:t>
                    </w:r>
                    <w:r>
                      <w:rPr>
                        <w:rFonts w:ascii="Arial" w:hAnsi="Arial" w:cs="Arial"/>
                        <w:b/>
                        <w:bCs/>
                        <w:color w:val="000000"/>
                        <w:sz w:val="12"/>
                        <w:szCs w:val="12"/>
                      </w:rPr>
                      <w:t>000</w:t>
                    </w:r>
                  </w:p>
                </w:txbxContent>
              </v:textbox>
            </v:rect>
            <v:rect id="_x0000_s2186" style="position:absolute;left:5597;top:10316;width:780;height:276" o:regroupid="26" filled="f" stroked="f">
              <v:textbox style="mso-next-textbox:#_x0000_s2186" inset="0,0,0,0">
                <w:txbxContent>
                  <w:p w:rsidR="00692915" w:rsidRDefault="00692915" w:rsidP="009A1C1B">
                    <w:pPr>
                      <w:ind w:firstLine="31680"/>
                    </w:pPr>
                    <w:r>
                      <w:rPr>
                        <w:rFonts w:ascii="Arial" w:hAnsi="Arial" w:cs="Arial"/>
                        <w:b/>
                        <w:bCs/>
                        <w:color w:val="000000"/>
                        <w:sz w:val="12"/>
                        <w:szCs w:val="12"/>
                      </w:rPr>
                      <w:t>60</w:t>
                    </w:r>
                    <w:r>
                      <w:rPr>
                        <w:rFonts w:ascii="Arial" w:hAnsi="Arial" w:cs="Arial" w:hint="eastAsia"/>
                        <w:b/>
                        <w:bCs/>
                        <w:color w:val="000000"/>
                        <w:sz w:val="12"/>
                        <w:szCs w:val="12"/>
                      </w:rPr>
                      <w:t xml:space="preserve"> </w:t>
                    </w:r>
                    <w:r>
                      <w:rPr>
                        <w:rFonts w:ascii="Arial" w:hAnsi="Arial" w:cs="Arial"/>
                        <w:b/>
                        <w:bCs/>
                        <w:color w:val="000000"/>
                        <w:sz w:val="12"/>
                        <w:szCs w:val="12"/>
                      </w:rPr>
                      <w:t>000</w:t>
                    </w:r>
                  </w:p>
                </w:txbxContent>
              </v:textbox>
            </v:rect>
            <v:rect id="_x0000_s2187" style="position:absolute;left:6483;top:10316;width:780;height:276" o:regroupid="26" filled="f" stroked="f">
              <v:textbox style="mso-next-textbox:#_x0000_s2187" inset="0,0,0,0">
                <w:txbxContent>
                  <w:p w:rsidR="00692915" w:rsidRDefault="00692915" w:rsidP="009A1C1B">
                    <w:pPr>
                      <w:ind w:firstLine="31680"/>
                    </w:pPr>
                    <w:r>
                      <w:rPr>
                        <w:rFonts w:ascii="Arial" w:hAnsi="Arial" w:cs="Arial"/>
                        <w:b/>
                        <w:bCs/>
                        <w:color w:val="000000"/>
                        <w:sz w:val="12"/>
                        <w:szCs w:val="12"/>
                      </w:rPr>
                      <w:t>80</w:t>
                    </w:r>
                    <w:r>
                      <w:rPr>
                        <w:rFonts w:ascii="Arial" w:hAnsi="Arial" w:cs="Arial" w:hint="eastAsia"/>
                        <w:b/>
                        <w:bCs/>
                        <w:color w:val="000000"/>
                        <w:sz w:val="12"/>
                        <w:szCs w:val="12"/>
                      </w:rPr>
                      <w:t xml:space="preserve"> </w:t>
                    </w:r>
                    <w:r>
                      <w:rPr>
                        <w:rFonts w:ascii="Arial" w:hAnsi="Arial" w:cs="Arial"/>
                        <w:b/>
                        <w:bCs/>
                        <w:color w:val="000000"/>
                        <w:sz w:val="12"/>
                        <w:szCs w:val="12"/>
                      </w:rPr>
                      <w:t>000</w:t>
                    </w:r>
                  </w:p>
                </w:txbxContent>
              </v:textbox>
            </v:rect>
            <v:rect id="_x0000_s2188" style="position:absolute;left:7275;top:10316;width:920;height:276" o:regroupid="26" filled="f" stroked="f">
              <v:textbox style="mso-next-textbox:#_x0000_s2188" inset="0,0,0,0">
                <w:txbxContent>
                  <w:p w:rsidR="00692915" w:rsidRDefault="00692915" w:rsidP="009A1C1B">
                    <w:pPr>
                      <w:ind w:firstLine="31680"/>
                    </w:pPr>
                    <w:r>
                      <w:rPr>
                        <w:rFonts w:ascii="Arial" w:hAnsi="Arial" w:cs="Arial"/>
                        <w:b/>
                        <w:bCs/>
                        <w:color w:val="000000"/>
                        <w:sz w:val="12"/>
                        <w:szCs w:val="12"/>
                      </w:rPr>
                      <w:t>100</w:t>
                    </w:r>
                    <w:r>
                      <w:rPr>
                        <w:rFonts w:ascii="Arial" w:hAnsi="Arial" w:cs="Arial" w:hint="eastAsia"/>
                        <w:b/>
                        <w:bCs/>
                        <w:color w:val="000000"/>
                        <w:sz w:val="12"/>
                        <w:szCs w:val="12"/>
                      </w:rPr>
                      <w:t xml:space="preserve"> </w:t>
                    </w:r>
                    <w:r>
                      <w:rPr>
                        <w:rFonts w:ascii="Arial" w:hAnsi="Arial" w:cs="Arial"/>
                        <w:b/>
                        <w:bCs/>
                        <w:color w:val="000000"/>
                        <w:sz w:val="12"/>
                        <w:szCs w:val="12"/>
                      </w:rPr>
                      <w:t>000</w:t>
                    </w:r>
                  </w:p>
                </w:txbxContent>
              </v:textbox>
            </v:rect>
            <v:rect id="_x0000_s2189" style="position:absolute;left:8160;top:10316;width:920;height:276" o:regroupid="26" filled="f" stroked="f">
              <v:textbox style="mso-next-textbox:#_x0000_s2189" inset="0,0,0,0">
                <w:txbxContent>
                  <w:p w:rsidR="00692915" w:rsidRDefault="00692915" w:rsidP="009A1C1B">
                    <w:pPr>
                      <w:ind w:firstLine="31680"/>
                    </w:pPr>
                    <w:r>
                      <w:rPr>
                        <w:rFonts w:ascii="Arial" w:hAnsi="Arial" w:cs="Arial"/>
                        <w:b/>
                        <w:bCs/>
                        <w:color w:val="000000"/>
                        <w:sz w:val="12"/>
                        <w:szCs w:val="12"/>
                      </w:rPr>
                      <w:t>120</w:t>
                    </w:r>
                    <w:r>
                      <w:rPr>
                        <w:rFonts w:ascii="Arial" w:hAnsi="Arial" w:cs="Arial" w:hint="eastAsia"/>
                        <w:b/>
                        <w:bCs/>
                        <w:color w:val="000000"/>
                        <w:sz w:val="12"/>
                        <w:szCs w:val="12"/>
                      </w:rPr>
                      <w:t xml:space="preserve"> </w:t>
                    </w:r>
                    <w:r>
                      <w:rPr>
                        <w:rFonts w:ascii="Arial" w:hAnsi="Arial" w:cs="Arial"/>
                        <w:b/>
                        <w:bCs/>
                        <w:color w:val="000000"/>
                        <w:sz w:val="12"/>
                        <w:szCs w:val="12"/>
                      </w:rPr>
                      <w:t>000</w:t>
                    </w:r>
                  </w:p>
                </w:txbxContent>
              </v:textbox>
            </v:rect>
            <v:rect id="_x0000_s2190" style="position:absolute;left:9046;top:10316;width:920;height:276" o:regroupid="26" filled="f" stroked="f">
              <v:textbox style="mso-next-textbox:#_x0000_s2190" inset="0,0,0,0">
                <w:txbxContent>
                  <w:p w:rsidR="00692915" w:rsidRDefault="00692915" w:rsidP="009A1C1B">
                    <w:pPr>
                      <w:ind w:firstLine="31680"/>
                    </w:pPr>
                    <w:r>
                      <w:rPr>
                        <w:rFonts w:ascii="Arial" w:hAnsi="Arial" w:cs="Arial"/>
                        <w:b/>
                        <w:bCs/>
                        <w:color w:val="000000"/>
                        <w:sz w:val="12"/>
                        <w:szCs w:val="12"/>
                      </w:rPr>
                      <w:t>140</w:t>
                    </w:r>
                    <w:r>
                      <w:rPr>
                        <w:rFonts w:ascii="Arial" w:hAnsi="Arial" w:cs="Arial" w:hint="eastAsia"/>
                        <w:b/>
                        <w:bCs/>
                        <w:color w:val="000000"/>
                        <w:sz w:val="12"/>
                        <w:szCs w:val="12"/>
                      </w:rPr>
                      <w:t xml:space="preserve"> </w:t>
                    </w:r>
                    <w:r>
                      <w:rPr>
                        <w:rFonts w:ascii="Arial" w:hAnsi="Arial" w:cs="Arial"/>
                        <w:b/>
                        <w:bCs/>
                        <w:color w:val="000000"/>
                        <w:sz w:val="12"/>
                        <w:szCs w:val="12"/>
                      </w:rPr>
                      <w:t>000</w:t>
                    </w:r>
                  </w:p>
                </w:txbxContent>
              </v:textbox>
            </v:rect>
            <v:rect id="_x0000_s2191" style="position:absolute;left:2318;top:10034;width:990;height:210" o:regroupid="26" filled="f" stroked="f">
              <v:textbox style="mso-next-textbox:#_x0000_s2191" inset="0,0,0,0">
                <w:txbxContent>
                  <w:p w:rsidR="00692915" w:rsidRDefault="00692915">
                    <w:pPr>
                      <w:spacing w:line="180" w:lineRule="exact"/>
                      <w:ind w:firstLineChars="0" w:firstLine="0"/>
                      <w:jc w:val="right"/>
                      <w:rPr>
                        <w:rFonts w:hint="eastAsia"/>
                        <w:sz w:val="14"/>
                      </w:rPr>
                    </w:pPr>
                    <w:r>
                      <w:rPr>
                        <w:rFonts w:ascii="Arial" w:hAnsi="Arial" w:cs="Arial" w:hint="eastAsia"/>
                        <w:color w:val="000000"/>
                        <w:spacing w:val="0"/>
                        <w:sz w:val="12"/>
                        <w:szCs w:val="12"/>
                      </w:rPr>
                      <w:t>德顿普拉萨语</w:t>
                    </w:r>
                  </w:p>
                </w:txbxContent>
              </v:textbox>
            </v:rect>
            <v:rect id="_x0000_s2192" style="position:absolute;left:2628;top:9809;width:683;height:208" o:regroupid="26" filled="f" stroked="f">
              <v:textbox style="mso-next-textbox:#_x0000_s2192" inset="0,0,0,0">
                <w:txbxContent>
                  <w:p w:rsidR="00692915" w:rsidRDefault="00692915">
                    <w:pPr>
                      <w:spacing w:line="180" w:lineRule="exact"/>
                      <w:ind w:firstLineChars="0" w:firstLine="0"/>
                      <w:jc w:val="right"/>
                      <w:rPr>
                        <w:rFonts w:hint="eastAsia"/>
                        <w:sz w:val="14"/>
                      </w:rPr>
                    </w:pPr>
                    <w:r>
                      <w:rPr>
                        <w:rFonts w:ascii="Arial" w:hAnsi="Arial" w:cs="Arial" w:hint="eastAsia"/>
                        <w:color w:val="000000"/>
                        <w:spacing w:val="0"/>
                        <w:sz w:val="12"/>
                        <w:szCs w:val="12"/>
                      </w:rPr>
                      <w:t>曼拜语</w:t>
                    </w:r>
                  </w:p>
                </w:txbxContent>
              </v:textbox>
            </v:rect>
            <v:rect id="_x0000_s2193" style="position:absolute;left:2641;top:9548;width:674;height:174" o:regroupid="26" filled="f" stroked="f">
              <v:textbox style="mso-next-textbox:#_x0000_s2193" inset="0,0,0,0">
                <w:txbxContent>
                  <w:p w:rsidR="00692915" w:rsidRDefault="00692915">
                    <w:pPr>
                      <w:spacing w:line="180" w:lineRule="exact"/>
                      <w:ind w:firstLineChars="0" w:firstLine="0"/>
                      <w:jc w:val="right"/>
                      <w:rPr>
                        <w:rFonts w:hint="eastAsia"/>
                        <w:sz w:val="14"/>
                      </w:rPr>
                    </w:pPr>
                    <w:r>
                      <w:rPr>
                        <w:rFonts w:ascii="Arial" w:hAnsi="Arial" w:cs="Arial" w:hint="eastAsia"/>
                        <w:color w:val="000000"/>
                        <w:spacing w:val="0"/>
                        <w:sz w:val="12"/>
                        <w:szCs w:val="12"/>
                      </w:rPr>
                      <w:t>马卡赛语</w:t>
                    </w:r>
                  </w:p>
                </w:txbxContent>
              </v:textbox>
            </v:rect>
            <v:rect id="_x0000_s2194" style="position:absolute;left:2728;top:9308;width:581;height:200" o:regroupid="26" filled="f" stroked="f">
              <v:textbox style="mso-next-textbox:#_x0000_s2194" inset="0,0,0,0">
                <w:txbxContent>
                  <w:p w:rsidR="00692915" w:rsidRDefault="00692915">
                    <w:pPr>
                      <w:spacing w:line="180" w:lineRule="exact"/>
                      <w:ind w:firstLineChars="0" w:firstLine="0"/>
                      <w:jc w:val="right"/>
                      <w:rPr>
                        <w:rFonts w:hint="eastAsia"/>
                        <w:sz w:val="14"/>
                      </w:rPr>
                    </w:pPr>
                    <w:r>
                      <w:rPr>
                        <w:rFonts w:ascii="Arial" w:hAnsi="Arial" w:cs="Arial" w:hint="eastAsia"/>
                        <w:color w:val="000000"/>
                        <w:spacing w:val="0"/>
                        <w:sz w:val="12"/>
                        <w:szCs w:val="12"/>
                      </w:rPr>
                      <w:t>克马克语</w:t>
                    </w:r>
                  </w:p>
                </w:txbxContent>
              </v:textbox>
            </v:rect>
            <v:rect id="_x0000_s2195" style="position:absolute;left:2714;top:9059;width:600;height:183" o:regroupid="26" filled="f" stroked="f">
              <v:textbox style="mso-next-textbox:#_x0000_s2195" inset="0,0,0,0">
                <w:txbxContent>
                  <w:p w:rsidR="00692915" w:rsidRDefault="00692915">
                    <w:pPr>
                      <w:spacing w:line="180" w:lineRule="exact"/>
                      <w:ind w:firstLineChars="0" w:firstLine="0"/>
                      <w:jc w:val="right"/>
                      <w:rPr>
                        <w:rFonts w:hint="eastAsia"/>
                        <w:sz w:val="14"/>
                      </w:rPr>
                    </w:pPr>
                    <w:r>
                      <w:rPr>
                        <w:rFonts w:ascii="Arial" w:hAnsi="Arial" w:cs="Arial" w:hint="eastAsia"/>
                        <w:color w:val="000000"/>
                        <w:spacing w:val="0"/>
                        <w:sz w:val="12"/>
                        <w:szCs w:val="12"/>
                      </w:rPr>
                      <w:t>布纳克语</w:t>
                    </w:r>
                  </w:p>
                </w:txbxContent>
              </v:textbox>
            </v:rect>
            <v:rect id="_x0000_s2196" style="position:absolute;left:2331;top:8841;width:977;height:162" o:regroupid="26" filled="f" stroked="f">
              <v:textbox style="mso-next-textbox:#_x0000_s2196" inset="0,0,0,0">
                <w:txbxContent>
                  <w:p w:rsidR="00692915" w:rsidRDefault="00692915">
                    <w:pPr>
                      <w:spacing w:line="180" w:lineRule="exact"/>
                      <w:ind w:firstLineChars="0" w:firstLine="0"/>
                      <w:jc w:val="right"/>
                      <w:rPr>
                        <w:rFonts w:ascii="Arial" w:hAnsi="Arial" w:cs="Arial" w:hint="eastAsia"/>
                        <w:sz w:val="14"/>
                      </w:rPr>
                    </w:pPr>
                    <w:r>
                      <w:rPr>
                        <w:rFonts w:ascii="Arial" w:hAnsi="Arial" w:cs="Arial" w:hint="eastAsia"/>
                        <w:color w:val="000000"/>
                        <w:spacing w:val="0"/>
                        <w:sz w:val="12"/>
                        <w:szCs w:val="12"/>
                      </w:rPr>
                      <w:t>德顿特瑞克语</w:t>
                    </w:r>
                  </w:p>
                </w:txbxContent>
              </v:textbox>
            </v:rect>
            <v:rect id="_x0000_s2197" style="position:absolute;left:2740;top:8596;width:568;height:163" o:regroupid="26" filled="f" stroked="f">
              <v:textbox style="mso-next-textbox:#_x0000_s2197" inset="0,0,0,0">
                <w:txbxContent>
                  <w:p w:rsidR="00692915" w:rsidRDefault="00692915">
                    <w:pPr>
                      <w:spacing w:line="180" w:lineRule="exact"/>
                      <w:ind w:firstLineChars="0" w:firstLine="0"/>
                      <w:jc w:val="right"/>
                      <w:rPr>
                        <w:rFonts w:hint="eastAsia"/>
                        <w:sz w:val="14"/>
                      </w:rPr>
                    </w:pPr>
                    <w:r>
                      <w:rPr>
                        <w:rFonts w:ascii="Arial" w:hAnsi="Arial" w:cs="Arial" w:hint="eastAsia"/>
                        <w:color w:val="000000"/>
                        <w:spacing w:val="0"/>
                        <w:sz w:val="12"/>
                        <w:szCs w:val="12"/>
                      </w:rPr>
                      <w:t>德顿语</w:t>
                    </w:r>
                  </w:p>
                </w:txbxContent>
              </v:textbox>
            </v:rect>
            <v:rect id="_x0000_s2198" style="position:absolute;left:2476;top:8375;width:825;height:198" o:regroupid="26" filled="f" stroked="f">
              <v:textbox style="mso-next-textbox:#_x0000_s2198" inset="0,0,0,0">
                <w:txbxContent>
                  <w:p w:rsidR="00692915" w:rsidRDefault="00692915">
                    <w:pPr>
                      <w:spacing w:line="180" w:lineRule="exact"/>
                      <w:ind w:firstLineChars="0" w:firstLine="0"/>
                      <w:jc w:val="right"/>
                      <w:rPr>
                        <w:rFonts w:hint="eastAsia"/>
                      </w:rPr>
                    </w:pPr>
                    <w:r>
                      <w:rPr>
                        <w:rFonts w:ascii="Arial" w:hAnsi="Arial" w:cs="Arial" w:hint="eastAsia"/>
                        <w:color w:val="000000"/>
                        <w:spacing w:val="0"/>
                        <w:sz w:val="12"/>
                        <w:szCs w:val="12"/>
                      </w:rPr>
                      <w:t>托科德德语</w:t>
                    </w:r>
                  </w:p>
                </w:txbxContent>
              </v:textbox>
            </v:rect>
            <v:rect id="_x0000_s2199" style="position:absolute;left:2550;top:8120;width:761;height:312" o:regroupid="26" filled="f" stroked="f">
              <v:textbox style="mso-next-textbox:#_x0000_s2199" inset="0,0,0,0">
                <w:txbxContent>
                  <w:p w:rsidR="00692915" w:rsidRDefault="00692915">
                    <w:pPr>
                      <w:spacing w:line="180" w:lineRule="exact"/>
                      <w:ind w:firstLineChars="0" w:firstLine="0"/>
                      <w:jc w:val="right"/>
                      <w:rPr>
                        <w:rFonts w:hint="eastAsia"/>
                        <w:sz w:val="14"/>
                      </w:rPr>
                    </w:pPr>
                    <w:r>
                      <w:rPr>
                        <w:rFonts w:ascii="Arial" w:hAnsi="Arial" w:cs="Arial" w:hint="eastAsia"/>
                        <w:color w:val="000000"/>
                        <w:spacing w:val="0"/>
                        <w:sz w:val="12"/>
                        <w:szCs w:val="12"/>
                      </w:rPr>
                      <w:t>法塔鲁库语</w:t>
                    </w:r>
                  </w:p>
                </w:txbxContent>
              </v:textbox>
            </v:rect>
            <v:rect id="_x0000_s2200" style="position:absolute;left:2618;top:7873;width:689;height:168" o:regroupid="26" filled="f" stroked="f">
              <v:textbox style="mso-next-textbox:#_x0000_s2200" inset="0,0,0,0">
                <w:txbxContent>
                  <w:p w:rsidR="00692915" w:rsidRDefault="00692915">
                    <w:pPr>
                      <w:spacing w:line="180" w:lineRule="exact"/>
                      <w:ind w:firstLineChars="0" w:firstLine="0"/>
                      <w:jc w:val="right"/>
                      <w:rPr>
                        <w:rFonts w:hint="eastAsia"/>
                        <w:sz w:val="14"/>
                      </w:rPr>
                    </w:pPr>
                    <w:r>
                      <w:rPr>
                        <w:rFonts w:ascii="Arial" w:hAnsi="Arial" w:cs="Arial" w:hint="eastAsia"/>
                        <w:color w:val="000000"/>
                        <w:spacing w:val="0"/>
                        <w:sz w:val="12"/>
                        <w:szCs w:val="12"/>
                      </w:rPr>
                      <w:t>拜科努语</w:t>
                    </w:r>
                  </w:p>
                </w:txbxContent>
              </v:textbox>
            </v:rect>
            <v:rect id="_x0000_s2201" style="position:absolute;left:2668;top:7642;width:633;height:305" o:regroupid="26" filled="f" stroked="f">
              <v:textbox style="mso-next-textbox:#_x0000_s2201" inset="0,0,0,0">
                <w:txbxContent>
                  <w:p w:rsidR="00692915" w:rsidRDefault="00692915">
                    <w:pPr>
                      <w:spacing w:line="180" w:lineRule="exact"/>
                      <w:ind w:firstLineChars="0" w:firstLine="0"/>
                      <w:jc w:val="right"/>
                      <w:rPr>
                        <w:rFonts w:hint="eastAsia"/>
                        <w:sz w:val="14"/>
                      </w:rPr>
                    </w:pPr>
                    <w:r>
                      <w:rPr>
                        <w:rFonts w:ascii="Arial" w:hAnsi="Arial" w:cs="Arial" w:hint="eastAsia"/>
                        <w:color w:val="000000"/>
                        <w:spacing w:val="0"/>
                        <w:sz w:val="12"/>
                        <w:szCs w:val="12"/>
                      </w:rPr>
                      <w:t>阿托尼语</w:t>
                    </w:r>
                  </w:p>
                </w:txbxContent>
              </v:textbox>
            </v:rect>
            <v:rect id="_x0000_s2202" style="position:absolute;left:2555;top:7395;width:745;height:193" o:regroupid="26" filled="f" stroked="f">
              <v:textbox style="mso-next-textbox:#_x0000_s2202" inset="0,0,0,0">
                <w:txbxContent>
                  <w:p w:rsidR="00692915" w:rsidRDefault="00692915">
                    <w:pPr>
                      <w:spacing w:line="180" w:lineRule="exact"/>
                      <w:ind w:firstLineChars="0" w:firstLine="0"/>
                      <w:jc w:val="right"/>
                      <w:rPr>
                        <w:rFonts w:hint="eastAsia"/>
                        <w:sz w:val="14"/>
                      </w:rPr>
                    </w:pPr>
                    <w:r>
                      <w:rPr>
                        <w:rFonts w:ascii="Arial" w:hAnsi="Arial" w:cs="Arial" w:hint="eastAsia"/>
                        <w:color w:val="000000"/>
                        <w:spacing w:val="0"/>
                        <w:sz w:val="12"/>
                        <w:szCs w:val="12"/>
                      </w:rPr>
                      <w:t>槐玛语</w:t>
                    </w:r>
                  </w:p>
                </w:txbxContent>
              </v:textbox>
            </v:rect>
            <v:rect id="_x0000_s2203" style="position:absolute;left:2670;top:7152;width:641;height:305" o:regroupid="26" filled="f" stroked="f">
              <v:textbox style="mso-next-textbox:#_x0000_s2203" inset="0,0,0,0">
                <w:txbxContent>
                  <w:p w:rsidR="00692915" w:rsidRDefault="00692915">
                    <w:pPr>
                      <w:spacing w:line="180" w:lineRule="exact"/>
                      <w:ind w:firstLineChars="0" w:firstLine="0"/>
                      <w:jc w:val="right"/>
                      <w:rPr>
                        <w:rFonts w:ascii="Arial" w:hAnsi="Arial" w:cs="Arial" w:hint="eastAsia"/>
                        <w:color w:val="000000"/>
                        <w:spacing w:val="0"/>
                        <w:sz w:val="14"/>
                        <w:szCs w:val="12"/>
                      </w:rPr>
                    </w:pPr>
                    <w:r>
                      <w:rPr>
                        <w:rFonts w:ascii="Arial" w:hAnsi="Arial" w:cs="Arial" w:hint="eastAsia"/>
                        <w:color w:val="000000"/>
                        <w:spacing w:val="0"/>
                        <w:sz w:val="12"/>
                        <w:szCs w:val="12"/>
                      </w:rPr>
                      <w:t>瑙艾提语</w:t>
                    </w:r>
                  </w:p>
                </w:txbxContent>
              </v:textbox>
            </v:rect>
            <v:rect id="_x0000_s2204" style="position:absolute;left:2541;top:6979;width:720;height:163" o:regroupid="26" filled="f" stroked="f">
              <v:textbox style="mso-next-textbox:#_x0000_s2204" inset="0,0,0,0">
                <w:txbxContent>
                  <w:p w:rsidR="00692915" w:rsidRDefault="00692915" w:rsidP="009A1C1B">
                    <w:pPr>
                      <w:ind w:firstLine="31680"/>
                      <w:rPr>
                        <w:rFonts w:hint="eastAsia"/>
                        <w:sz w:val="14"/>
                      </w:rPr>
                    </w:pPr>
                  </w:p>
                </w:txbxContent>
              </v:textbox>
            </v:rect>
            <v:rect id="_x0000_s2205" style="position:absolute;left:2661;top:6653;width:640;height:251" o:regroupid="26" filled="f" stroked="f">
              <v:textbox style="mso-next-textbox:#_x0000_s2205" inset="0,0,0,0">
                <w:txbxContent>
                  <w:p w:rsidR="00692915" w:rsidRDefault="00692915">
                    <w:pPr>
                      <w:spacing w:line="180" w:lineRule="exact"/>
                      <w:ind w:firstLineChars="0" w:firstLine="0"/>
                      <w:jc w:val="right"/>
                      <w:rPr>
                        <w:rFonts w:ascii="Arial" w:hAnsi="Arial" w:cs="Arial" w:hint="eastAsia"/>
                        <w:color w:val="000000"/>
                        <w:spacing w:val="0"/>
                        <w:sz w:val="14"/>
                        <w:szCs w:val="12"/>
                      </w:rPr>
                    </w:pPr>
                    <w:r>
                      <w:rPr>
                        <w:rFonts w:ascii="Arial" w:hAnsi="Arial" w:cs="Arial" w:hint="eastAsia"/>
                        <w:color w:val="000000"/>
                        <w:spacing w:val="0"/>
                        <w:sz w:val="12"/>
                        <w:szCs w:val="12"/>
                      </w:rPr>
                      <w:t>艾德特语</w:t>
                    </w:r>
                  </w:p>
                </w:txbxContent>
              </v:textbox>
            </v:rect>
            <v:rect id="_x0000_s2206" style="position:absolute;left:2670;top:6461;width:641;height:312" o:regroupid="26" filled="f" stroked="f">
              <v:textbox style="mso-next-textbox:#_x0000_s2206" inset="0,0,0,0">
                <w:txbxContent>
                  <w:p w:rsidR="00692915" w:rsidRDefault="00692915">
                    <w:pPr>
                      <w:spacing w:line="180" w:lineRule="exact"/>
                      <w:ind w:firstLineChars="0" w:firstLine="0"/>
                      <w:jc w:val="right"/>
                      <w:rPr>
                        <w:rFonts w:hint="eastAsia"/>
                        <w:sz w:val="14"/>
                      </w:rPr>
                    </w:pPr>
                    <w:r>
                      <w:rPr>
                        <w:rFonts w:ascii="Arial" w:hAnsi="Arial" w:cs="Arial" w:hint="eastAsia"/>
                        <w:color w:val="000000"/>
                        <w:spacing w:val="0"/>
                        <w:sz w:val="12"/>
                        <w:szCs w:val="12"/>
                      </w:rPr>
                      <w:t>米迪基语</w:t>
                    </w:r>
                  </w:p>
                </w:txbxContent>
              </v:textbox>
            </v:rect>
            <v:rect id="_x0000_s2207" style="position:absolute;left:2592;top:6202;width:720;height:213" o:regroupid="26" filled="f" stroked="f">
              <v:textbox style="mso-next-textbox:#_x0000_s2207" inset="0,0,0,0">
                <w:txbxContent>
                  <w:p w:rsidR="00692915" w:rsidRDefault="00692915">
                    <w:pPr>
                      <w:spacing w:line="180" w:lineRule="exact"/>
                      <w:ind w:firstLineChars="0" w:firstLine="0"/>
                      <w:jc w:val="right"/>
                      <w:rPr>
                        <w:rFonts w:ascii="Arial" w:hAnsi="Arial" w:cs="Arial" w:hint="eastAsia"/>
                        <w:color w:val="000000"/>
                        <w:spacing w:val="0"/>
                        <w:sz w:val="14"/>
                        <w:szCs w:val="12"/>
                      </w:rPr>
                    </w:pPr>
                    <w:r>
                      <w:rPr>
                        <w:rFonts w:ascii="Arial" w:hAnsi="Arial" w:cs="Arial" w:hint="eastAsia"/>
                        <w:color w:val="000000"/>
                        <w:spacing w:val="0"/>
                        <w:sz w:val="12"/>
                        <w:szCs w:val="12"/>
                      </w:rPr>
                      <w:t>马卡勒罗语</w:t>
                    </w:r>
                  </w:p>
                </w:txbxContent>
              </v:textbox>
            </v:rect>
            <v:rect id="_x0000_s2208" style="position:absolute;left:2832;top:5969;width:480;height:175" o:regroupid="26" filled="f" stroked="f">
              <v:textbox style="mso-next-textbox:#_x0000_s2208" inset="0,0,0,0">
                <w:txbxContent>
                  <w:p w:rsidR="00692915" w:rsidRDefault="00692915">
                    <w:pPr>
                      <w:spacing w:line="180" w:lineRule="exact"/>
                      <w:ind w:firstLineChars="0" w:firstLine="0"/>
                      <w:jc w:val="right"/>
                      <w:rPr>
                        <w:rFonts w:hint="eastAsia"/>
                        <w:sz w:val="14"/>
                      </w:rPr>
                    </w:pPr>
                    <w:r>
                      <w:rPr>
                        <w:rFonts w:ascii="Arial" w:hAnsi="Arial" w:cs="Arial" w:hint="eastAsia"/>
                        <w:color w:val="000000"/>
                        <w:spacing w:val="0"/>
                        <w:sz w:val="12"/>
                        <w:szCs w:val="12"/>
                      </w:rPr>
                      <w:t>凯瑞语</w:t>
                    </w:r>
                  </w:p>
                </w:txbxContent>
              </v:textbox>
            </v:rect>
            <v:rect id="_x0000_s2209" style="position:absolute;left:2722;top:5730;width:600;height:206" o:regroupid="26" filled="f" stroked="f">
              <v:textbox style="mso-next-textbox:#_x0000_s2209" inset="0,0,0,0">
                <w:txbxContent>
                  <w:p w:rsidR="00692915" w:rsidRDefault="00692915">
                    <w:pPr>
                      <w:spacing w:line="180" w:lineRule="exact"/>
                      <w:ind w:firstLineChars="0" w:firstLine="0"/>
                      <w:jc w:val="right"/>
                      <w:rPr>
                        <w:rFonts w:ascii="Arial" w:hAnsi="Arial" w:cs="Arial" w:hint="eastAsia"/>
                        <w:color w:val="000000"/>
                        <w:spacing w:val="0"/>
                        <w:sz w:val="14"/>
                        <w:szCs w:val="12"/>
                      </w:rPr>
                    </w:pPr>
                    <w:r>
                      <w:rPr>
                        <w:rFonts w:ascii="Arial" w:hAnsi="Arial" w:cs="Arial" w:hint="eastAsia"/>
                        <w:color w:val="000000"/>
                        <w:spacing w:val="0"/>
                        <w:sz w:val="12"/>
                        <w:szCs w:val="12"/>
                      </w:rPr>
                      <w:t>贝凯斯语</w:t>
                    </w:r>
                  </w:p>
                </w:txbxContent>
              </v:textbox>
            </v:rect>
            <v:rect id="_x0000_s2210" style="position:absolute;left:2741;top:5469;width:580;height:162" o:regroupid="26" filled="f" stroked="f">
              <v:textbox style="mso-next-textbox:#_x0000_s2210" inset="0,0,0,0">
                <w:txbxContent>
                  <w:p w:rsidR="00692915" w:rsidRDefault="00692915">
                    <w:pPr>
                      <w:spacing w:line="180" w:lineRule="exact"/>
                      <w:ind w:firstLineChars="0" w:firstLine="0"/>
                      <w:jc w:val="right"/>
                      <w:rPr>
                        <w:rFonts w:hint="eastAsia"/>
                        <w:sz w:val="14"/>
                      </w:rPr>
                    </w:pPr>
                    <w:r>
                      <w:rPr>
                        <w:rFonts w:ascii="Arial" w:hAnsi="Arial" w:cs="Arial" w:hint="eastAsia"/>
                        <w:color w:val="000000"/>
                        <w:spacing w:val="0"/>
                        <w:sz w:val="12"/>
                        <w:szCs w:val="12"/>
                      </w:rPr>
                      <w:t>拉卡雷语</w:t>
                    </w:r>
                  </w:p>
                </w:txbxContent>
              </v:textbox>
            </v:rect>
            <v:rect id="_x0000_s2211" style="position:absolute;left:2473;top:5235;width:861;height:200" o:regroupid="26" filled="f" stroked="f">
              <v:textbox style="mso-next-textbox:#_x0000_s2211" inset="0,0,0,0">
                <w:txbxContent>
                  <w:p w:rsidR="00692915" w:rsidRDefault="00692915">
                    <w:pPr>
                      <w:spacing w:line="180" w:lineRule="exact"/>
                      <w:ind w:firstLineChars="0" w:firstLine="0"/>
                      <w:jc w:val="right"/>
                      <w:rPr>
                        <w:rFonts w:hint="eastAsia"/>
                        <w:sz w:val="14"/>
                      </w:rPr>
                    </w:pPr>
                    <w:r>
                      <w:rPr>
                        <w:rFonts w:ascii="Arial" w:hAnsi="Arial" w:cs="Arial" w:hint="eastAsia"/>
                        <w:color w:val="000000"/>
                        <w:spacing w:val="0"/>
                        <w:sz w:val="12"/>
                        <w:szCs w:val="12"/>
                      </w:rPr>
                      <w:t>印度尼西亚语</w:t>
                    </w:r>
                  </w:p>
                </w:txbxContent>
              </v:textbox>
            </v:rect>
            <v:rect id="_x0000_s2212" style="position:absolute;left:2744;top:4997;width:600;height:178" o:regroupid="26" filled="f" stroked="f">
              <v:textbox style="mso-next-textbox:#_x0000_s2212" inset="0,0,0,0">
                <w:txbxContent>
                  <w:p w:rsidR="00692915" w:rsidRDefault="00692915">
                    <w:pPr>
                      <w:spacing w:line="180" w:lineRule="exact"/>
                      <w:ind w:firstLineChars="0" w:firstLine="0"/>
                      <w:jc w:val="right"/>
                      <w:rPr>
                        <w:rFonts w:hint="eastAsia"/>
                        <w:sz w:val="14"/>
                      </w:rPr>
                    </w:pPr>
                    <w:r>
                      <w:rPr>
                        <w:rFonts w:ascii="Arial" w:hAnsi="Arial" w:cs="Arial" w:hint="eastAsia"/>
                        <w:color w:val="000000"/>
                        <w:spacing w:val="0"/>
                        <w:sz w:val="12"/>
                        <w:szCs w:val="12"/>
                      </w:rPr>
                      <w:t>雷苏克语</w:t>
                    </w:r>
                  </w:p>
                </w:txbxContent>
              </v:textbox>
            </v:rect>
            <v:rect id="_x0000_s2213" style="position:absolute;left:2501;top:4787;width:840;height:186" o:regroupid="26" filled="f" stroked="f">
              <v:textbox style="mso-next-textbox:#_x0000_s2213" inset="0,0,0,0">
                <w:txbxContent>
                  <w:p w:rsidR="00692915" w:rsidRDefault="00692915">
                    <w:pPr>
                      <w:spacing w:line="180" w:lineRule="exact"/>
                      <w:ind w:firstLineChars="0" w:firstLine="0"/>
                      <w:jc w:val="right"/>
                      <w:rPr>
                        <w:rFonts w:hint="eastAsia"/>
                        <w:sz w:val="14"/>
                      </w:rPr>
                    </w:pPr>
                    <w:r>
                      <w:rPr>
                        <w:rFonts w:ascii="Arial" w:hAnsi="Arial" w:cs="Arial" w:hint="eastAsia"/>
                        <w:color w:val="000000"/>
                        <w:spacing w:val="0"/>
                        <w:sz w:val="12"/>
                        <w:szCs w:val="12"/>
                      </w:rPr>
                      <w:t>拉克伦古语</w:t>
                    </w:r>
                  </w:p>
                </w:txbxContent>
              </v:textbox>
            </v:rect>
            <v:rect id="_x0000_s2214" style="position:absolute;left:2604;top:4533;width:744;height:162" o:regroupid="26" filled="f" stroked="f">
              <v:textbox style="mso-next-textbox:#_x0000_s2214" inset="0,0,0,0">
                <w:txbxContent>
                  <w:p w:rsidR="00692915" w:rsidRDefault="00692915">
                    <w:pPr>
                      <w:spacing w:line="180" w:lineRule="exact"/>
                      <w:ind w:firstLineChars="0" w:firstLine="0"/>
                      <w:jc w:val="right"/>
                      <w:rPr>
                        <w:rFonts w:hint="eastAsia"/>
                        <w:sz w:val="14"/>
                      </w:rPr>
                    </w:pPr>
                    <w:r>
                      <w:rPr>
                        <w:rFonts w:ascii="Arial" w:hAnsi="Arial" w:cs="Arial" w:hint="eastAsia"/>
                        <w:color w:val="000000"/>
                        <w:spacing w:val="0"/>
                        <w:sz w:val="12"/>
                        <w:szCs w:val="12"/>
                      </w:rPr>
                      <w:t>拉苏克语</w:t>
                    </w:r>
                  </w:p>
                </w:txbxContent>
              </v:textbox>
            </v:rect>
            <v:rect id="_x0000_s2215" style="position:absolute;left:2741;top:4286;width:586;height:173" o:regroupid="26" filled="f" stroked="f">
              <v:textbox style="mso-next-textbox:#_x0000_s2215" inset="0,0,0,0">
                <w:txbxContent>
                  <w:p w:rsidR="00692915" w:rsidRDefault="00692915">
                    <w:pPr>
                      <w:spacing w:line="180" w:lineRule="exact"/>
                      <w:ind w:firstLineChars="0" w:firstLine="0"/>
                      <w:jc w:val="right"/>
                      <w:rPr>
                        <w:rFonts w:hint="eastAsia"/>
                        <w:sz w:val="12"/>
                      </w:rPr>
                    </w:pPr>
                    <w:r>
                      <w:rPr>
                        <w:rFonts w:ascii="Arial" w:hAnsi="Arial" w:cs="Arial" w:hint="eastAsia"/>
                        <w:color w:val="000000"/>
                        <w:spacing w:val="0"/>
                        <w:sz w:val="12"/>
                        <w:szCs w:val="12"/>
                      </w:rPr>
                      <w:t>哈本语</w:t>
                    </w:r>
                  </w:p>
                </w:txbxContent>
              </v:textbox>
            </v:rect>
            <v:rect id="_x0000_s2216" style="position:absolute;left:2741;top:4045;width:612;height:162" o:regroupid="26" filled="f" stroked="f">
              <v:textbox style="mso-next-textbox:#_x0000_s2216" inset="0,0,0,0">
                <w:txbxContent>
                  <w:p w:rsidR="00692915" w:rsidRDefault="00692915">
                    <w:pPr>
                      <w:spacing w:line="180" w:lineRule="exact"/>
                      <w:ind w:firstLineChars="0" w:firstLine="0"/>
                      <w:jc w:val="right"/>
                      <w:rPr>
                        <w:rFonts w:hint="eastAsia"/>
                        <w:sz w:val="12"/>
                      </w:rPr>
                    </w:pPr>
                    <w:r>
                      <w:rPr>
                        <w:rFonts w:ascii="Arial" w:hAnsi="Arial" w:cs="Arial" w:hint="eastAsia"/>
                        <w:color w:val="000000"/>
                        <w:spacing w:val="0"/>
                        <w:sz w:val="12"/>
                        <w:szCs w:val="12"/>
                      </w:rPr>
                      <w:t>达杜阿语</w:t>
                    </w:r>
                  </w:p>
                </w:txbxContent>
              </v:textbox>
            </v:rect>
            <v:rect id="_x0000_s2217" style="position:absolute;left:2741;top:3820;width:600;height:166" o:regroupid="26" filled="f" stroked="f">
              <v:textbox style="mso-next-textbox:#_x0000_s2217" inset="0,0,0,0">
                <w:txbxContent>
                  <w:p w:rsidR="00692915" w:rsidRDefault="00692915">
                    <w:pPr>
                      <w:spacing w:line="180" w:lineRule="exact"/>
                      <w:ind w:firstLineChars="0" w:firstLine="0"/>
                      <w:jc w:val="right"/>
                      <w:rPr>
                        <w:rFonts w:hint="eastAsia"/>
                        <w:spacing w:val="0"/>
                        <w:sz w:val="12"/>
                      </w:rPr>
                    </w:pPr>
                    <w:r>
                      <w:rPr>
                        <w:rFonts w:ascii="Arial" w:hAnsi="Arial" w:cs="Arial" w:hint="eastAsia"/>
                        <w:color w:val="000000"/>
                        <w:spacing w:val="0"/>
                        <w:sz w:val="12"/>
                        <w:szCs w:val="12"/>
                      </w:rPr>
                      <w:t>罗伦语</w:t>
                    </w:r>
                  </w:p>
                </w:txbxContent>
              </v:textbox>
            </v:rect>
            <v:rect id="_x0000_s2218" style="position:absolute;left:2061;top:3196;width:7943;height:7270" o:regroupid="26" filled="f" strokeweight="1.45pt"/>
          </v:group>
        </w:pict>
      </w:r>
      <w:r>
        <w:rPr>
          <w:color w:val="000000"/>
          <w:sz w:val="24"/>
        </w:rPr>
        <w:t>2004</w:t>
      </w:r>
      <w:r>
        <w:rPr>
          <w:rFonts w:hint="eastAsia"/>
          <w:color w:val="000000"/>
          <w:sz w:val="24"/>
        </w:rPr>
        <w:t>年总人口（</w:t>
      </w:r>
      <w:r>
        <w:rPr>
          <w:rFonts w:hint="eastAsia"/>
          <w:color w:val="000000"/>
          <w:sz w:val="24"/>
        </w:rPr>
        <w:t>%</w:t>
      </w:r>
      <w:r>
        <w:rPr>
          <w:rFonts w:hint="eastAsia"/>
          <w:color w:val="000000"/>
          <w:sz w:val="24"/>
        </w:rPr>
        <w:t>）中至少有</w:t>
      </w:r>
      <w:r>
        <w:rPr>
          <w:rFonts w:hint="eastAsia"/>
          <w:color w:val="000000"/>
          <w:sz w:val="24"/>
        </w:rPr>
        <w:t>1 000</w:t>
      </w:r>
      <w:r>
        <w:rPr>
          <w:rFonts w:hint="eastAsia"/>
          <w:color w:val="000000"/>
          <w:sz w:val="24"/>
        </w:rPr>
        <w:t>人使用的语言</w:t>
      </w:r>
    </w:p>
    <w:p w:rsidR="00692915" w:rsidRDefault="00692915">
      <w:pPr>
        <w:ind w:firstLineChars="0" w:firstLine="0"/>
        <w:jc w:val="center"/>
        <w:rPr>
          <w:color w:val="000000"/>
        </w:rPr>
      </w:pPr>
      <w:r>
        <w:rPr>
          <w:color w:val="000000"/>
        </w:rPr>
        <w:pict>
          <v:shape id="_x0000_i1027" type="#_x0000_t75" style="width:400.5pt;height:363.75pt">
            <v:imagedata croptop="-65520f" cropbottom="65520f"/>
          </v:shape>
        </w:pict>
      </w:r>
    </w:p>
    <w:p w:rsidR="00692915" w:rsidRDefault="00692915" w:rsidP="009A1C1B">
      <w:pPr>
        <w:spacing w:after="240"/>
        <w:ind w:firstLine="31680"/>
        <w:rPr>
          <w:rFonts w:hint="eastAsia"/>
          <w:color w:val="000000"/>
          <w:sz w:val="21"/>
          <w:szCs w:val="24"/>
        </w:rPr>
      </w:pPr>
      <w:r>
        <w:rPr>
          <w:rFonts w:eastAsia="KaiTi_GB2312" w:hint="eastAsia"/>
          <w:color w:val="000000"/>
          <w:sz w:val="21"/>
        </w:rPr>
        <w:t>资料来源</w:t>
      </w:r>
      <w:r>
        <w:rPr>
          <w:rFonts w:hint="eastAsia"/>
          <w:color w:val="000000"/>
          <w:sz w:val="21"/>
        </w:rPr>
        <w:t>：</w:t>
      </w:r>
      <w:r>
        <w:rPr>
          <w:rFonts w:hint="eastAsia"/>
          <w:color w:val="000000"/>
          <w:sz w:val="21"/>
        </w:rPr>
        <w:t>2004</w:t>
      </w:r>
      <w:r>
        <w:rPr>
          <w:rFonts w:hint="eastAsia"/>
          <w:color w:val="000000"/>
          <w:sz w:val="21"/>
        </w:rPr>
        <w:t>年东帝汶人口普查，根据表</w:t>
      </w:r>
      <w:r>
        <w:rPr>
          <w:rFonts w:hint="eastAsia"/>
          <w:color w:val="000000"/>
          <w:sz w:val="21"/>
        </w:rPr>
        <w:t>E</w:t>
      </w:r>
      <w:r>
        <w:rPr>
          <w:rFonts w:hint="eastAsia"/>
          <w:color w:val="000000"/>
          <w:sz w:val="21"/>
        </w:rPr>
        <w:t>系列</w:t>
      </w:r>
      <w:r>
        <w:rPr>
          <w:color w:val="000000"/>
          <w:sz w:val="21"/>
        </w:rPr>
        <w:t>TE05</w:t>
      </w:r>
      <w:r>
        <w:rPr>
          <w:rFonts w:hint="eastAsia"/>
          <w:color w:val="000000"/>
          <w:sz w:val="21"/>
        </w:rPr>
        <w:t>的数据计算。</w:t>
      </w:r>
    </w:p>
    <w:p w:rsidR="00692915" w:rsidRDefault="00692915">
      <w:pPr>
        <w:pStyle w:val="Heading5"/>
        <w:ind w:firstLineChars="0" w:firstLine="0"/>
        <w:rPr>
          <w:rFonts w:eastAsia="KaiTi_GB2312" w:hint="eastAsia"/>
          <w:b w:val="0"/>
          <w:bCs/>
          <w:i w:val="0"/>
          <w:iCs/>
          <w:color w:val="000000"/>
          <w:szCs w:val="24"/>
          <w:lang w:eastAsia="zh-CN"/>
        </w:rPr>
      </w:pPr>
      <w:r>
        <w:rPr>
          <w:rFonts w:eastAsia="KaiTi_GB2312" w:hint="eastAsia"/>
          <w:b w:val="0"/>
          <w:bCs/>
          <w:i w:val="0"/>
          <w:iCs/>
          <w:color w:val="000000"/>
          <w:lang w:eastAsia="zh-CN"/>
        </w:rPr>
        <w:t>读写能力</w:t>
      </w:r>
    </w:p>
    <w:p w:rsidR="00692915" w:rsidRDefault="00692915" w:rsidP="009A1C1B">
      <w:pPr>
        <w:ind w:firstLine="31680"/>
        <w:rPr>
          <w:rFonts w:hint="eastAsia"/>
          <w:bCs/>
          <w:color w:val="000000"/>
        </w:rPr>
      </w:pPr>
      <w:r>
        <w:rPr>
          <w:rFonts w:hint="eastAsia"/>
          <w:bCs/>
          <w:color w:val="000000"/>
        </w:rPr>
        <w:t>从总体上来说，</w:t>
      </w:r>
      <w:r>
        <w:rPr>
          <w:rFonts w:hint="eastAsia"/>
          <w:bCs/>
          <w:color w:val="000000"/>
        </w:rPr>
        <w:t>2004</w:t>
      </w:r>
      <w:r>
        <w:rPr>
          <w:rFonts w:hint="eastAsia"/>
          <w:bCs/>
          <w:color w:val="000000"/>
        </w:rPr>
        <w:t>年东帝汶人口中有</w:t>
      </w:r>
      <w:r>
        <w:rPr>
          <w:rFonts w:hint="eastAsia"/>
          <w:bCs/>
          <w:color w:val="000000"/>
        </w:rPr>
        <w:t>25%</w:t>
      </w:r>
      <w:r>
        <w:rPr>
          <w:rFonts w:hint="eastAsia"/>
          <w:bCs/>
          <w:color w:val="000000"/>
        </w:rPr>
        <w:t>的女性为文盲，</w:t>
      </w:r>
      <w:r>
        <w:rPr>
          <w:rFonts w:hint="eastAsia"/>
          <w:bCs/>
          <w:color w:val="000000"/>
        </w:rPr>
        <w:t>22%</w:t>
      </w:r>
      <w:r>
        <w:rPr>
          <w:rFonts w:hint="eastAsia"/>
          <w:bCs/>
          <w:color w:val="000000"/>
        </w:rPr>
        <w:t>的男性为文盲。</w:t>
      </w:r>
    </w:p>
    <w:p w:rsidR="00692915" w:rsidRDefault="00692915" w:rsidP="009A1C1B">
      <w:pPr>
        <w:ind w:firstLine="31680"/>
        <w:rPr>
          <w:rFonts w:hint="eastAsia"/>
          <w:bCs/>
          <w:color w:val="000000"/>
        </w:rPr>
      </w:pPr>
      <w:r>
        <w:rPr>
          <w:rFonts w:hint="eastAsia"/>
          <w:bCs/>
          <w:color w:val="000000"/>
        </w:rPr>
        <w:t>2004</w:t>
      </w:r>
      <w:r>
        <w:rPr>
          <w:rFonts w:hint="eastAsia"/>
          <w:bCs/>
          <w:color w:val="000000"/>
        </w:rPr>
        <w:t>年人口普查根据住户中被调查者的报告情况，分别就所有主要语言的读写能力获取了相关数据。数据所反映的是被调查者的评价结果（通常为男性户主），而并非以任何事先确定的标准为依据。</w:t>
      </w:r>
      <w:r>
        <w:rPr>
          <w:rStyle w:val="FootnoteReference"/>
          <w:bCs/>
          <w:color w:val="000000"/>
        </w:rPr>
        <w:footnoteReference w:id="394"/>
      </w:r>
      <w:r>
        <w:rPr>
          <w:rFonts w:hint="eastAsia"/>
          <w:bCs/>
          <w:color w:val="000000"/>
        </w:rPr>
        <w:t>因此，数据有可能夸大人口的读写水平。</w:t>
      </w:r>
    </w:p>
    <w:p w:rsidR="00692915" w:rsidRDefault="00692915" w:rsidP="009A1C1B">
      <w:pPr>
        <w:ind w:firstLine="31680"/>
        <w:rPr>
          <w:rFonts w:hint="eastAsia"/>
          <w:bCs/>
          <w:color w:val="000000"/>
        </w:rPr>
      </w:pPr>
      <w:r>
        <w:rPr>
          <w:bCs/>
          <w:color w:val="000000"/>
        </w:rPr>
        <w:br w:type="page"/>
      </w:r>
      <w:r>
        <w:rPr>
          <w:rFonts w:hint="eastAsia"/>
          <w:bCs/>
          <w:color w:val="000000"/>
        </w:rPr>
        <w:t>在</w:t>
      </w:r>
      <w:r>
        <w:rPr>
          <w:rFonts w:hint="eastAsia"/>
          <w:bCs/>
          <w:color w:val="000000"/>
        </w:rPr>
        <w:t>40</w:t>
      </w:r>
      <w:r>
        <w:rPr>
          <w:rFonts w:hint="eastAsia"/>
          <w:bCs/>
          <w:color w:val="000000"/>
        </w:rPr>
        <w:t>岁以上的人群中，尤其是妇女中，文盲率要高出很多（图</w:t>
      </w:r>
      <w:r>
        <w:rPr>
          <w:rFonts w:hint="eastAsia"/>
          <w:bCs/>
          <w:color w:val="000000"/>
        </w:rPr>
        <w:t>4</w:t>
      </w:r>
      <w:r>
        <w:rPr>
          <w:rFonts w:hint="eastAsia"/>
          <w:bCs/>
          <w:color w:val="000000"/>
        </w:rPr>
        <w:t>）。</w:t>
      </w:r>
    </w:p>
    <w:p w:rsidR="00692915" w:rsidRDefault="00692915" w:rsidP="009A1C1B">
      <w:pPr>
        <w:spacing w:afterLines="50" w:after="180"/>
        <w:ind w:firstLine="31680"/>
        <w:rPr>
          <w:rFonts w:hint="eastAsia"/>
          <w:color w:val="000000"/>
        </w:rPr>
      </w:pPr>
      <w:r>
        <w:rPr>
          <w:rFonts w:hint="eastAsia"/>
          <w:bCs/>
          <w:color w:val="000000"/>
        </w:rPr>
        <w:t>在</w:t>
      </w:r>
      <w:r>
        <w:rPr>
          <w:rFonts w:hint="eastAsia"/>
          <w:bCs/>
          <w:color w:val="000000"/>
        </w:rPr>
        <w:t>9</w:t>
      </w:r>
      <w:r>
        <w:rPr>
          <w:rFonts w:hint="eastAsia"/>
          <w:bCs/>
          <w:color w:val="000000"/>
        </w:rPr>
        <w:t>岁以上所有年龄段的人群中，具有读写能力的男性比率高于女性（图</w:t>
      </w:r>
      <w:r>
        <w:rPr>
          <w:rFonts w:hint="eastAsia"/>
          <w:bCs/>
          <w:color w:val="000000"/>
        </w:rPr>
        <w:t>4</w:t>
      </w:r>
      <w:r>
        <w:rPr>
          <w:rFonts w:hint="eastAsia"/>
          <w:bCs/>
          <w:color w:val="000000"/>
        </w:rPr>
        <w:t>）。这说明实际上存在的歧视问题仍然限制着妇女和女孩受教育的机会。</w:t>
      </w:r>
    </w:p>
    <w:p w:rsidR="00692915" w:rsidRDefault="00692915">
      <w:pPr>
        <w:pStyle w:val="Heading2"/>
        <w:spacing w:after="200"/>
        <w:rPr>
          <w:color w:val="000000"/>
          <w:sz w:val="24"/>
        </w:rPr>
      </w:pPr>
      <w:bookmarkStart w:id="148" w:name="_Toc129501075"/>
      <w:bookmarkStart w:id="149" w:name="_Toc131956575"/>
      <w:bookmarkStart w:id="150" w:name="_Toc132732261"/>
      <w:r>
        <w:rPr>
          <w:rFonts w:hint="eastAsia"/>
          <w:color w:val="000000"/>
          <w:sz w:val="24"/>
        </w:rPr>
        <w:t>图</w:t>
      </w:r>
      <w:r>
        <w:rPr>
          <w:color w:val="000000"/>
          <w:sz w:val="24"/>
        </w:rPr>
        <w:t xml:space="preserve"> </w:t>
      </w:r>
      <w:r>
        <w:rPr>
          <w:noProof/>
          <w:color w:val="000000"/>
          <w:sz w:val="24"/>
        </w:rPr>
        <w:t>4</w:t>
      </w:r>
    </w:p>
    <w:bookmarkEnd w:id="148"/>
    <w:bookmarkEnd w:id="149"/>
    <w:bookmarkEnd w:id="150"/>
    <w:p w:rsidR="00692915" w:rsidRDefault="00692915">
      <w:pPr>
        <w:pStyle w:val="Heading2"/>
        <w:spacing w:after="200"/>
        <w:rPr>
          <w:rFonts w:hint="eastAsia"/>
          <w:color w:val="000000"/>
        </w:rPr>
      </w:pPr>
      <w:r>
        <w:rPr>
          <w:rFonts w:hint="eastAsia"/>
          <w:color w:val="000000"/>
          <w:sz w:val="24"/>
        </w:rPr>
        <w:t>按年龄组和性别划分的</w:t>
      </w:r>
      <w:r>
        <w:rPr>
          <w:rFonts w:hint="eastAsia"/>
          <w:color w:val="000000"/>
          <w:sz w:val="24"/>
        </w:rPr>
        <w:t xml:space="preserve">2004 </w:t>
      </w:r>
      <w:r>
        <w:rPr>
          <w:rFonts w:hint="eastAsia"/>
          <w:color w:val="000000"/>
          <w:sz w:val="24"/>
        </w:rPr>
        <w:t>年</w:t>
      </w:r>
      <w:r>
        <w:rPr>
          <w:rFonts w:hint="eastAsia"/>
          <w:color w:val="000000"/>
          <w:sz w:val="24"/>
        </w:rPr>
        <w:t>15</w:t>
      </w:r>
      <w:r>
        <w:rPr>
          <w:rFonts w:hint="eastAsia"/>
          <w:color w:val="000000"/>
          <w:sz w:val="24"/>
        </w:rPr>
        <w:t>岁以上</w:t>
      </w:r>
      <w:r>
        <w:rPr>
          <w:color w:val="000000"/>
          <w:sz w:val="24"/>
        </w:rPr>
        <w:br/>
      </w:r>
      <w:r>
        <w:rPr>
          <w:rFonts w:hint="eastAsia"/>
          <w:color w:val="000000"/>
          <w:sz w:val="24"/>
        </w:rPr>
        <w:t>人群的脱盲情况（</w:t>
      </w:r>
      <w:r>
        <w:rPr>
          <w:rFonts w:hint="eastAsia"/>
          <w:color w:val="000000"/>
          <w:sz w:val="24"/>
        </w:rPr>
        <w:t>%</w:t>
      </w:r>
      <w:r>
        <w:rPr>
          <w:rFonts w:hint="eastAsia"/>
          <w:color w:val="000000"/>
          <w:sz w:val="24"/>
        </w:rPr>
        <w:t>）</w:t>
      </w:r>
    </w:p>
    <w:bookmarkStart w:id="151" w:name="_MON_1246274377"/>
    <w:bookmarkStart w:id="152" w:name="_MON_1246274418"/>
    <w:bookmarkStart w:id="153" w:name="_MON_1247656401"/>
    <w:bookmarkStart w:id="154" w:name="_MON_1247656415"/>
    <w:bookmarkStart w:id="155" w:name="_MON_1247895821"/>
    <w:bookmarkStart w:id="156" w:name="_MON_1247895829"/>
    <w:bookmarkStart w:id="157" w:name="_MON_1247915736"/>
    <w:bookmarkStart w:id="158" w:name="_MON_1247916135"/>
    <w:bookmarkStart w:id="159" w:name="_MON_1257669927"/>
    <w:bookmarkStart w:id="160" w:name="_MON_1257677524"/>
    <w:bookmarkStart w:id="161" w:name="_MON_1257707254"/>
    <w:bookmarkStart w:id="162" w:name="_MON_1257707414"/>
    <w:bookmarkStart w:id="163" w:name="_MON_1257707441"/>
    <w:bookmarkStart w:id="164" w:name="_MON_1261399147"/>
    <w:bookmarkStart w:id="165" w:name="_MON_1261399175"/>
    <w:bookmarkStart w:id="166" w:name="_MON_1261908119"/>
    <w:bookmarkStart w:id="167" w:name="_MON_1261910512"/>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rsidR="00692915" w:rsidRDefault="00692915">
      <w:pPr>
        <w:ind w:firstLineChars="0" w:firstLine="0"/>
        <w:jc w:val="center"/>
        <w:rPr>
          <w:color w:val="000000"/>
          <w:szCs w:val="24"/>
        </w:rPr>
      </w:pPr>
      <w:r>
        <w:rPr>
          <w:color w:val="000000"/>
          <w:szCs w:val="24"/>
        </w:rPr>
        <w:object w:dxaOrig="8304" w:dyaOrig="5854">
          <v:shape id="_x0000_i1028" type="#_x0000_t75" style="width:415.5pt;height:292.5pt" o:ole="">
            <v:imagedata r:id="rId14" o:title=""/>
          </v:shape>
          <o:OLEObject Type="Embed" ProgID="Word.Picture.8" ShapeID="_x0000_i1028" DrawAspect="Content" ObjectID="_1395890537" r:id="rId15"/>
        </w:object>
      </w:r>
    </w:p>
    <w:p w:rsidR="00692915" w:rsidRDefault="00692915" w:rsidP="009A1C1B">
      <w:pPr>
        <w:ind w:firstLineChars="400" w:firstLine="31680"/>
        <w:rPr>
          <w:rFonts w:hint="eastAsia"/>
          <w:color w:val="000000"/>
          <w:sz w:val="21"/>
          <w:szCs w:val="24"/>
        </w:rPr>
      </w:pPr>
      <w:r>
        <w:rPr>
          <w:rFonts w:eastAsia="KaiTi_GB2312" w:hint="eastAsia"/>
          <w:color w:val="000000"/>
          <w:sz w:val="21"/>
        </w:rPr>
        <w:t>资料来源</w:t>
      </w:r>
      <w:r>
        <w:rPr>
          <w:rFonts w:hint="eastAsia"/>
          <w:color w:val="000000"/>
          <w:sz w:val="21"/>
        </w:rPr>
        <w:t>：东帝汶人口与住房，表</w:t>
      </w:r>
      <w:r>
        <w:rPr>
          <w:rFonts w:hint="eastAsia"/>
          <w:color w:val="000000"/>
          <w:sz w:val="21"/>
        </w:rPr>
        <w:t>2004 E</w:t>
      </w:r>
      <w:r>
        <w:rPr>
          <w:rFonts w:hint="eastAsia"/>
          <w:color w:val="000000"/>
          <w:sz w:val="21"/>
        </w:rPr>
        <w:t>。</w:t>
      </w:r>
    </w:p>
    <w:p w:rsidR="00692915" w:rsidRDefault="00692915" w:rsidP="009A1C1B">
      <w:pPr>
        <w:spacing w:after="200"/>
        <w:ind w:left="567" w:firstLine="31680"/>
        <w:rPr>
          <w:i/>
          <w:color w:val="000000"/>
        </w:rPr>
      </w:pPr>
    </w:p>
    <w:p w:rsidR="00692915" w:rsidRDefault="00692915">
      <w:pPr>
        <w:pStyle w:val="Heading2"/>
        <w:spacing w:after="200"/>
        <w:rPr>
          <w:rFonts w:hint="eastAsia"/>
          <w:color w:val="000000"/>
          <w:sz w:val="24"/>
        </w:rPr>
      </w:pPr>
      <w:bookmarkStart w:id="168" w:name="_Toc131956507"/>
      <w:bookmarkStart w:id="169" w:name="_Toc132732188"/>
      <w:bookmarkStart w:id="170" w:name="_Toc131956657"/>
      <w:bookmarkStart w:id="171" w:name="_Toc132732552"/>
      <w:r>
        <w:rPr>
          <w:color w:val="000000"/>
        </w:rPr>
        <w:br w:type="page"/>
      </w:r>
      <w:r>
        <w:rPr>
          <w:rFonts w:hint="eastAsia"/>
          <w:color w:val="000000"/>
          <w:sz w:val="24"/>
        </w:rPr>
        <w:t>文字专栏</w:t>
      </w:r>
      <w:r>
        <w:rPr>
          <w:rFonts w:hint="eastAsia"/>
          <w:color w:val="000000"/>
          <w:sz w:val="24"/>
        </w:rPr>
        <w:t xml:space="preserve">2  </w:t>
      </w:r>
    </w:p>
    <w:bookmarkEnd w:id="170"/>
    <w:bookmarkEnd w:id="171"/>
    <w:p w:rsidR="00692915" w:rsidRDefault="00692915">
      <w:pPr>
        <w:pStyle w:val="Heading2"/>
        <w:spacing w:after="200"/>
        <w:rPr>
          <w:rFonts w:hint="eastAsia"/>
          <w:noProof/>
          <w:color w:val="000000"/>
          <w:sz w:val="24"/>
        </w:rPr>
      </w:pPr>
      <w:r>
        <w:rPr>
          <w:rFonts w:hint="eastAsia"/>
          <w:noProof/>
          <w:color w:val="000000"/>
          <w:sz w:val="24"/>
        </w:rPr>
        <w:t>千年发展目标目标</w:t>
      </w:r>
      <w:r>
        <w:rPr>
          <w:rFonts w:hint="eastAsia"/>
          <w:noProof/>
          <w:color w:val="000000"/>
          <w:sz w:val="24"/>
        </w:rPr>
        <w:t>3</w:t>
      </w:r>
      <w:r>
        <w:rPr>
          <w:rFonts w:hint="eastAsia"/>
          <w:noProof/>
          <w:color w:val="000000"/>
          <w:sz w:val="24"/>
        </w:rPr>
        <w:t>的具体扫盲目标与指标</w:t>
      </w:r>
    </w:p>
    <w:tbl>
      <w:tblPr>
        <w:tblW w:w="0" w:type="auto"/>
        <w:tblInd w:w="7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171"/>
      </w:tblGrid>
      <w:tr w:rsidR="00692915">
        <w:tblPrEx>
          <w:tblCellMar>
            <w:top w:w="0" w:type="dxa"/>
            <w:bottom w:w="0" w:type="dxa"/>
          </w:tblCellMar>
        </w:tblPrEx>
        <w:tc>
          <w:tcPr>
            <w:tcW w:w="8171" w:type="dxa"/>
          </w:tcPr>
          <w:p w:rsidR="00692915" w:rsidRDefault="00692915" w:rsidP="009A1C1B">
            <w:pPr>
              <w:spacing w:beforeLines="50" w:before="180"/>
              <w:ind w:firstLineChars="76" w:firstLine="31680"/>
              <w:rPr>
                <w:rFonts w:ascii="SimHei" w:eastAsia="SimHei" w:hint="eastAsia"/>
                <w:color w:val="000000"/>
              </w:rPr>
            </w:pPr>
            <w:r>
              <w:rPr>
                <w:rFonts w:ascii="SimHei" w:eastAsia="SimHei" w:hint="eastAsia"/>
                <w:color w:val="000000"/>
              </w:rPr>
              <w:t>目标3：促进男女平等并赋予妇女权力</w:t>
            </w:r>
          </w:p>
        </w:tc>
      </w:tr>
      <w:tr w:rsidR="00692915">
        <w:tblPrEx>
          <w:tblCellMar>
            <w:top w:w="0" w:type="dxa"/>
            <w:bottom w:w="0" w:type="dxa"/>
          </w:tblCellMar>
        </w:tblPrEx>
        <w:tc>
          <w:tcPr>
            <w:tcW w:w="8171" w:type="dxa"/>
          </w:tcPr>
          <w:p w:rsidR="00692915" w:rsidRDefault="00692915" w:rsidP="009A1C1B">
            <w:pPr>
              <w:ind w:firstLineChars="76" w:firstLine="31680"/>
              <w:rPr>
                <w:rFonts w:hint="eastAsia"/>
                <w:bCs/>
                <w:color w:val="000000"/>
              </w:rPr>
            </w:pPr>
            <w:r>
              <w:rPr>
                <w:rFonts w:hint="eastAsia"/>
                <w:bCs/>
                <w:color w:val="000000"/>
              </w:rPr>
              <w:t>具体目标</w:t>
            </w:r>
            <w:r>
              <w:rPr>
                <w:rFonts w:hint="eastAsia"/>
                <w:bCs/>
                <w:color w:val="000000"/>
              </w:rPr>
              <w:t>4</w:t>
            </w:r>
            <w:r>
              <w:rPr>
                <w:rFonts w:hint="eastAsia"/>
                <w:bCs/>
                <w:color w:val="000000"/>
              </w:rPr>
              <w:t>：</w:t>
            </w:r>
            <w:r>
              <w:rPr>
                <w:rFonts w:ascii="Simsong" w:hAnsi="Simsong" w:hint="eastAsia"/>
                <w:color w:val="000000"/>
              </w:rPr>
              <w:t>在初等教育和中等教育中消除两性差距</w:t>
            </w:r>
          </w:p>
        </w:tc>
      </w:tr>
      <w:tr w:rsidR="00692915">
        <w:tblPrEx>
          <w:tblCellMar>
            <w:top w:w="0" w:type="dxa"/>
            <w:bottom w:w="0" w:type="dxa"/>
          </w:tblCellMar>
        </w:tblPrEx>
        <w:tc>
          <w:tcPr>
            <w:tcW w:w="8171" w:type="dxa"/>
          </w:tcPr>
          <w:p w:rsidR="00692915" w:rsidRDefault="00692915" w:rsidP="009A1C1B">
            <w:pPr>
              <w:ind w:firstLineChars="76" w:firstLine="31680"/>
              <w:rPr>
                <w:rFonts w:hint="eastAsia"/>
                <w:color w:val="000000"/>
              </w:rPr>
            </w:pPr>
            <w:r>
              <w:rPr>
                <w:rFonts w:hint="eastAsia"/>
                <w:color w:val="000000"/>
              </w:rPr>
              <w:t>指标</w:t>
            </w:r>
            <w:r>
              <w:rPr>
                <w:color w:val="000000"/>
              </w:rPr>
              <w:t>10</w:t>
            </w:r>
            <w:r>
              <w:rPr>
                <w:rFonts w:hint="eastAsia"/>
                <w:color w:val="000000"/>
              </w:rPr>
              <w:t>：</w:t>
            </w:r>
            <w:r>
              <w:rPr>
                <w:color w:val="000000"/>
              </w:rPr>
              <w:t xml:space="preserve"> </w:t>
            </w:r>
            <w:r>
              <w:rPr>
                <w:rFonts w:hint="eastAsia"/>
                <w:color w:val="000000"/>
              </w:rPr>
              <w:t>15-24</w:t>
            </w:r>
            <w:r>
              <w:rPr>
                <w:rFonts w:hint="eastAsia"/>
                <w:color w:val="000000"/>
              </w:rPr>
              <w:t>岁人群中女性识字率与男性识字率之比。</w:t>
            </w:r>
          </w:p>
        </w:tc>
      </w:tr>
      <w:tr w:rsidR="00692915">
        <w:tblPrEx>
          <w:tblCellMar>
            <w:top w:w="0" w:type="dxa"/>
            <w:bottom w:w="0" w:type="dxa"/>
          </w:tblCellMar>
        </w:tblPrEx>
        <w:tc>
          <w:tcPr>
            <w:tcW w:w="8171" w:type="dxa"/>
          </w:tcPr>
          <w:p w:rsidR="00692915" w:rsidRDefault="00692915" w:rsidP="009A1C1B">
            <w:pPr>
              <w:ind w:firstLine="31680"/>
              <w:rPr>
                <w:color w:val="000000"/>
              </w:rPr>
            </w:pPr>
            <w:r>
              <w:rPr>
                <w:rFonts w:hint="eastAsia"/>
                <w:color w:val="000000"/>
              </w:rPr>
              <w:sym w:font="Wingdings 2" w:char="F097"/>
            </w:r>
            <w:r>
              <w:rPr>
                <w:color w:val="000000"/>
              </w:rPr>
              <w:t xml:space="preserve">  </w:t>
            </w:r>
            <w:r>
              <w:rPr>
                <w:rFonts w:hint="eastAsia"/>
                <w:color w:val="000000"/>
              </w:rPr>
              <w:t>从</w:t>
            </w:r>
            <w:r>
              <w:rPr>
                <w:rFonts w:hint="eastAsia"/>
                <w:color w:val="000000"/>
              </w:rPr>
              <w:t>2003</w:t>
            </w:r>
            <w:r>
              <w:rPr>
                <w:rFonts w:hint="eastAsia"/>
                <w:color w:val="000000"/>
              </w:rPr>
              <w:t>年的</w:t>
            </w:r>
            <w:r>
              <w:rPr>
                <w:rFonts w:hint="eastAsia"/>
                <w:color w:val="000000"/>
              </w:rPr>
              <w:t>92%</w:t>
            </w:r>
            <w:r>
              <w:rPr>
                <w:rFonts w:hint="eastAsia"/>
                <w:color w:val="000000"/>
              </w:rPr>
              <w:t>提高到</w:t>
            </w:r>
            <w:r>
              <w:rPr>
                <w:rFonts w:hint="eastAsia"/>
                <w:color w:val="000000"/>
              </w:rPr>
              <w:t>2015</w:t>
            </w:r>
            <w:r>
              <w:rPr>
                <w:rFonts w:hint="eastAsia"/>
                <w:color w:val="000000"/>
              </w:rPr>
              <w:t>年的</w:t>
            </w:r>
            <w:r>
              <w:rPr>
                <w:rFonts w:hint="eastAsia"/>
                <w:color w:val="000000"/>
              </w:rPr>
              <w:t>100%</w:t>
            </w:r>
            <w:r>
              <w:rPr>
                <w:rFonts w:hint="eastAsia"/>
                <w:color w:val="000000"/>
              </w:rPr>
              <w:t>。</w:t>
            </w:r>
          </w:p>
        </w:tc>
      </w:tr>
      <w:tr w:rsidR="00692915">
        <w:tblPrEx>
          <w:tblCellMar>
            <w:top w:w="0" w:type="dxa"/>
            <w:bottom w:w="0" w:type="dxa"/>
          </w:tblCellMar>
        </w:tblPrEx>
        <w:tc>
          <w:tcPr>
            <w:tcW w:w="8171" w:type="dxa"/>
          </w:tcPr>
          <w:p w:rsidR="00692915" w:rsidRDefault="00692915" w:rsidP="009A1C1B">
            <w:pPr>
              <w:ind w:firstLineChars="76" w:firstLine="31680"/>
              <w:rPr>
                <w:rFonts w:hint="eastAsia"/>
                <w:color w:val="000000"/>
                <w:sz w:val="21"/>
              </w:rPr>
            </w:pPr>
            <w:r>
              <w:rPr>
                <w:rFonts w:eastAsia="KaiTi_GB2312" w:hint="eastAsia"/>
                <w:iCs/>
                <w:color w:val="000000"/>
                <w:sz w:val="21"/>
                <w:szCs w:val="16"/>
              </w:rPr>
              <w:t>资料来源</w:t>
            </w:r>
            <w:r>
              <w:rPr>
                <w:rFonts w:hint="eastAsia"/>
                <w:iCs/>
                <w:color w:val="000000"/>
                <w:sz w:val="21"/>
                <w:szCs w:val="16"/>
              </w:rPr>
              <w:t>：《</w:t>
            </w:r>
            <w:r>
              <w:rPr>
                <w:rFonts w:hint="eastAsia"/>
                <w:iCs/>
                <w:color w:val="000000"/>
                <w:sz w:val="21"/>
                <w:szCs w:val="16"/>
              </w:rPr>
              <w:t>2006</w:t>
            </w:r>
            <w:r>
              <w:rPr>
                <w:rFonts w:hint="eastAsia"/>
                <w:iCs/>
                <w:color w:val="000000"/>
                <w:sz w:val="21"/>
                <w:szCs w:val="16"/>
              </w:rPr>
              <w:t>年东帝汶人类发展报告》，附件五。</w:t>
            </w:r>
          </w:p>
        </w:tc>
      </w:tr>
    </w:tbl>
    <w:p w:rsidR="00692915" w:rsidRDefault="00692915" w:rsidP="009A1C1B">
      <w:pPr>
        <w:pStyle w:val="Heading4"/>
        <w:spacing w:after="180"/>
        <w:ind w:firstLine="31680"/>
        <w:rPr>
          <w:rFonts w:hint="eastAsia"/>
          <w:color w:val="000000"/>
        </w:rPr>
      </w:pPr>
      <w:bookmarkStart w:id="172" w:name="_Toc135830060"/>
      <w:bookmarkStart w:id="173" w:name="_Toc150515071"/>
      <w:bookmarkStart w:id="174" w:name="_Toc150684994"/>
    </w:p>
    <w:bookmarkEnd w:id="168"/>
    <w:bookmarkEnd w:id="169"/>
    <w:bookmarkEnd w:id="172"/>
    <w:bookmarkEnd w:id="173"/>
    <w:bookmarkEnd w:id="174"/>
    <w:p w:rsidR="00692915" w:rsidRDefault="00692915">
      <w:pPr>
        <w:pStyle w:val="Heading4"/>
        <w:spacing w:after="180"/>
        <w:ind w:firstLineChars="0" w:firstLine="0"/>
        <w:rPr>
          <w:rFonts w:hint="eastAsia"/>
          <w:color w:val="000000"/>
          <w:u w:val="none"/>
        </w:rPr>
      </w:pPr>
      <w:r>
        <w:rPr>
          <w:rFonts w:eastAsia="KaiTi_GB2312" w:hint="eastAsia"/>
          <w:color w:val="000000"/>
          <w:u w:val="none"/>
        </w:rPr>
        <w:t>官方语言与工作语言的识字能力</w:t>
      </w:r>
    </w:p>
    <w:p w:rsidR="00692915" w:rsidRDefault="00692915" w:rsidP="009A1C1B">
      <w:pPr>
        <w:spacing w:after="180"/>
        <w:ind w:firstLine="31680"/>
        <w:rPr>
          <w:rFonts w:hint="eastAsia"/>
          <w:bCs/>
          <w:color w:val="000000"/>
        </w:rPr>
      </w:pPr>
      <w:r>
        <w:rPr>
          <w:rFonts w:hint="eastAsia"/>
          <w:bCs/>
          <w:noProof/>
          <w:color w:val="000000"/>
        </w:rPr>
        <w:t>从总体来说，在</w:t>
      </w:r>
      <w:r>
        <w:rPr>
          <w:rFonts w:hint="eastAsia"/>
          <w:bCs/>
          <w:noProof/>
          <w:color w:val="000000"/>
        </w:rPr>
        <w:t>15-24</w:t>
      </w:r>
      <w:r>
        <w:rPr>
          <w:rFonts w:hint="eastAsia"/>
          <w:bCs/>
          <w:noProof/>
          <w:color w:val="000000"/>
        </w:rPr>
        <w:t>岁的人员中，识字人数占</w:t>
      </w:r>
      <w:r>
        <w:rPr>
          <w:rFonts w:hint="eastAsia"/>
          <w:bCs/>
          <w:noProof/>
          <w:color w:val="000000"/>
        </w:rPr>
        <w:t>70%</w:t>
      </w:r>
      <w:r>
        <w:rPr>
          <w:rFonts w:hint="eastAsia"/>
          <w:bCs/>
          <w:noProof/>
          <w:color w:val="000000"/>
        </w:rPr>
        <w:t>以上，当然这远远低于千年发展目标为</w:t>
      </w:r>
      <w:r>
        <w:rPr>
          <w:rFonts w:hint="eastAsia"/>
          <w:bCs/>
          <w:noProof/>
          <w:color w:val="000000"/>
        </w:rPr>
        <w:t>2005</w:t>
      </w:r>
      <w:r>
        <w:rPr>
          <w:rFonts w:hint="eastAsia"/>
          <w:bCs/>
          <w:noProof/>
          <w:color w:val="000000"/>
        </w:rPr>
        <w:t>年所确定的具体目标。尽管在有些地区，尤其在艾纳鲁和埃尔梅拉，有明显的性别差距，但是在这一年龄段，女性与男性之间的识字能力差异不大。</w:t>
      </w:r>
    </w:p>
    <w:p w:rsidR="00692915" w:rsidRDefault="00692915" w:rsidP="009A1C1B">
      <w:pPr>
        <w:spacing w:after="180"/>
        <w:ind w:firstLine="31680"/>
        <w:rPr>
          <w:rFonts w:hint="eastAsia"/>
          <w:bCs/>
          <w:color w:val="000000"/>
        </w:rPr>
      </w:pPr>
      <w:r>
        <w:rPr>
          <w:rFonts w:hint="eastAsia"/>
          <w:bCs/>
          <w:color w:val="000000"/>
        </w:rPr>
        <w:t>人口普查就一些语言的读写说能力获取了相关信息，包括：官方语言和工作语言、葡萄牙语、德顿语、印度尼西亚语和英语、</w:t>
      </w:r>
      <w:r>
        <w:rPr>
          <w:rFonts w:hint="eastAsia"/>
          <w:bCs/>
          <w:color w:val="000000"/>
        </w:rPr>
        <w:t>31</w:t>
      </w:r>
      <w:r>
        <w:rPr>
          <w:rFonts w:hint="eastAsia"/>
          <w:bCs/>
          <w:color w:val="000000"/>
        </w:rPr>
        <w:t>种其他地方语言、马来西亚语、汉语和“其他”语言。</w:t>
      </w:r>
    </w:p>
    <w:p w:rsidR="00692915" w:rsidRDefault="00692915" w:rsidP="009A1C1B">
      <w:pPr>
        <w:spacing w:after="180"/>
        <w:ind w:firstLine="31680"/>
        <w:rPr>
          <w:rFonts w:hint="eastAsia"/>
          <w:bCs/>
          <w:color w:val="000000"/>
        </w:rPr>
      </w:pPr>
      <w:bookmarkStart w:id="175" w:name="_Toc131956578"/>
      <w:bookmarkStart w:id="176" w:name="_Toc132732264"/>
      <w:r>
        <w:rPr>
          <w:rFonts w:hint="eastAsia"/>
          <w:bCs/>
          <w:color w:val="000000"/>
        </w:rPr>
        <w:t>官方语言和工作语言的识字能力与年龄、性别和国家历史有关。其中具有葡萄牙语识字能力的人大多为年纪较长者，这些人目前仍在学校，或曾在国外受过教育。具有英语识字能力的大多数人也可能在国外受过教育。而具有印度尼西亚语读写能力的人则在印度尼西亚占领期间受过教育。无论是哪种语言，在所有情况下，女性受教育的可能性都较低（图</w:t>
      </w:r>
      <w:r>
        <w:rPr>
          <w:rFonts w:hint="eastAsia"/>
          <w:bCs/>
          <w:color w:val="000000"/>
        </w:rPr>
        <w:t>5</w:t>
      </w:r>
      <w:r>
        <w:rPr>
          <w:rFonts w:hint="eastAsia"/>
          <w:bCs/>
          <w:color w:val="000000"/>
        </w:rPr>
        <w:t>）。</w:t>
      </w:r>
    </w:p>
    <w:p w:rsidR="00692915" w:rsidRDefault="00692915">
      <w:pPr>
        <w:pStyle w:val="Heading2"/>
        <w:spacing w:after="0"/>
        <w:rPr>
          <w:rFonts w:hint="eastAsia"/>
          <w:color w:val="000000"/>
          <w:sz w:val="24"/>
        </w:rPr>
      </w:pPr>
      <w:r>
        <w:rPr>
          <w:rFonts w:hint="eastAsia"/>
          <w:color w:val="000000"/>
          <w:sz w:val="24"/>
        </w:rPr>
        <w:t>图</w:t>
      </w:r>
      <w:r>
        <w:rPr>
          <w:color w:val="000000"/>
          <w:sz w:val="24"/>
        </w:rPr>
        <w:t xml:space="preserve"> </w:t>
      </w:r>
      <w:r>
        <w:rPr>
          <w:noProof/>
          <w:color w:val="000000"/>
          <w:sz w:val="24"/>
        </w:rPr>
        <w:t>5</w:t>
      </w:r>
      <w:r>
        <w:rPr>
          <w:noProof/>
          <w:color w:val="000000"/>
          <w:sz w:val="24"/>
        </w:rPr>
        <w:br/>
      </w:r>
      <w:bookmarkEnd w:id="175"/>
      <w:bookmarkEnd w:id="176"/>
      <w:r>
        <w:rPr>
          <w:rFonts w:hint="eastAsia"/>
          <w:color w:val="000000"/>
          <w:sz w:val="24"/>
        </w:rPr>
        <w:t>2004</w:t>
      </w:r>
      <w:r>
        <w:rPr>
          <w:rFonts w:hint="eastAsia"/>
          <w:color w:val="000000"/>
          <w:sz w:val="24"/>
        </w:rPr>
        <w:t>年</w:t>
      </w:r>
      <w:r>
        <w:rPr>
          <w:rFonts w:hint="eastAsia"/>
          <w:color w:val="000000"/>
          <w:sz w:val="24"/>
        </w:rPr>
        <w:t>6</w:t>
      </w:r>
      <w:r>
        <w:rPr>
          <w:rFonts w:hint="eastAsia"/>
          <w:color w:val="000000"/>
          <w:sz w:val="24"/>
        </w:rPr>
        <w:t>岁以上人群在官方语言或工作语言方面的识字率（</w:t>
      </w:r>
      <w:r>
        <w:rPr>
          <w:color w:val="000000"/>
          <w:sz w:val="24"/>
        </w:rPr>
        <w:t>%</w:t>
      </w:r>
      <w:r>
        <w:rPr>
          <w:rFonts w:hint="eastAsia"/>
          <w:color w:val="000000"/>
          <w:sz w:val="24"/>
        </w:rPr>
        <w:t>）</w:t>
      </w:r>
    </w:p>
    <w:p w:rsidR="00692915" w:rsidRDefault="00692915">
      <w:pPr>
        <w:ind w:firstLineChars="0" w:firstLine="0"/>
        <w:jc w:val="center"/>
        <w:rPr>
          <w:color w:val="000000"/>
        </w:rPr>
      </w:pPr>
      <w:r>
        <w:rPr>
          <w:noProof/>
          <w:snapToGrid/>
          <w:color w:val="000000"/>
          <w:sz w:val="20"/>
        </w:rPr>
        <w:pict>
          <v:shape id="_x0000_s2230" type="#_x0000_t202" style="position:absolute;left:0;text-align:left;margin-left:110.5pt;margin-top:48.15pt;width:123.5pt;height:37.6pt;z-index:11" o:regroupid="1" filled="f" stroked="f">
            <v:textbox>
              <w:txbxContent>
                <w:p w:rsidR="00692915" w:rsidRDefault="00692915">
                  <w:pPr>
                    <w:ind w:firstLineChars="0" w:firstLine="0"/>
                    <w:rPr>
                      <w:b/>
                      <w:bCs/>
                      <w:spacing w:val="0"/>
                      <w:sz w:val="18"/>
                    </w:rPr>
                  </w:pPr>
                  <w:r>
                    <w:rPr>
                      <w:rFonts w:hint="eastAsia"/>
                      <w:b/>
                      <w:bCs/>
                      <w:spacing w:val="0"/>
                      <w:sz w:val="18"/>
                    </w:rPr>
                    <w:t>所有官方语言</w:t>
                  </w:r>
                  <w:r>
                    <w:rPr>
                      <w:rFonts w:hint="eastAsia"/>
                      <w:b/>
                      <w:bCs/>
                      <w:spacing w:val="0"/>
                      <w:sz w:val="18"/>
                    </w:rPr>
                    <w:t>/</w:t>
                  </w:r>
                  <w:r>
                    <w:rPr>
                      <w:rFonts w:hint="eastAsia"/>
                      <w:b/>
                      <w:bCs/>
                      <w:spacing w:val="0"/>
                      <w:sz w:val="18"/>
                    </w:rPr>
                    <w:t>工作语言的</w:t>
                  </w:r>
                </w:p>
                <w:p w:rsidR="00692915" w:rsidRDefault="00692915">
                  <w:pPr>
                    <w:ind w:firstLineChars="0" w:firstLine="0"/>
                    <w:rPr>
                      <w:b/>
                      <w:bCs/>
                      <w:spacing w:val="0"/>
                      <w:sz w:val="18"/>
                    </w:rPr>
                  </w:pPr>
                  <w:r>
                    <w:rPr>
                      <w:rFonts w:hint="eastAsia"/>
                      <w:b/>
                      <w:bCs/>
                      <w:spacing w:val="0"/>
                      <w:sz w:val="18"/>
                    </w:rPr>
                    <w:t>文盲情况</w:t>
                  </w:r>
                </w:p>
              </w:txbxContent>
            </v:textbox>
          </v:shape>
        </w:pict>
      </w:r>
      <w:r>
        <w:rPr>
          <w:noProof/>
          <w:snapToGrid/>
          <w:color w:val="000000"/>
          <w:sz w:val="20"/>
        </w:rPr>
        <w:pict>
          <v:shape id="_x0000_s2237" type="#_x0000_t202" style="position:absolute;left:0;text-align:left;margin-left:348pt;margin-top:366.25pt;width:66pt;height:19.6pt;z-index:16" o:regroupid="2" filled="f" fillcolor="#f99" stroked="f">
            <v:textbox>
              <w:txbxContent>
                <w:p w:rsidR="00692915" w:rsidRDefault="00692915" w:rsidP="009A1C1B">
                  <w:pPr>
                    <w:ind w:firstLineChars="99" w:firstLine="31680"/>
                    <w:rPr>
                      <w:b/>
                      <w:bCs/>
                      <w:sz w:val="18"/>
                    </w:rPr>
                  </w:pPr>
                  <w:r>
                    <w:rPr>
                      <w:rFonts w:hint="eastAsia"/>
                      <w:spacing w:val="0"/>
                      <w:sz w:val="18"/>
                    </w:rPr>
                    <w:t>识字男性</w:t>
                  </w:r>
                </w:p>
              </w:txbxContent>
            </v:textbox>
          </v:shape>
        </w:pict>
      </w:r>
      <w:r>
        <w:rPr>
          <w:noProof/>
          <w:snapToGrid/>
          <w:color w:val="000000"/>
          <w:sz w:val="20"/>
        </w:rPr>
        <w:pict>
          <v:shape id="_x0000_s2236" type="#_x0000_t202" style="position:absolute;left:0;text-align:left;margin-left:244.05pt;margin-top:366.9pt;width:79.95pt;height:19.6pt;z-index:15" o:regroupid="2" filled="f" fillcolor="#f99" stroked="f">
            <v:textbox>
              <w:txbxContent>
                <w:p w:rsidR="00692915" w:rsidRDefault="00692915" w:rsidP="009A1C1B">
                  <w:pPr>
                    <w:ind w:firstLineChars="99" w:firstLine="31680"/>
                    <w:rPr>
                      <w:b/>
                      <w:bCs/>
                      <w:sz w:val="18"/>
                    </w:rPr>
                  </w:pPr>
                  <w:r>
                    <w:rPr>
                      <w:rFonts w:hint="eastAsia"/>
                      <w:spacing w:val="0"/>
                      <w:sz w:val="18"/>
                    </w:rPr>
                    <w:t>识字女性</w:t>
                  </w:r>
                </w:p>
              </w:txbxContent>
            </v:textbox>
          </v:shape>
        </w:pict>
      </w:r>
      <w:r>
        <w:rPr>
          <w:noProof/>
          <w:snapToGrid/>
          <w:color w:val="000000"/>
          <w:sz w:val="20"/>
        </w:rPr>
        <w:pict>
          <v:shape id="_x0000_s2235" type="#_x0000_t202" style="position:absolute;left:0;text-align:left;margin-left:150.15pt;margin-top:366.55pt;width:66pt;height:19.6pt;z-index:14" o:regroupid="2" filled="f" fillcolor="#f99" stroked="f">
            <v:textbox>
              <w:txbxContent>
                <w:p w:rsidR="00692915" w:rsidRDefault="00692915" w:rsidP="009A1C1B">
                  <w:pPr>
                    <w:ind w:firstLineChars="99" w:firstLine="31680"/>
                    <w:rPr>
                      <w:b/>
                      <w:bCs/>
                      <w:sz w:val="18"/>
                    </w:rPr>
                  </w:pPr>
                  <w:r>
                    <w:rPr>
                      <w:rFonts w:hint="eastAsia"/>
                      <w:spacing w:val="0"/>
                      <w:sz w:val="18"/>
                    </w:rPr>
                    <w:t>文盲男性</w:t>
                  </w:r>
                </w:p>
              </w:txbxContent>
            </v:textbox>
          </v:shape>
        </w:pict>
      </w:r>
      <w:r>
        <w:rPr>
          <w:noProof/>
          <w:snapToGrid/>
          <w:color w:val="000000"/>
          <w:sz w:val="20"/>
        </w:rPr>
        <w:pict>
          <v:shape id="_x0000_s2234" type="#_x0000_t202" style="position:absolute;left:0;text-align:left;margin-left:43.3pt;margin-top:366.9pt;width:84pt;height:19.6pt;z-index:13" o:regroupid="2" filled="f" fillcolor="#f99" stroked="f">
            <v:textbox>
              <w:txbxContent>
                <w:p w:rsidR="00692915" w:rsidRDefault="00692915" w:rsidP="009A1C1B">
                  <w:pPr>
                    <w:ind w:firstLineChars="99" w:firstLine="31680"/>
                    <w:rPr>
                      <w:spacing w:val="0"/>
                      <w:sz w:val="18"/>
                    </w:rPr>
                  </w:pPr>
                  <w:r>
                    <w:rPr>
                      <w:rFonts w:hint="eastAsia"/>
                      <w:spacing w:val="0"/>
                      <w:sz w:val="18"/>
                    </w:rPr>
                    <w:t>文盲女性</w:t>
                  </w:r>
                </w:p>
              </w:txbxContent>
            </v:textbox>
          </v:shape>
        </w:pict>
      </w:r>
      <w:r>
        <w:rPr>
          <w:noProof/>
          <w:snapToGrid/>
          <w:color w:val="000000"/>
          <w:sz w:val="20"/>
        </w:rPr>
        <w:pict>
          <v:shape id="_x0000_s2229" type="#_x0000_t202" style="position:absolute;left:0;text-align:left;margin-left:45.35pt;margin-top:8.8pt;width:390pt;height:24.45pt;z-index:10" o:regroupid="1" filled="f" fillcolor="#ff5050" stroked="f">
            <v:fill color2="#ffa5a5" angle="-90" focus="100%" type="gradient"/>
            <v:textbox style="mso-next-textbox:#_x0000_s2229">
              <w:txbxContent>
                <w:p w:rsidR="00692915" w:rsidRDefault="00692915" w:rsidP="009A1C1B">
                  <w:pPr>
                    <w:ind w:firstLine="31680"/>
                    <w:rPr>
                      <w:rFonts w:eastAsia="SimHei"/>
                    </w:rPr>
                  </w:pPr>
                  <w:r>
                    <w:rPr>
                      <w:rFonts w:eastAsia="SimHei" w:hint="eastAsia"/>
                      <w:sz w:val="21"/>
                    </w:rPr>
                    <w:t>在官方语言或工作语言方面的识字情况因年龄和性别不同而各异</w:t>
                  </w:r>
                </w:p>
              </w:txbxContent>
            </v:textbox>
          </v:shape>
        </w:pict>
      </w:r>
      <w:r>
        <w:rPr>
          <w:noProof/>
          <w:color w:val="000000"/>
        </w:rPr>
        <w:pict>
          <v:shape id="_x0000_s2232" type="#_x0000_t202" style="position:absolute;left:0;text-align:left;margin-left:210pt;margin-top:322.9pt;width:210pt;height:24.45pt;z-index:12" filled="f" stroked="f">
            <v:textbox>
              <w:txbxContent>
                <w:p w:rsidR="00692915" w:rsidRDefault="00692915">
                  <w:pPr>
                    <w:ind w:firstLineChars="0" w:firstLine="0"/>
                  </w:pPr>
                  <w:r>
                    <w:rPr>
                      <w:rFonts w:hint="eastAsia"/>
                      <w:sz w:val="21"/>
                    </w:rPr>
                    <w:t>任何官方语言</w:t>
                  </w:r>
                  <w:r>
                    <w:rPr>
                      <w:rFonts w:hint="eastAsia"/>
                      <w:sz w:val="21"/>
                    </w:rPr>
                    <w:t>/</w:t>
                  </w:r>
                  <w:r>
                    <w:rPr>
                      <w:rFonts w:hint="eastAsia"/>
                      <w:sz w:val="21"/>
                    </w:rPr>
                    <w:t>工作语言的识字情况</w:t>
                  </w:r>
                </w:p>
              </w:txbxContent>
            </v:textbox>
          </v:shape>
        </w:pict>
      </w:r>
      <w:bookmarkStart w:id="177" w:name="_MON_1261399306"/>
      <w:bookmarkStart w:id="178" w:name="_MON_1261399517"/>
      <w:bookmarkEnd w:id="177"/>
      <w:bookmarkEnd w:id="178"/>
      <w:r>
        <w:rPr>
          <w:color w:val="000000"/>
        </w:rPr>
        <w:object w:dxaOrig="8491" w:dyaOrig="7906">
          <v:shape id="_x0000_i1029" type="#_x0000_t75" style="width:424.5pt;height:395.25pt" o:ole="">
            <v:imagedata r:id="rId16" o:title=""/>
          </v:shape>
          <o:OLEObject Type="Embed" ProgID="Word.Picture.8" ShapeID="_x0000_i1029" DrawAspect="Content" ObjectID="_1395890538" r:id="rId17"/>
        </w:object>
      </w:r>
    </w:p>
    <w:p w:rsidR="00692915" w:rsidRDefault="00692915" w:rsidP="009A1C1B">
      <w:pPr>
        <w:ind w:firstLine="31680"/>
        <w:rPr>
          <w:rFonts w:hint="eastAsia"/>
          <w:bCs/>
          <w:color w:val="000000"/>
        </w:rPr>
      </w:pPr>
      <w:r>
        <w:rPr>
          <w:rFonts w:hint="eastAsia"/>
          <w:bCs/>
          <w:color w:val="000000"/>
        </w:rPr>
        <w:t>2003</w:t>
      </w:r>
      <w:r>
        <w:rPr>
          <w:rFonts w:hint="eastAsia"/>
          <w:bCs/>
          <w:color w:val="000000"/>
        </w:rPr>
        <w:t>年人口与健康调查还对那些熟悉官方语言和工作语言的已婚女性和已婚男性情况收集了相关信息。</w:t>
      </w:r>
    </w:p>
    <w:p w:rsidR="00692915" w:rsidRDefault="00692915">
      <w:pPr>
        <w:pStyle w:val="Heading2"/>
        <w:spacing w:after="0"/>
        <w:ind w:firstLine="601"/>
        <w:rPr>
          <w:rFonts w:hint="eastAsia"/>
          <w:color w:val="000000"/>
        </w:rPr>
      </w:pPr>
      <w:bookmarkStart w:id="179" w:name="_Toc131956640"/>
      <w:bookmarkStart w:id="180" w:name="_Toc132732654"/>
      <w:r>
        <w:rPr>
          <w:rFonts w:hint="eastAsia"/>
          <w:color w:val="000000"/>
        </w:rPr>
        <w:t>表</w:t>
      </w:r>
      <w:r>
        <w:rPr>
          <w:color w:val="000000"/>
        </w:rPr>
        <w:t xml:space="preserve"> </w:t>
      </w:r>
      <w:r>
        <w:rPr>
          <w:noProof/>
          <w:color w:val="000000"/>
        </w:rPr>
        <w:t>1</w:t>
      </w:r>
      <w:r>
        <w:rPr>
          <w:noProof/>
          <w:color w:val="000000"/>
        </w:rPr>
        <w:br/>
      </w:r>
      <w:r>
        <w:rPr>
          <w:rFonts w:hint="eastAsia"/>
          <w:color w:val="000000"/>
        </w:rPr>
        <w:t>按性别分列的</w:t>
      </w:r>
      <w:r>
        <w:rPr>
          <w:color w:val="000000"/>
        </w:rPr>
        <w:t>2003</w:t>
      </w:r>
      <w:bookmarkEnd w:id="179"/>
      <w:bookmarkEnd w:id="180"/>
      <w:r>
        <w:rPr>
          <w:rFonts w:hint="eastAsia"/>
          <w:color w:val="000000"/>
        </w:rPr>
        <w:t>年熟悉官方语言的情况</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0"/>
        <w:gridCol w:w="3100"/>
        <w:gridCol w:w="3100"/>
      </w:tblGrid>
      <w:tr w:rsidR="00692915">
        <w:tblPrEx>
          <w:tblCellMar>
            <w:top w:w="0" w:type="dxa"/>
            <w:bottom w:w="0" w:type="dxa"/>
          </w:tblCellMar>
        </w:tblPrEx>
        <w:trPr>
          <w:jc w:val="center"/>
        </w:trPr>
        <w:tc>
          <w:tcPr>
            <w:tcW w:w="3100" w:type="dxa"/>
            <w:tcBorders>
              <w:bottom w:val="single" w:sz="4" w:space="0" w:color="auto"/>
            </w:tcBorders>
          </w:tcPr>
          <w:p w:rsidR="00692915" w:rsidRDefault="00692915">
            <w:pPr>
              <w:spacing w:line="288" w:lineRule="auto"/>
              <w:ind w:firstLineChars="0" w:firstLine="0"/>
              <w:rPr>
                <w:rFonts w:hint="eastAsia"/>
                <w:color w:val="000000"/>
                <w:sz w:val="21"/>
              </w:rPr>
            </w:pPr>
            <w:r>
              <w:rPr>
                <w:rFonts w:hint="eastAsia"/>
                <w:color w:val="000000"/>
                <w:sz w:val="21"/>
              </w:rPr>
              <w:t>语言</w:t>
            </w:r>
          </w:p>
        </w:tc>
        <w:tc>
          <w:tcPr>
            <w:tcW w:w="3100" w:type="dxa"/>
            <w:tcBorders>
              <w:bottom w:val="single" w:sz="4" w:space="0" w:color="auto"/>
            </w:tcBorders>
          </w:tcPr>
          <w:p w:rsidR="00692915" w:rsidRDefault="00692915">
            <w:pPr>
              <w:spacing w:line="288" w:lineRule="auto"/>
              <w:ind w:firstLineChars="0" w:firstLine="0"/>
              <w:jc w:val="center"/>
              <w:rPr>
                <w:rFonts w:hint="eastAsia"/>
                <w:color w:val="000000"/>
                <w:sz w:val="21"/>
              </w:rPr>
            </w:pPr>
            <w:r>
              <w:rPr>
                <w:rFonts w:hint="eastAsia"/>
                <w:color w:val="000000"/>
                <w:sz w:val="21"/>
              </w:rPr>
              <w:t>已婚女性</w:t>
            </w:r>
          </w:p>
        </w:tc>
        <w:tc>
          <w:tcPr>
            <w:tcW w:w="3100" w:type="dxa"/>
            <w:tcBorders>
              <w:bottom w:val="single" w:sz="4" w:space="0" w:color="auto"/>
            </w:tcBorders>
          </w:tcPr>
          <w:p w:rsidR="00692915" w:rsidRDefault="00692915">
            <w:pPr>
              <w:spacing w:line="288" w:lineRule="auto"/>
              <w:ind w:firstLineChars="0" w:firstLine="0"/>
              <w:jc w:val="center"/>
              <w:rPr>
                <w:rFonts w:hint="eastAsia"/>
                <w:color w:val="000000"/>
                <w:sz w:val="21"/>
              </w:rPr>
            </w:pPr>
            <w:r>
              <w:rPr>
                <w:rFonts w:hint="eastAsia"/>
                <w:color w:val="000000"/>
                <w:sz w:val="21"/>
              </w:rPr>
              <w:t>已婚男性</w:t>
            </w:r>
          </w:p>
        </w:tc>
      </w:tr>
      <w:tr w:rsidR="00692915">
        <w:tblPrEx>
          <w:tblCellMar>
            <w:top w:w="0" w:type="dxa"/>
            <w:bottom w:w="0" w:type="dxa"/>
          </w:tblCellMar>
        </w:tblPrEx>
        <w:trPr>
          <w:jc w:val="center"/>
        </w:trPr>
        <w:tc>
          <w:tcPr>
            <w:tcW w:w="3100" w:type="dxa"/>
            <w:tcBorders>
              <w:bottom w:val="nil"/>
            </w:tcBorders>
          </w:tcPr>
          <w:p w:rsidR="00692915" w:rsidRDefault="00692915">
            <w:pPr>
              <w:spacing w:line="288" w:lineRule="auto"/>
              <w:ind w:firstLineChars="0" w:firstLine="0"/>
              <w:rPr>
                <w:rFonts w:hint="eastAsia"/>
                <w:bCs/>
                <w:color w:val="000000"/>
                <w:sz w:val="21"/>
              </w:rPr>
            </w:pPr>
            <w:r>
              <w:rPr>
                <w:rFonts w:hint="eastAsia"/>
                <w:color w:val="000000"/>
                <w:sz w:val="21"/>
              </w:rPr>
              <w:t>德顿语</w:t>
            </w:r>
          </w:p>
        </w:tc>
        <w:tc>
          <w:tcPr>
            <w:tcW w:w="3100" w:type="dxa"/>
            <w:tcBorders>
              <w:bottom w:val="nil"/>
            </w:tcBorders>
          </w:tcPr>
          <w:p w:rsidR="00692915" w:rsidRDefault="00692915">
            <w:pPr>
              <w:tabs>
                <w:tab w:val="decimal" w:pos="244"/>
              </w:tabs>
              <w:spacing w:line="288" w:lineRule="auto"/>
              <w:ind w:firstLineChars="0" w:firstLine="0"/>
              <w:jc w:val="center"/>
              <w:rPr>
                <w:bCs/>
                <w:color w:val="000000"/>
                <w:sz w:val="21"/>
              </w:rPr>
            </w:pPr>
            <w:r>
              <w:rPr>
                <w:color w:val="000000"/>
                <w:sz w:val="21"/>
              </w:rPr>
              <w:t>74</w:t>
            </w:r>
          </w:p>
        </w:tc>
        <w:tc>
          <w:tcPr>
            <w:tcW w:w="3100" w:type="dxa"/>
            <w:tcBorders>
              <w:bottom w:val="nil"/>
            </w:tcBorders>
          </w:tcPr>
          <w:p w:rsidR="00692915" w:rsidRDefault="00692915">
            <w:pPr>
              <w:tabs>
                <w:tab w:val="decimal" w:pos="144"/>
              </w:tabs>
              <w:spacing w:line="288" w:lineRule="auto"/>
              <w:ind w:firstLineChars="0" w:firstLine="0"/>
              <w:jc w:val="center"/>
              <w:rPr>
                <w:bCs/>
                <w:color w:val="000000"/>
                <w:sz w:val="21"/>
              </w:rPr>
            </w:pPr>
            <w:r>
              <w:rPr>
                <w:color w:val="000000"/>
                <w:sz w:val="21"/>
              </w:rPr>
              <w:t>81</w:t>
            </w:r>
          </w:p>
        </w:tc>
      </w:tr>
      <w:tr w:rsidR="00692915">
        <w:tblPrEx>
          <w:tblCellMar>
            <w:top w:w="0" w:type="dxa"/>
            <w:bottom w:w="0" w:type="dxa"/>
          </w:tblCellMar>
        </w:tblPrEx>
        <w:trPr>
          <w:jc w:val="center"/>
        </w:trPr>
        <w:tc>
          <w:tcPr>
            <w:tcW w:w="3100" w:type="dxa"/>
            <w:tcBorders>
              <w:top w:val="nil"/>
              <w:bottom w:val="nil"/>
            </w:tcBorders>
          </w:tcPr>
          <w:p w:rsidR="00692915" w:rsidRDefault="00692915">
            <w:pPr>
              <w:spacing w:line="288" w:lineRule="auto"/>
              <w:ind w:firstLineChars="0" w:firstLine="0"/>
              <w:rPr>
                <w:rFonts w:hint="eastAsia"/>
                <w:bCs/>
                <w:color w:val="000000"/>
                <w:sz w:val="21"/>
              </w:rPr>
            </w:pPr>
            <w:r>
              <w:rPr>
                <w:rFonts w:hint="eastAsia"/>
                <w:color w:val="000000"/>
                <w:sz w:val="21"/>
              </w:rPr>
              <w:t>印度尼西亚语</w:t>
            </w:r>
          </w:p>
        </w:tc>
        <w:tc>
          <w:tcPr>
            <w:tcW w:w="3100" w:type="dxa"/>
            <w:tcBorders>
              <w:top w:val="nil"/>
              <w:bottom w:val="nil"/>
            </w:tcBorders>
          </w:tcPr>
          <w:p w:rsidR="00692915" w:rsidRDefault="00692915">
            <w:pPr>
              <w:tabs>
                <w:tab w:val="decimal" w:pos="244"/>
              </w:tabs>
              <w:spacing w:line="288" w:lineRule="auto"/>
              <w:ind w:firstLineChars="0" w:firstLine="0"/>
              <w:jc w:val="center"/>
              <w:rPr>
                <w:bCs/>
                <w:color w:val="000000"/>
                <w:sz w:val="21"/>
              </w:rPr>
            </w:pPr>
            <w:r>
              <w:rPr>
                <w:color w:val="000000"/>
                <w:sz w:val="21"/>
              </w:rPr>
              <w:t>25</w:t>
            </w:r>
          </w:p>
        </w:tc>
        <w:tc>
          <w:tcPr>
            <w:tcW w:w="3100" w:type="dxa"/>
            <w:tcBorders>
              <w:top w:val="nil"/>
              <w:bottom w:val="nil"/>
            </w:tcBorders>
          </w:tcPr>
          <w:p w:rsidR="00692915" w:rsidRDefault="00692915">
            <w:pPr>
              <w:tabs>
                <w:tab w:val="decimal" w:pos="144"/>
              </w:tabs>
              <w:spacing w:line="288" w:lineRule="auto"/>
              <w:ind w:firstLineChars="0" w:firstLine="0"/>
              <w:jc w:val="center"/>
              <w:rPr>
                <w:bCs/>
                <w:color w:val="000000"/>
                <w:sz w:val="21"/>
              </w:rPr>
            </w:pPr>
            <w:r>
              <w:rPr>
                <w:color w:val="000000"/>
                <w:sz w:val="21"/>
              </w:rPr>
              <w:t>34</w:t>
            </w:r>
          </w:p>
        </w:tc>
      </w:tr>
      <w:tr w:rsidR="00692915">
        <w:tblPrEx>
          <w:tblCellMar>
            <w:top w:w="0" w:type="dxa"/>
            <w:bottom w:w="0" w:type="dxa"/>
          </w:tblCellMar>
        </w:tblPrEx>
        <w:trPr>
          <w:jc w:val="center"/>
        </w:trPr>
        <w:tc>
          <w:tcPr>
            <w:tcW w:w="3100" w:type="dxa"/>
            <w:tcBorders>
              <w:top w:val="nil"/>
              <w:bottom w:val="nil"/>
            </w:tcBorders>
          </w:tcPr>
          <w:p w:rsidR="00692915" w:rsidRDefault="00692915">
            <w:pPr>
              <w:spacing w:line="288" w:lineRule="auto"/>
              <w:ind w:firstLineChars="0" w:firstLine="0"/>
              <w:rPr>
                <w:rFonts w:hint="eastAsia"/>
                <w:bCs/>
                <w:color w:val="000000"/>
                <w:sz w:val="21"/>
              </w:rPr>
            </w:pPr>
            <w:r>
              <w:rPr>
                <w:rFonts w:hint="eastAsia"/>
                <w:color w:val="000000"/>
                <w:sz w:val="21"/>
              </w:rPr>
              <w:t>葡萄牙语</w:t>
            </w:r>
          </w:p>
        </w:tc>
        <w:tc>
          <w:tcPr>
            <w:tcW w:w="3100" w:type="dxa"/>
            <w:tcBorders>
              <w:top w:val="nil"/>
              <w:bottom w:val="nil"/>
            </w:tcBorders>
          </w:tcPr>
          <w:p w:rsidR="00692915" w:rsidRDefault="00692915">
            <w:pPr>
              <w:tabs>
                <w:tab w:val="decimal" w:pos="244"/>
              </w:tabs>
              <w:spacing w:line="288" w:lineRule="auto"/>
              <w:ind w:firstLineChars="0" w:firstLine="0"/>
              <w:jc w:val="center"/>
              <w:rPr>
                <w:bCs/>
                <w:color w:val="000000"/>
                <w:sz w:val="21"/>
              </w:rPr>
            </w:pPr>
            <w:r>
              <w:rPr>
                <w:color w:val="000000"/>
                <w:sz w:val="21"/>
              </w:rPr>
              <w:t>1.5</w:t>
            </w:r>
          </w:p>
        </w:tc>
        <w:tc>
          <w:tcPr>
            <w:tcW w:w="3100" w:type="dxa"/>
            <w:tcBorders>
              <w:top w:val="nil"/>
              <w:bottom w:val="nil"/>
            </w:tcBorders>
          </w:tcPr>
          <w:p w:rsidR="00692915" w:rsidRDefault="00692915">
            <w:pPr>
              <w:tabs>
                <w:tab w:val="decimal" w:pos="144"/>
              </w:tabs>
              <w:spacing w:line="288" w:lineRule="auto"/>
              <w:ind w:firstLineChars="0" w:firstLine="0"/>
              <w:jc w:val="center"/>
              <w:rPr>
                <w:bCs/>
                <w:color w:val="000000"/>
                <w:sz w:val="21"/>
              </w:rPr>
            </w:pPr>
            <w:r>
              <w:rPr>
                <w:color w:val="000000"/>
                <w:sz w:val="21"/>
              </w:rPr>
              <w:t>3</w:t>
            </w:r>
          </w:p>
        </w:tc>
      </w:tr>
      <w:tr w:rsidR="00692915">
        <w:tblPrEx>
          <w:tblCellMar>
            <w:top w:w="0" w:type="dxa"/>
            <w:bottom w:w="0" w:type="dxa"/>
          </w:tblCellMar>
        </w:tblPrEx>
        <w:trPr>
          <w:jc w:val="center"/>
        </w:trPr>
        <w:tc>
          <w:tcPr>
            <w:tcW w:w="3100" w:type="dxa"/>
            <w:tcBorders>
              <w:top w:val="nil"/>
            </w:tcBorders>
          </w:tcPr>
          <w:p w:rsidR="00692915" w:rsidRDefault="00692915">
            <w:pPr>
              <w:spacing w:line="288" w:lineRule="auto"/>
              <w:ind w:firstLineChars="0" w:firstLine="0"/>
              <w:rPr>
                <w:rFonts w:hint="eastAsia"/>
                <w:color w:val="000000"/>
                <w:sz w:val="21"/>
              </w:rPr>
            </w:pPr>
            <w:r>
              <w:rPr>
                <w:rFonts w:hint="eastAsia"/>
                <w:color w:val="000000"/>
                <w:sz w:val="21"/>
              </w:rPr>
              <w:t>英语</w:t>
            </w:r>
          </w:p>
        </w:tc>
        <w:tc>
          <w:tcPr>
            <w:tcW w:w="3100" w:type="dxa"/>
            <w:tcBorders>
              <w:top w:val="nil"/>
            </w:tcBorders>
          </w:tcPr>
          <w:p w:rsidR="00692915" w:rsidRDefault="00692915">
            <w:pPr>
              <w:tabs>
                <w:tab w:val="decimal" w:pos="244"/>
              </w:tabs>
              <w:spacing w:line="288" w:lineRule="auto"/>
              <w:ind w:firstLineChars="0" w:firstLine="0"/>
              <w:jc w:val="center"/>
              <w:rPr>
                <w:color w:val="000000"/>
                <w:sz w:val="21"/>
              </w:rPr>
            </w:pPr>
            <w:r>
              <w:rPr>
                <w:color w:val="000000"/>
                <w:sz w:val="21"/>
              </w:rPr>
              <w:t>0.3</w:t>
            </w:r>
          </w:p>
        </w:tc>
        <w:tc>
          <w:tcPr>
            <w:tcW w:w="3100" w:type="dxa"/>
            <w:tcBorders>
              <w:top w:val="nil"/>
            </w:tcBorders>
          </w:tcPr>
          <w:p w:rsidR="00692915" w:rsidRDefault="00692915">
            <w:pPr>
              <w:tabs>
                <w:tab w:val="decimal" w:pos="264"/>
              </w:tabs>
              <w:spacing w:line="288" w:lineRule="auto"/>
              <w:ind w:firstLineChars="0" w:firstLine="0"/>
              <w:jc w:val="center"/>
              <w:rPr>
                <w:color w:val="000000"/>
                <w:sz w:val="21"/>
              </w:rPr>
            </w:pPr>
            <w:r>
              <w:rPr>
                <w:color w:val="000000"/>
                <w:sz w:val="21"/>
              </w:rPr>
              <w:t>0.3</w:t>
            </w:r>
          </w:p>
        </w:tc>
      </w:tr>
    </w:tbl>
    <w:p w:rsidR="00692915" w:rsidRDefault="00692915">
      <w:pPr>
        <w:spacing w:line="240" w:lineRule="auto"/>
        <w:ind w:firstLineChars="0" w:firstLine="0"/>
        <w:rPr>
          <w:rFonts w:hint="eastAsia"/>
          <w:color w:val="000000"/>
          <w:sz w:val="21"/>
        </w:rPr>
      </w:pPr>
      <w:r>
        <w:rPr>
          <w:rFonts w:eastAsia="KaiTi_GB2312" w:hint="eastAsia"/>
          <w:color w:val="000000"/>
          <w:sz w:val="21"/>
        </w:rPr>
        <w:t>资料来源：《</w:t>
      </w:r>
      <w:r>
        <w:rPr>
          <w:rFonts w:hint="eastAsia"/>
          <w:color w:val="000000"/>
          <w:sz w:val="21"/>
        </w:rPr>
        <w:t>东帝汶</w:t>
      </w:r>
      <w:r>
        <w:rPr>
          <w:rFonts w:hint="eastAsia"/>
          <w:color w:val="000000"/>
          <w:sz w:val="21"/>
        </w:rPr>
        <w:t>2003</w:t>
      </w:r>
      <w:r>
        <w:rPr>
          <w:rFonts w:hint="eastAsia"/>
          <w:color w:val="000000"/>
          <w:sz w:val="21"/>
        </w:rPr>
        <w:t>年人口与健康调查》，表</w:t>
      </w:r>
      <w:r>
        <w:rPr>
          <w:color w:val="000000"/>
          <w:sz w:val="21"/>
        </w:rPr>
        <w:t>4.2</w:t>
      </w:r>
      <w:r>
        <w:rPr>
          <w:rFonts w:hint="eastAsia"/>
          <w:color w:val="000000"/>
          <w:sz w:val="21"/>
        </w:rPr>
        <w:t>，第</w:t>
      </w:r>
      <w:r>
        <w:rPr>
          <w:rFonts w:hint="eastAsia"/>
          <w:color w:val="000000"/>
          <w:sz w:val="21"/>
        </w:rPr>
        <w:t>45</w:t>
      </w:r>
      <w:r>
        <w:rPr>
          <w:rFonts w:hint="eastAsia"/>
          <w:color w:val="000000"/>
          <w:sz w:val="21"/>
        </w:rPr>
        <w:t>页。</w:t>
      </w:r>
    </w:p>
    <w:p w:rsidR="00692915" w:rsidRDefault="00692915" w:rsidP="009A1C1B">
      <w:pPr>
        <w:spacing w:after="200"/>
        <w:ind w:firstLine="31680"/>
        <w:rPr>
          <w:rFonts w:hint="eastAsia"/>
          <w:bCs/>
          <w:color w:val="000000"/>
        </w:rPr>
      </w:pPr>
      <w:r>
        <w:rPr>
          <w:rFonts w:hint="eastAsia"/>
          <w:bCs/>
          <w:color w:val="000000"/>
        </w:rPr>
        <w:t>妇女如果缺乏任何一种官方语言或工作语言的读写说能力，那么将会对其参与决策和所有生活领域的经济活动带来很大的障碍。在那些不能使用任何官方语言或工作语言的人群中，妇女占总数的</w:t>
      </w:r>
      <w:r>
        <w:rPr>
          <w:rFonts w:hint="eastAsia"/>
          <w:bCs/>
          <w:color w:val="000000"/>
        </w:rPr>
        <w:t>58%</w:t>
      </w:r>
      <w:r>
        <w:rPr>
          <w:rFonts w:hint="eastAsia"/>
          <w:bCs/>
          <w:color w:val="000000"/>
        </w:rPr>
        <w:t>，占</w:t>
      </w:r>
      <w:r>
        <w:rPr>
          <w:rFonts w:hint="eastAsia"/>
          <w:bCs/>
          <w:color w:val="000000"/>
        </w:rPr>
        <w:t>20</w:t>
      </w:r>
      <w:r>
        <w:rPr>
          <w:rFonts w:hint="eastAsia"/>
          <w:bCs/>
          <w:color w:val="000000"/>
        </w:rPr>
        <w:t>岁或</w:t>
      </w:r>
      <w:r>
        <w:rPr>
          <w:rFonts w:hint="eastAsia"/>
          <w:bCs/>
          <w:color w:val="000000"/>
        </w:rPr>
        <w:t>20</w:t>
      </w:r>
      <w:r>
        <w:rPr>
          <w:rFonts w:hint="eastAsia"/>
          <w:bCs/>
          <w:color w:val="000000"/>
        </w:rPr>
        <w:t>岁以上人群的</w:t>
      </w:r>
      <w:r>
        <w:rPr>
          <w:rFonts w:hint="eastAsia"/>
          <w:bCs/>
          <w:color w:val="000000"/>
        </w:rPr>
        <w:t>60%</w:t>
      </w:r>
      <w:r>
        <w:rPr>
          <w:rFonts w:hint="eastAsia"/>
          <w:bCs/>
          <w:color w:val="000000"/>
        </w:rPr>
        <w:t>以上。</w:t>
      </w:r>
    </w:p>
    <w:p w:rsidR="00692915" w:rsidRDefault="00692915" w:rsidP="009A1C1B">
      <w:pPr>
        <w:spacing w:after="200"/>
        <w:ind w:firstLine="31680"/>
        <w:rPr>
          <w:rFonts w:hint="eastAsia"/>
          <w:color w:val="000000"/>
        </w:rPr>
      </w:pPr>
      <w:bookmarkStart w:id="181" w:name="_Toc131956580"/>
      <w:bookmarkStart w:id="182" w:name="_Toc132732266"/>
      <w:r>
        <w:rPr>
          <w:rFonts w:hint="eastAsia"/>
          <w:bCs/>
          <w:color w:val="000000"/>
        </w:rPr>
        <w:t>尽管在</w:t>
      </w:r>
      <w:r>
        <w:rPr>
          <w:bCs/>
          <w:color w:val="000000"/>
        </w:rPr>
        <w:t>6</w:t>
      </w:r>
      <w:r>
        <w:rPr>
          <w:rFonts w:hint="eastAsia"/>
          <w:bCs/>
          <w:color w:val="000000"/>
        </w:rPr>
        <w:t>-</w:t>
      </w:r>
      <w:r>
        <w:rPr>
          <w:bCs/>
          <w:color w:val="000000"/>
        </w:rPr>
        <w:t>9</w:t>
      </w:r>
      <w:r>
        <w:rPr>
          <w:rFonts w:hint="eastAsia"/>
          <w:bCs/>
          <w:color w:val="000000"/>
        </w:rPr>
        <w:t>岁、</w:t>
      </w:r>
      <w:r>
        <w:rPr>
          <w:bCs/>
          <w:color w:val="000000"/>
        </w:rPr>
        <w:t>10</w:t>
      </w:r>
      <w:r>
        <w:rPr>
          <w:rFonts w:hint="eastAsia"/>
          <w:bCs/>
          <w:color w:val="000000"/>
        </w:rPr>
        <w:t>-</w:t>
      </w:r>
      <w:r>
        <w:rPr>
          <w:bCs/>
          <w:color w:val="000000"/>
        </w:rPr>
        <w:t xml:space="preserve">14 </w:t>
      </w:r>
      <w:r>
        <w:rPr>
          <w:rFonts w:hint="eastAsia"/>
          <w:bCs/>
          <w:color w:val="000000"/>
        </w:rPr>
        <w:t>岁和</w:t>
      </w:r>
      <w:r>
        <w:rPr>
          <w:bCs/>
          <w:color w:val="000000"/>
        </w:rPr>
        <w:t>15</w:t>
      </w:r>
      <w:r>
        <w:rPr>
          <w:rFonts w:hint="eastAsia"/>
          <w:bCs/>
          <w:color w:val="000000"/>
        </w:rPr>
        <w:t>-</w:t>
      </w:r>
      <w:r>
        <w:rPr>
          <w:bCs/>
          <w:color w:val="000000"/>
        </w:rPr>
        <w:t>19</w:t>
      </w:r>
      <w:r>
        <w:rPr>
          <w:rFonts w:hint="eastAsia"/>
          <w:bCs/>
          <w:color w:val="000000"/>
        </w:rPr>
        <w:t>岁年龄组的教育中，女孩和年轻妇女正在受益，但是即使在这些年龄阶段，她们往往也略落后于男孩与年轻男性（图</w:t>
      </w:r>
      <w:r>
        <w:rPr>
          <w:rFonts w:hint="eastAsia"/>
          <w:bCs/>
          <w:color w:val="000000"/>
        </w:rPr>
        <w:t>6</w:t>
      </w:r>
      <w:r>
        <w:rPr>
          <w:rFonts w:hint="eastAsia"/>
          <w:bCs/>
          <w:color w:val="000000"/>
        </w:rPr>
        <w:t>）。</w:t>
      </w:r>
    </w:p>
    <w:p w:rsidR="00692915" w:rsidRDefault="00692915">
      <w:pPr>
        <w:pStyle w:val="Heading2"/>
        <w:spacing w:after="120" w:line="288" w:lineRule="auto"/>
        <w:rPr>
          <w:color w:val="000000"/>
          <w:sz w:val="24"/>
        </w:rPr>
      </w:pPr>
      <w:r>
        <w:rPr>
          <w:rFonts w:hint="eastAsia"/>
          <w:color w:val="000000"/>
          <w:sz w:val="24"/>
        </w:rPr>
        <w:t>图</w:t>
      </w:r>
      <w:r>
        <w:rPr>
          <w:color w:val="000000"/>
          <w:sz w:val="24"/>
        </w:rPr>
        <w:t xml:space="preserve"> 6</w:t>
      </w:r>
    </w:p>
    <w:bookmarkEnd w:id="181"/>
    <w:bookmarkEnd w:id="182"/>
    <w:p w:rsidR="00692915" w:rsidRDefault="00692915">
      <w:pPr>
        <w:pStyle w:val="Heading2"/>
        <w:tabs>
          <w:tab w:val="left" w:pos="3120"/>
        </w:tabs>
        <w:spacing w:after="120" w:line="288" w:lineRule="auto"/>
        <w:rPr>
          <w:rFonts w:hint="eastAsia"/>
          <w:color w:val="000000"/>
        </w:rPr>
      </w:pPr>
      <w:r>
        <w:rPr>
          <w:rFonts w:hint="eastAsia"/>
          <w:color w:val="000000"/>
          <w:sz w:val="24"/>
        </w:rPr>
        <w:t>在私人住户中，按年龄和性别划分的</w:t>
      </w:r>
      <w:r>
        <w:rPr>
          <w:rFonts w:hint="eastAsia"/>
          <w:color w:val="000000"/>
          <w:sz w:val="24"/>
        </w:rPr>
        <w:t>6</w:t>
      </w:r>
      <w:r>
        <w:rPr>
          <w:rFonts w:hint="eastAsia"/>
          <w:color w:val="000000"/>
          <w:sz w:val="24"/>
        </w:rPr>
        <w:t>岁以上人群</w:t>
      </w:r>
      <w:r>
        <w:rPr>
          <w:color w:val="000000"/>
          <w:sz w:val="24"/>
        </w:rPr>
        <w:br/>
      </w:r>
      <w:r>
        <w:rPr>
          <w:rFonts w:hint="eastAsia"/>
          <w:color w:val="000000"/>
          <w:sz w:val="24"/>
        </w:rPr>
        <w:t>不具备官方语言或工作语言读写说能力的</w:t>
      </w:r>
      <w:r>
        <w:rPr>
          <w:color w:val="000000"/>
          <w:sz w:val="24"/>
        </w:rPr>
        <w:br/>
      </w:r>
      <w:r>
        <w:rPr>
          <w:rFonts w:hint="eastAsia"/>
          <w:color w:val="000000"/>
          <w:sz w:val="24"/>
        </w:rPr>
        <w:t>情况（</w:t>
      </w:r>
      <w:r>
        <w:rPr>
          <w:rFonts w:hint="eastAsia"/>
          <w:color w:val="000000"/>
          <w:sz w:val="24"/>
        </w:rPr>
        <w:t>%</w:t>
      </w:r>
      <w:r>
        <w:rPr>
          <w:rFonts w:hint="eastAsia"/>
          <w:color w:val="000000"/>
          <w:sz w:val="24"/>
        </w:rPr>
        <w:t>），</w:t>
      </w:r>
      <w:r>
        <w:rPr>
          <w:rFonts w:hint="eastAsia"/>
          <w:color w:val="000000"/>
          <w:sz w:val="24"/>
        </w:rPr>
        <w:t>2004</w:t>
      </w:r>
      <w:r>
        <w:rPr>
          <w:rFonts w:hint="eastAsia"/>
          <w:color w:val="000000"/>
          <w:sz w:val="24"/>
        </w:rPr>
        <w:t>年人口普查</w:t>
      </w:r>
    </w:p>
    <w:p w:rsidR="00692915" w:rsidRDefault="00692915">
      <w:pPr>
        <w:spacing w:after="120"/>
        <w:ind w:firstLineChars="0" w:firstLine="0"/>
        <w:jc w:val="center"/>
        <w:rPr>
          <w:color w:val="000000"/>
        </w:rPr>
      </w:pPr>
      <w:r>
        <w:rPr>
          <w:i/>
          <w:noProof/>
          <w:snapToGrid/>
          <w:color w:val="000000"/>
          <w:sz w:val="20"/>
        </w:rPr>
        <w:pict>
          <v:shape id="_x0000_s2243" type="#_x0000_t202" style="position:absolute;left:0;text-align:left;margin-left:269pt;margin-top:220.4pt;width:36pt;height:16.3pt;z-index:19" o:regroupid="3" filled="f" stroked="f">
            <v:textbox>
              <w:txbxContent>
                <w:p w:rsidR="00692915" w:rsidRDefault="00692915">
                  <w:pPr>
                    <w:ind w:firstLineChars="0" w:firstLine="0"/>
                    <w:rPr>
                      <w:rFonts w:hint="eastAsia"/>
                      <w:sz w:val="15"/>
                    </w:rPr>
                  </w:pPr>
                  <w:r>
                    <w:rPr>
                      <w:rFonts w:hint="eastAsia"/>
                      <w:sz w:val="15"/>
                    </w:rPr>
                    <w:t>男性</w:t>
                  </w:r>
                </w:p>
              </w:txbxContent>
            </v:textbox>
          </v:shape>
        </w:pict>
      </w:r>
      <w:r>
        <w:rPr>
          <w:i/>
          <w:noProof/>
          <w:snapToGrid/>
          <w:color w:val="000000"/>
          <w:sz w:val="20"/>
        </w:rPr>
        <w:pict>
          <v:shape id="_x0000_s2244" type="#_x0000_t202" style="position:absolute;left:0;text-align:left;margin-left:372pt;margin-top:218.65pt;width:36pt;height:16.3pt;z-index:20" o:regroupid="3" filled="f" stroked="f">
            <v:textbox>
              <w:txbxContent>
                <w:p w:rsidR="00692915" w:rsidRDefault="00692915">
                  <w:pPr>
                    <w:ind w:firstLineChars="0" w:firstLine="0"/>
                    <w:rPr>
                      <w:rFonts w:hint="eastAsia"/>
                      <w:sz w:val="15"/>
                    </w:rPr>
                  </w:pPr>
                  <w:r>
                    <w:rPr>
                      <w:rFonts w:hint="eastAsia"/>
                      <w:sz w:val="15"/>
                    </w:rPr>
                    <w:t>女性</w:t>
                  </w:r>
                </w:p>
              </w:txbxContent>
            </v:textbox>
          </v:shape>
        </w:pict>
      </w:r>
      <w:r>
        <w:rPr>
          <w:i/>
          <w:noProof/>
          <w:snapToGrid/>
          <w:color w:val="000000"/>
          <w:sz w:val="20"/>
        </w:rPr>
        <w:pict>
          <v:shape id="_x0000_s2240" type="#_x0000_t202" style="position:absolute;left:0;text-align:left;margin-left:32.6pt;margin-top:220.65pt;width:66pt;height:15.45pt;z-index:18" o:regroupid="3" filled="f" fillcolor="#ffadad" stroked="f">
            <v:textbox>
              <w:txbxContent>
                <w:p w:rsidR="00692915" w:rsidRDefault="00692915" w:rsidP="009A1C1B">
                  <w:pPr>
                    <w:ind w:firstLine="31680"/>
                    <w:rPr>
                      <w:rFonts w:hint="eastAsia"/>
                      <w:sz w:val="15"/>
                    </w:rPr>
                  </w:pPr>
                  <w:r>
                    <w:rPr>
                      <w:rFonts w:hint="eastAsia"/>
                      <w:sz w:val="15"/>
                    </w:rPr>
                    <w:t>年龄组</w:t>
                  </w:r>
                </w:p>
              </w:txbxContent>
            </v:textbox>
          </v:shape>
        </w:pict>
      </w:r>
      <w:r>
        <w:rPr>
          <w:noProof/>
          <w:color w:val="000000"/>
        </w:rPr>
        <w:pict>
          <v:shape id="_x0000_s2238" type="#_x0000_t202" style="position:absolute;left:0;text-align:left;margin-left:36pt;margin-top:3.9pt;width:384pt;height:20pt;z-index:17" filled="f" fillcolor="#ff7171" stroked="f">
            <v:fill color2="#ffa5a5" angle="-90" focus="100%" type="gradient"/>
            <v:textbox>
              <w:txbxContent>
                <w:p w:rsidR="00692915" w:rsidRDefault="00692915" w:rsidP="009A1C1B">
                  <w:pPr>
                    <w:ind w:firstLine="31680"/>
                    <w:jc w:val="center"/>
                    <w:rPr>
                      <w:rFonts w:eastAsia="SimHei"/>
                      <w:sz w:val="21"/>
                    </w:rPr>
                  </w:pPr>
                  <w:r>
                    <w:rPr>
                      <w:rFonts w:eastAsia="SimHei" w:hint="eastAsia"/>
                      <w:iCs/>
                      <w:sz w:val="21"/>
                    </w:rPr>
                    <w:t>不能读写说任何官方语言或工作语言的女性多于男性</w:t>
                  </w:r>
                </w:p>
              </w:txbxContent>
            </v:textbox>
          </v:shape>
        </w:pict>
      </w:r>
      <w:bookmarkStart w:id="183" w:name="_MON_1261399599"/>
      <w:bookmarkStart w:id="184" w:name="_MON_1261399848"/>
      <w:bookmarkEnd w:id="183"/>
      <w:bookmarkEnd w:id="184"/>
      <w:r>
        <w:rPr>
          <w:color w:val="000000"/>
        </w:rPr>
        <w:object w:dxaOrig="8236" w:dyaOrig="4786">
          <v:shape id="_x0000_i1030" type="#_x0000_t75" style="width:411.75pt;height:239.25pt" o:ole="">
            <v:imagedata r:id="rId18" o:title=""/>
          </v:shape>
          <o:OLEObject Type="Embed" ProgID="Word.Picture.8" ShapeID="_x0000_i1030" DrawAspect="Content" ObjectID="_1395890539" r:id="rId19"/>
        </w:object>
      </w:r>
    </w:p>
    <w:p w:rsidR="00692915" w:rsidRDefault="00692915">
      <w:pPr>
        <w:spacing w:after="240"/>
        <w:ind w:firstLineChars="0" w:firstLine="0"/>
        <w:rPr>
          <w:rFonts w:hint="eastAsia"/>
          <w:color w:val="000000"/>
          <w:sz w:val="21"/>
        </w:rPr>
      </w:pPr>
      <w:bookmarkStart w:id="185" w:name="_Toc131956508"/>
      <w:bookmarkStart w:id="186" w:name="_Toc132732189"/>
      <w:r>
        <w:rPr>
          <w:rFonts w:eastAsia="KaiTi_GB2312" w:hint="eastAsia"/>
          <w:iCs/>
          <w:color w:val="000000"/>
          <w:sz w:val="21"/>
        </w:rPr>
        <w:t>资料来源</w:t>
      </w:r>
      <w:r>
        <w:rPr>
          <w:rFonts w:hint="eastAsia"/>
          <w:iCs/>
          <w:color w:val="000000"/>
          <w:sz w:val="21"/>
        </w:rPr>
        <w:t>：《东帝汶人口与住房普查》，表</w:t>
      </w:r>
      <w:r>
        <w:rPr>
          <w:rFonts w:hint="eastAsia"/>
          <w:iCs/>
          <w:color w:val="000000"/>
          <w:sz w:val="21"/>
        </w:rPr>
        <w:t>2004 E</w:t>
      </w:r>
      <w:r>
        <w:rPr>
          <w:rFonts w:hint="eastAsia"/>
          <w:iCs/>
          <w:color w:val="000000"/>
          <w:sz w:val="21"/>
        </w:rPr>
        <w:t>，根据表</w:t>
      </w:r>
      <w:r>
        <w:rPr>
          <w:iCs/>
          <w:color w:val="000000"/>
          <w:sz w:val="21"/>
        </w:rPr>
        <w:t>E3</w:t>
      </w:r>
      <w:r>
        <w:rPr>
          <w:rFonts w:hint="eastAsia"/>
          <w:iCs/>
          <w:color w:val="000000"/>
          <w:sz w:val="21"/>
        </w:rPr>
        <w:t>、</w:t>
      </w:r>
      <w:r>
        <w:rPr>
          <w:iCs/>
          <w:color w:val="000000"/>
          <w:sz w:val="21"/>
        </w:rPr>
        <w:t xml:space="preserve"> E4E</w:t>
      </w:r>
      <w:r>
        <w:rPr>
          <w:rFonts w:hint="eastAsia"/>
          <w:iCs/>
          <w:color w:val="000000"/>
          <w:sz w:val="21"/>
        </w:rPr>
        <w:t>、</w:t>
      </w:r>
      <w:r>
        <w:rPr>
          <w:iCs/>
          <w:color w:val="000000"/>
          <w:sz w:val="21"/>
        </w:rPr>
        <w:t>E4B</w:t>
      </w:r>
      <w:r>
        <w:rPr>
          <w:rFonts w:hint="eastAsia"/>
          <w:iCs/>
          <w:color w:val="000000"/>
          <w:sz w:val="21"/>
        </w:rPr>
        <w:t>、</w:t>
      </w:r>
      <w:r>
        <w:rPr>
          <w:iCs/>
          <w:color w:val="000000"/>
          <w:sz w:val="21"/>
        </w:rPr>
        <w:t>E4T</w:t>
      </w:r>
      <w:r>
        <w:rPr>
          <w:rFonts w:hint="eastAsia"/>
          <w:iCs/>
          <w:color w:val="000000"/>
          <w:sz w:val="21"/>
        </w:rPr>
        <w:t>和</w:t>
      </w:r>
      <w:r>
        <w:rPr>
          <w:iCs/>
          <w:color w:val="000000"/>
          <w:sz w:val="21"/>
        </w:rPr>
        <w:t>E4P</w:t>
      </w:r>
      <w:r>
        <w:rPr>
          <w:rFonts w:hint="eastAsia"/>
          <w:iCs/>
          <w:color w:val="000000"/>
          <w:sz w:val="21"/>
        </w:rPr>
        <w:t>计算得出。</w:t>
      </w:r>
    </w:p>
    <w:bookmarkEnd w:id="185"/>
    <w:bookmarkEnd w:id="186"/>
    <w:p w:rsidR="00692915" w:rsidRDefault="00692915">
      <w:pPr>
        <w:pStyle w:val="Heading4"/>
        <w:ind w:firstLineChars="0" w:firstLine="0"/>
        <w:rPr>
          <w:rFonts w:eastAsia="KaiTi_GB2312" w:hint="eastAsia"/>
          <w:color w:val="000000"/>
          <w:u w:val="none"/>
        </w:rPr>
      </w:pPr>
      <w:r>
        <w:rPr>
          <w:rFonts w:eastAsia="KaiTi_GB2312" w:hint="eastAsia"/>
          <w:color w:val="000000"/>
          <w:u w:val="none"/>
        </w:rPr>
        <w:t>葡萄牙语的识字能力</w:t>
      </w:r>
    </w:p>
    <w:p w:rsidR="00692915" w:rsidRDefault="00692915" w:rsidP="009A1C1B">
      <w:pPr>
        <w:ind w:firstLine="31680"/>
        <w:rPr>
          <w:rFonts w:hint="eastAsia"/>
          <w:bCs/>
          <w:color w:val="000000"/>
        </w:rPr>
      </w:pPr>
      <w:r>
        <w:rPr>
          <w:rFonts w:hint="eastAsia"/>
          <w:bCs/>
          <w:color w:val="000000"/>
        </w:rPr>
        <w:t>大多数帝汶人都不懂葡萄牙语（图</w:t>
      </w:r>
      <w:r>
        <w:rPr>
          <w:rFonts w:hint="eastAsia"/>
          <w:bCs/>
          <w:color w:val="000000"/>
        </w:rPr>
        <w:t>7</w:t>
      </w:r>
      <w:r>
        <w:rPr>
          <w:rFonts w:hint="eastAsia"/>
          <w:bCs/>
          <w:color w:val="000000"/>
        </w:rPr>
        <w:t>）。具有葡萄牙识字能力的人大多还在学校，或曾在国外受过教育。</w:t>
      </w:r>
    </w:p>
    <w:p w:rsidR="00692915" w:rsidRDefault="00692915" w:rsidP="009A1C1B">
      <w:pPr>
        <w:ind w:firstLine="31680"/>
        <w:rPr>
          <w:rFonts w:hint="eastAsia"/>
          <w:color w:val="000000"/>
        </w:rPr>
      </w:pPr>
      <w:bookmarkStart w:id="187" w:name="_Toc131956581"/>
      <w:bookmarkStart w:id="188" w:name="_Toc132732267"/>
      <w:r>
        <w:rPr>
          <w:rFonts w:hint="eastAsia"/>
          <w:bCs/>
          <w:color w:val="000000"/>
        </w:rPr>
        <w:t>在年纪较大的妇女中，懂葡萄牙语的人非常少。在男性中，有</w:t>
      </w:r>
      <w:r>
        <w:rPr>
          <w:rFonts w:hint="eastAsia"/>
          <w:bCs/>
          <w:color w:val="000000"/>
        </w:rPr>
        <w:t>18%</w:t>
      </w:r>
      <w:r>
        <w:rPr>
          <w:rFonts w:hint="eastAsia"/>
          <w:bCs/>
          <w:color w:val="000000"/>
        </w:rPr>
        <w:t>的</w:t>
      </w:r>
      <w:r>
        <w:rPr>
          <w:rFonts w:hint="eastAsia"/>
          <w:bCs/>
          <w:color w:val="000000"/>
        </w:rPr>
        <w:t>6-9</w:t>
      </w:r>
      <w:r>
        <w:rPr>
          <w:rFonts w:hint="eastAsia"/>
          <w:bCs/>
          <w:color w:val="000000"/>
        </w:rPr>
        <w:t>岁人口、</w:t>
      </w:r>
      <w:r>
        <w:rPr>
          <w:rFonts w:hint="eastAsia"/>
          <w:bCs/>
          <w:color w:val="000000"/>
        </w:rPr>
        <w:t>61%</w:t>
      </w:r>
      <w:r>
        <w:rPr>
          <w:rFonts w:hint="eastAsia"/>
          <w:bCs/>
          <w:color w:val="000000"/>
        </w:rPr>
        <w:t>的</w:t>
      </w:r>
      <w:r>
        <w:rPr>
          <w:rFonts w:hint="eastAsia"/>
          <w:bCs/>
          <w:color w:val="000000"/>
        </w:rPr>
        <w:t>15-19</w:t>
      </w:r>
      <w:r>
        <w:rPr>
          <w:rFonts w:hint="eastAsia"/>
          <w:bCs/>
          <w:color w:val="000000"/>
        </w:rPr>
        <w:t>岁人口和</w:t>
      </w:r>
      <w:r>
        <w:rPr>
          <w:rFonts w:hint="eastAsia"/>
          <w:bCs/>
          <w:color w:val="000000"/>
        </w:rPr>
        <w:t>20%</w:t>
      </w:r>
      <w:r>
        <w:rPr>
          <w:rFonts w:hint="eastAsia"/>
          <w:bCs/>
          <w:color w:val="000000"/>
        </w:rPr>
        <w:t>的</w:t>
      </w:r>
      <w:r>
        <w:rPr>
          <w:rFonts w:hint="eastAsia"/>
          <w:bCs/>
          <w:color w:val="000000"/>
        </w:rPr>
        <w:t>65</w:t>
      </w:r>
      <w:r>
        <w:rPr>
          <w:rFonts w:hint="eastAsia"/>
          <w:bCs/>
          <w:color w:val="000000"/>
        </w:rPr>
        <w:t>岁及以上人口具有葡萄牙语的读写说能力。在妇女中，</w:t>
      </w:r>
      <w:r>
        <w:rPr>
          <w:rFonts w:hint="eastAsia"/>
          <w:bCs/>
          <w:color w:val="000000"/>
        </w:rPr>
        <w:t>65</w:t>
      </w:r>
      <w:r>
        <w:rPr>
          <w:rFonts w:hint="eastAsia"/>
          <w:bCs/>
          <w:color w:val="000000"/>
        </w:rPr>
        <w:t>岁及以上人群的识字率最低，为</w:t>
      </w:r>
      <w:r>
        <w:rPr>
          <w:rFonts w:hint="eastAsia"/>
          <w:bCs/>
          <w:color w:val="000000"/>
        </w:rPr>
        <w:t>6%</w:t>
      </w:r>
      <w:r>
        <w:rPr>
          <w:rFonts w:hint="eastAsia"/>
          <w:bCs/>
          <w:color w:val="000000"/>
        </w:rPr>
        <w:t>，</w:t>
      </w:r>
      <w:r>
        <w:rPr>
          <w:rFonts w:hint="eastAsia"/>
          <w:bCs/>
          <w:color w:val="000000"/>
        </w:rPr>
        <w:t>6-9</w:t>
      </w:r>
      <w:r>
        <w:rPr>
          <w:rFonts w:hint="eastAsia"/>
          <w:bCs/>
          <w:color w:val="000000"/>
        </w:rPr>
        <w:t>岁女孩的识字率最高，为</w:t>
      </w:r>
      <w:r>
        <w:rPr>
          <w:rFonts w:hint="eastAsia"/>
          <w:bCs/>
          <w:color w:val="000000"/>
        </w:rPr>
        <w:t>19%</w:t>
      </w:r>
      <w:r>
        <w:rPr>
          <w:rFonts w:hint="eastAsia"/>
          <w:bCs/>
          <w:color w:val="000000"/>
        </w:rPr>
        <w:t>。</w:t>
      </w:r>
    </w:p>
    <w:p w:rsidR="00692915" w:rsidRDefault="00692915">
      <w:pPr>
        <w:pStyle w:val="Heading2"/>
        <w:spacing w:before="120"/>
        <w:rPr>
          <w:rFonts w:hint="eastAsia"/>
          <w:color w:val="000000"/>
          <w:sz w:val="24"/>
        </w:rPr>
      </w:pPr>
      <w:r>
        <w:rPr>
          <w:rFonts w:hint="eastAsia"/>
          <w:color w:val="000000"/>
          <w:sz w:val="24"/>
        </w:rPr>
        <w:t>图</w:t>
      </w:r>
      <w:r>
        <w:rPr>
          <w:color w:val="000000"/>
          <w:sz w:val="24"/>
        </w:rPr>
        <w:t xml:space="preserve"> 7</w:t>
      </w:r>
      <w:r>
        <w:rPr>
          <w:rFonts w:hint="eastAsia"/>
          <w:color w:val="000000"/>
          <w:sz w:val="24"/>
        </w:rPr>
        <w:br/>
      </w:r>
      <w:bookmarkEnd w:id="187"/>
      <w:bookmarkEnd w:id="188"/>
      <w:r>
        <w:rPr>
          <w:rFonts w:hint="eastAsia"/>
          <w:color w:val="000000"/>
          <w:sz w:val="24"/>
        </w:rPr>
        <w:t>2004</w:t>
      </w:r>
      <w:r>
        <w:rPr>
          <w:rFonts w:hint="eastAsia"/>
          <w:color w:val="000000"/>
          <w:sz w:val="24"/>
        </w:rPr>
        <w:t>年在私人住户中，按性别划分的</w:t>
      </w:r>
      <w:r>
        <w:rPr>
          <w:rFonts w:hint="eastAsia"/>
          <w:color w:val="000000"/>
          <w:sz w:val="24"/>
        </w:rPr>
        <w:t>6</w:t>
      </w:r>
      <w:r>
        <w:rPr>
          <w:rFonts w:hint="eastAsia"/>
          <w:color w:val="000000"/>
          <w:sz w:val="24"/>
        </w:rPr>
        <w:t>岁以上人群</w:t>
      </w:r>
      <w:r>
        <w:rPr>
          <w:color w:val="000000"/>
          <w:sz w:val="24"/>
        </w:rPr>
        <w:br/>
      </w:r>
      <w:r>
        <w:rPr>
          <w:rFonts w:hint="eastAsia"/>
          <w:color w:val="000000"/>
          <w:sz w:val="24"/>
        </w:rPr>
        <w:t>不具备葡萄牙语读写说能力的情况（</w:t>
      </w:r>
      <w:r>
        <w:rPr>
          <w:rFonts w:hint="eastAsia"/>
          <w:color w:val="000000"/>
          <w:sz w:val="24"/>
        </w:rPr>
        <w:t>%</w:t>
      </w:r>
      <w:r>
        <w:rPr>
          <w:rFonts w:hint="eastAsia"/>
          <w:color w:val="000000"/>
          <w:sz w:val="24"/>
        </w:rPr>
        <w:t>）</w:t>
      </w:r>
    </w:p>
    <w:p w:rsidR="00692915" w:rsidRDefault="00692915">
      <w:pPr>
        <w:spacing w:after="360"/>
        <w:ind w:firstLineChars="0" w:firstLine="0"/>
        <w:jc w:val="center"/>
        <w:rPr>
          <w:color w:val="000000"/>
        </w:rPr>
      </w:pPr>
      <w:r>
        <w:rPr>
          <w:noProof/>
          <w:snapToGrid/>
          <w:color w:val="000000"/>
          <w:sz w:val="20"/>
        </w:rPr>
        <w:pict>
          <v:shape id="_x0000_s2249" type="#_x0000_t202" style="position:absolute;left:0;text-align:left;margin-left:385.5pt;margin-top:231.35pt;width:50pt;height:18.95pt;z-index:23" o:regroupid="4" filled="f" fillcolor="#ffb1b1" stroked="f">
            <v:textbox>
              <w:txbxContent>
                <w:p w:rsidR="00692915" w:rsidRDefault="00692915">
                  <w:pPr>
                    <w:ind w:firstLineChars="0" w:firstLine="0"/>
                    <w:rPr>
                      <w:sz w:val="14"/>
                    </w:rPr>
                  </w:pPr>
                  <w:r>
                    <w:rPr>
                      <w:rFonts w:hint="eastAsia"/>
                      <w:sz w:val="14"/>
                    </w:rPr>
                    <w:t>年龄组</w:t>
                  </w:r>
                </w:p>
              </w:txbxContent>
            </v:textbox>
          </v:shape>
        </w:pict>
      </w:r>
      <w:r>
        <w:rPr>
          <w:noProof/>
          <w:snapToGrid/>
          <w:color w:val="000000"/>
          <w:sz w:val="20"/>
        </w:rPr>
        <w:pict>
          <v:shape id="_x0000_s2248" type="#_x0000_t202" style="position:absolute;left:0;text-align:left;margin-left:175.5pt;margin-top:236.4pt;width:169pt;height:18.95pt;z-index:22" o:regroupid="4" filled="f" stroked="f">
            <v:textbox>
              <w:txbxContent>
                <w:p w:rsidR="00692915" w:rsidRDefault="00692915" w:rsidP="009A1C1B">
                  <w:pPr>
                    <w:ind w:firstLine="31680"/>
                    <w:rPr>
                      <w:sz w:val="16"/>
                    </w:rPr>
                  </w:pPr>
                  <w:r>
                    <w:rPr>
                      <w:rFonts w:hint="eastAsia"/>
                      <w:sz w:val="16"/>
                    </w:rPr>
                    <w:t>6</w:t>
                  </w:r>
                  <w:r>
                    <w:rPr>
                      <w:rFonts w:hint="eastAsia"/>
                      <w:sz w:val="16"/>
                    </w:rPr>
                    <w:t>岁以上各年龄组的百分比</w:t>
                  </w:r>
                </w:p>
              </w:txbxContent>
            </v:textbox>
          </v:shape>
        </w:pict>
      </w:r>
      <w:r>
        <w:rPr>
          <w:noProof/>
          <w:snapToGrid/>
          <w:color w:val="000000"/>
          <w:sz w:val="20"/>
        </w:rPr>
        <w:pict>
          <v:shape id="_x0000_s2252" type="#_x0000_t202" style="position:absolute;left:0;text-align:left;margin-left:138.5pt;margin-top:189.6pt;width:36pt;height:16.3pt;z-index:25" o:regroupid="4" filled="f" stroked="f">
            <v:textbox>
              <w:txbxContent>
                <w:p w:rsidR="00692915" w:rsidRDefault="00692915">
                  <w:pPr>
                    <w:ind w:firstLineChars="0" w:firstLine="0"/>
                    <w:rPr>
                      <w:rFonts w:hint="eastAsia"/>
                      <w:sz w:val="12"/>
                    </w:rPr>
                  </w:pPr>
                  <w:r>
                    <w:rPr>
                      <w:rFonts w:hint="eastAsia"/>
                      <w:sz w:val="12"/>
                    </w:rPr>
                    <w:t>女性</w:t>
                  </w:r>
                </w:p>
              </w:txbxContent>
            </v:textbox>
          </v:shape>
        </w:pict>
      </w:r>
      <w:r>
        <w:rPr>
          <w:noProof/>
          <w:snapToGrid/>
          <w:color w:val="000000"/>
          <w:sz w:val="20"/>
        </w:rPr>
        <w:pict>
          <v:shape id="_x0000_s2251" type="#_x0000_t202" style="position:absolute;left:0;text-align:left;margin-left:65.5pt;margin-top:189.6pt;width:36pt;height:16.3pt;z-index:24" o:regroupid="4" filled="f" stroked="f">
            <v:textbox>
              <w:txbxContent>
                <w:p w:rsidR="00692915" w:rsidRDefault="00692915">
                  <w:pPr>
                    <w:ind w:firstLineChars="0" w:firstLine="0"/>
                    <w:rPr>
                      <w:rFonts w:hint="eastAsia"/>
                      <w:sz w:val="12"/>
                    </w:rPr>
                  </w:pPr>
                  <w:r>
                    <w:rPr>
                      <w:rFonts w:hint="eastAsia"/>
                      <w:sz w:val="12"/>
                    </w:rPr>
                    <w:t>男性</w:t>
                  </w:r>
                </w:p>
              </w:txbxContent>
            </v:textbox>
          </v:shape>
        </w:pict>
      </w:r>
      <w:r>
        <w:rPr>
          <w:noProof/>
          <w:color w:val="000000"/>
        </w:rPr>
        <w:pict>
          <v:shape id="_x0000_s2245" type="#_x0000_t202" style="position:absolute;left:0;text-align:left;margin-left:45.5pt;margin-top:3pt;width:396.5pt;height:24.45pt;z-index:21" filled="f" fillcolor="#ff7f7f" stroked="f">
            <v:fill color2="#ffa5a5" angle="-90" focus="100%" type="gradient"/>
            <v:textbox>
              <w:txbxContent>
                <w:p w:rsidR="00692915" w:rsidRDefault="00692915">
                  <w:pPr>
                    <w:ind w:firstLineChars="0" w:firstLine="0"/>
                    <w:jc w:val="center"/>
                    <w:rPr>
                      <w:rFonts w:eastAsia="SimHei"/>
                      <w:spacing w:val="0"/>
                      <w:sz w:val="18"/>
                    </w:rPr>
                  </w:pPr>
                  <w:r>
                    <w:rPr>
                      <w:rFonts w:eastAsia="SimHei" w:hint="eastAsia"/>
                      <w:spacing w:val="0"/>
                      <w:sz w:val="18"/>
                    </w:rPr>
                    <w:t>大多数具有葡萄牙语识字能力的人还在学校，极少数年级较大的妇女能读写说葡萄牙语</w:t>
                  </w:r>
                </w:p>
              </w:txbxContent>
            </v:textbox>
          </v:shape>
        </w:pict>
      </w:r>
      <w:bookmarkStart w:id="189" w:name="_MON_1261399932"/>
      <w:bookmarkEnd w:id="189"/>
      <w:r>
        <w:rPr>
          <w:color w:val="000000"/>
        </w:rPr>
        <w:object w:dxaOrig="8161" w:dyaOrig="5191">
          <v:shape id="_x0000_i1031" type="#_x0000_t75" style="width:408pt;height:259.5pt" o:ole="">
            <v:imagedata r:id="rId20" o:title=""/>
          </v:shape>
          <o:OLEObject Type="Embed" ProgID="Word.Picture.8" ShapeID="_x0000_i1031" DrawAspect="Content" ObjectID="_1395890540" r:id="rId21"/>
        </w:object>
      </w:r>
    </w:p>
    <w:p w:rsidR="00692915" w:rsidRDefault="00692915" w:rsidP="009A1C1B">
      <w:pPr>
        <w:spacing w:after="240"/>
        <w:ind w:firstLine="31680"/>
        <w:rPr>
          <w:bCs/>
          <w:color w:val="000000"/>
          <w:sz w:val="21"/>
          <w:szCs w:val="24"/>
          <w:u w:val="single"/>
        </w:rPr>
      </w:pPr>
      <w:bookmarkStart w:id="190" w:name="_Toc131956509"/>
      <w:bookmarkStart w:id="191" w:name="_Toc132732190"/>
      <w:bookmarkStart w:id="192" w:name="_Toc135830063"/>
      <w:bookmarkStart w:id="193" w:name="_Toc135834060"/>
      <w:bookmarkStart w:id="194" w:name="_Toc135834277"/>
      <w:bookmarkStart w:id="195" w:name="_Toc135834491"/>
      <w:r>
        <w:rPr>
          <w:rFonts w:eastAsia="KaiTi_GB2312" w:hint="eastAsia"/>
          <w:iCs/>
          <w:color w:val="000000"/>
          <w:sz w:val="21"/>
        </w:rPr>
        <w:t>资料来源</w:t>
      </w:r>
      <w:r>
        <w:rPr>
          <w:rFonts w:hint="eastAsia"/>
          <w:iCs/>
          <w:color w:val="000000"/>
          <w:sz w:val="21"/>
        </w:rPr>
        <w:t>：《东帝汶人口与住房普查》，表</w:t>
      </w:r>
      <w:r>
        <w:rPr>
          <w:rFonts w:hint="eastAsia"/>
          <w:iCs/>
          <w:color w:val="000000"/>
          <w:sz w:val="21"/>
        </w:rPr>
        <w:t>2004 E</w:t>
      </w:r>
      <w:r>
        <w:rPr>
          <w:rFonts w:hint="eastAsia"/>
          <w:iCs/>
          <w:color w:val="000000"/>
          <w:sz w:val="21"/>
        </w:rPr>
        <w:t>，根据表</w:t>
      </w:r>
      <w:r>
        <w:rPr>
          <w:color w:val="000000"/>
          <w:sz w:val="21"/>
        </w:rPr>
        <w:t>E4P</w:t>
      </w:r>
      <w:r>
        <w:rPr>
          <w:rFonts w:hint="eastAsia"/>
          <w:iCs/>
          <w:color w:val="000000"/>
          <w:sz w:val="21"/>
        </w:rPr>
        <w:t>计算得出。</w:t>
      </w:r>
    </w:p>
    <w:bookmarkEnd w:id="190"/>
    <w:bookmarkEnd w:id="191"/>
    <w:bookmarkEnd w:id="192"/>
    <w:bookmarkEnd w:id="193"/>
    <w:bookmarkEnd w:id="194"/>
    <w:bookmarkEnd w:id="195"/>
    <w:p w:rsidR="00692915" w:rsidRDefault="00692915" w:rsidP="009A1C1B">
      <w:pPr>
        <w:pStyle w:val="Heading4"/>
        <w:ind w:firstLineChars="76" w:firstLine="31680"/>
        <w:rPr>
          <w:rFonts w:eastAsia="KaiTi_GB2312" w:hint="eastAsia"/>
          <w:color w:val="000000"/>
          <w:u w:val="none"/>
        </w:rPr>
      </w:pPr>
      <w:r>
        <w:rPr>
          <w:rFonts w:eastAsia="KaiTi_GB2312" w:hint="eastAsia"/>
          <w:color w:val="000000"/>
          <w:u w:val="none"/>
        </w:rPr>
        <w:t>德顿语的识字能力</w:t>
      </w:r>
    </w:p>
    <w:p w:rsidR="00692915" w:rsidRDefault="00692915" w:rsidP="009A1C1B">
      <w:pPr>
        <w:ind w:firstLine="31680"/>
        <w:rPr>
          <w:rFonts w:hint="eastAsia"/>
          <w:bCs/>
          <w:color w:val="000000"/>
        </w:rPr>
      </w:pPr>
      <w:r>
        <w:rPr>
          <w:rFonts w:hint="eastAsia"/>
          <w:bCs/>
          <w:color w:val="000000"/>
        </w:rPr>
        <w:t>尽管东帝汶有</w:t>
      </w:r>
      <w:r>
        <w:rPr>
          <w:rFonts w:hint="eastAsia"/>
          <w:bCs/>
          <w:color w:val="000000"/>
        </w:rPr>
        <w:t>31</w:t>
      </w:r>
      <w:r>
        <w:rPr>
          <w:rFonts w:hint="eastAsia"/>
          <w:bCs/>
          <w:color w:val="000000"/>
        </w:rPr>
        <w:t>种以上的语言，但是使用最普遍的是德顿语（图</w:t>
      </w:r>
      <w:r>
        <w:rPr>
          <w:rFonts w:hint="eastAsia"/>
          <w:bCs/>
          <w:color w:val="000000"/>
        </w:rPr>
        <w:t>8</w:t>
      </w:r>
      <w:r>
        <w:rPr>
          <w:rFonts w:hint="eastAsia"/>
          <w:bCs/>
          <w:color w:val="000000"/>
        </w:rPr>
        <w:t>）。但在一些不以德顿语为母语的地区中，很多年级较大的妇女不能用德顿语交流。</w:t>
      </w:r>
    </w:p>
    <w:p w:rsidR="00692915" w:rsidRDefault="00692915" w:rsidP="009A1C1B">
      <w:pPr>
        <w:ind w:firstLine="31680"/>
        <w:rPr>
          <w:rFonts w:hint="eastAsia"/>
          <w:bCs/>
          <w:color w:val="000000"/>
        </w:rPr>
      </w:pPr>
      <w:r>
        <w:rPr>
          <w:rFonts w:hint="eastAsia"/>
          <w:bCs/>
          <w:color w:val="000000"/>
        </w:rPr>
        <w:t>德顿语是一种简单的语言，缺乏很多现代的概念和术语，因此受葡萄牙语、印度尼西亚语和英语的影响很大。如今，德顿语文献（包括杂志和报纸）越来越多。</w:t>
      </w:r>
    </w:p>
    <w:p w:rsidR="00692915" w:rsidRDefault="00692915">
      <w:pPr>
        <w:pStyle w:val="Heading2"/>
        <w:spacing w:before="120"/>
        <w:rPr>
          <w:rFonts w:hint="eastAsia"/>
          <w:color w:val="000000"/>
          <w:sz w:val="24"/>
        </w:rPr>
      </w:pPr>
      <w:r>
        <w:rPr>
          <w:rFonts w:hint="eastAsia"/>
          <w:color w:val="000000"/>
          <w:sz w:val="24"/>
        </w:rPr>
        <w:t>图</w:t>
      </w:r>
      <w:r>
        <w:rPr>
          <w:color w:val="000000"/>
          <w:sz w:val="24"/>
        </w:rPr>
        <w:t>8</w:t>
      </w:r>
      <w:r>
        <w:rPr>
          <w:rFonts w:hint="eastAsia"/>
          <w:color w:val="000000"/>
          <w:sz w:val="24"/>
        </w:rPr>
        <w:br/>
        <w:t>6</w:t>
      </w:r>
      <w:r>
        <w:rPr>
          <w:rFonts w:hint="eastAsia"/>
          <w:color w:val="000000"/>
          <w:sz w:val="24"/>
        </w:rPr>
        <w:t>岁以上具备德顿语读写说能力的情况（</w:t>
      </w:r>
      <w:r>
        <w:rPr>
          <w:rFonts w:hint="eastAsia"/>
          <w:color w:val="000000"/>
          <w:sz w:val="24"/>
        </w:rPr>
        <w:t>%</w:t>
      </w:r>
      <w:r>
        <w:rPr>
          <w:rFonts w:hint="eastAsia"/>
          <w:color w:val="000000"/>
          <w:sz w:val="24"/>
        </w:rPr>
        <w:t>）</w:t>
      </w:r>
    </w:p>
    <w:p w:rsidR="00692915" w:rsidRDefault="00692915">
      <w:pPr>
        <w:spacing w:after="360"/>
        <w:ind w:firstLineChars="0" w:firstLine="0"/>
        <w:jc w:val="center"/>
        <w:rPr>
          <w:color w:val="000000"/>
        </w:rPr>
      </w:pPr>
      <w:r>
        <w:rPr>
          <w:noProof/>
          <w:snapToGrid/>
          <w:color w:val="000000"/>
          <w:sz w:val="20"/>
        </w:rPr>
        <w:pict>
          <v:shape id="_x0000_s2255" type="#_x0000_t202" style="position:absolute;left:0;text-align:left;margin-left:213.55pt;margin-top:19.45pt;width:54pt;height:16.3pt;z-index:27" o:regroupid="5" filled="f" fillcolor="#ff5050" stroked="f">
            <v:textbox>
              <w:txbxContent>
                <w:p w:rsidR="00692915" w:rsidRDefault="00692915" w:rsidP="009A1C1B">
                  <w:pPr>
                    <w:ind w:firstLine="31680"/>
                    <w:jc w:val="left"/>
                    <w:rPr>
                      <w:sz w:val="15"/>
                    </w:rPr>
                  </w:pPr>
                  <w:r>
                    <w:rPr>
                      <w:rFonts w:hint="eastAsia"/>
                      <w:sz w:val="13"/>
                    </w:rPr>
                    <w:t>年龄组</w:t>
                  </w:r>
                </w:p>
              </w:txbxContent>
            </v:textbox>
          </v:shape>
        </w:pict>
      </w:r>
      <w:r>
        <w:rPr>
          <w:noProof/>
          <w:snapToGrid/>
          <w:color w:val="000000"/>
          <w:sz w:val="20"/>
        </w:rPr>
        <w:pict>
          <v:shape id="_x0000_s2258" type="#_x0000_t202" style="position:absolute;left:0;text-align:left;margin-left:127.5pt;margin-top:209.65pt;width:36pt;height:16.3pt;z-index:28" o:regroupid="5" filled="f" stroked="f">
            <v:textbox>
              <w:txbxContent>
                <w:p w:rsidR="00692915" w:rsidRDefault="00692915">
                  <w:pPr>
                    <w:ind w:firstLineChars="0" w:firstLine="0"/>
                    <w:rPr>
                      <w:rFonts w:hint="eastAsia"/>
                      <w:sz w:val="11"/>
                    </w:rPr>
                  </w:pPr>
                  <w:r>
                    <w:rPr>
                      <w:rFonts w:hint="eastAsia"/>
                      <w:sz w:val="11"/>
                    </w:rPr>
                    <w:t>男性</w:t>
                  </w:r>
                </w:p>
              </w:txbxContent>
            </v:textbox>
          </v:shape>
        </w:pict>
      </w:r>
      <w:r>
        <w:rPr>
          <w:noProof/>
          <w:snapToGrid/>
          <w:color w:val="000000"/>
          <w:sz w:val="20"/>
        </w:rPr>
        <w:pict>
          <v:shape id="_x0000_s2259" type="#_x0000_t202" style="position:absolute;left:0;text-align:left;margin-left:59.5pt;margin-top:209.15pt;width:36pt;height:16.3pt;z-index:29" o:regroupid="5" filled="f" stroked="f">
            <v:textbox>
              <w:txbxContent>
                <w:p w:rsidR="00692915" w:rsidRDefault="00692915">
                  <w:pPr>
                    <w:ind w:firstLineChars="0" w:firstLine="0"/>
                    <w:rPr>
                      <w:rFonts w:hint="eastAsia"/>
                      <w:sz w:val="11"/>
                    </w:rPr>
                  </w:pPr>
                  <w:r>
                    <w:rPr>
                      <w:rFonts w:hint="eastAsia"/>
                      <w:sz w:val="11"/>
                    </w:rPr>
                    <w:t>女性</w:t>
                  </w:r>
                </w:p>
              </w:txbxContent>
            </v:textbox>
          </v:shape>
        </w:pict>
      </w:r>
      <w:r>
        <w:rPr>
          <w:noProof/>
          <w:snapToGrid/>
          <w:color w:val="000000"/>
          <w:sz w:val="20"/>
        </w:rPr>
        <w:pict>
          <v:shape id="_x0000_s2254" type="#_x0000_t202" style="position:absolute;left:0;text-align:left;margin-left:38.2pt;margin-top:3.95pt;width:390pt;height:26.8pt;z-index:26" o:regroupid="5" filled="f" fillcolor="#ff5050" stroked="f">
            <v:fill color2="#ffadad" angle="-90" type="gradient"/>
            <v:textbox style="mso-next-textbox:#_x0000_s2254">
              <w:txbxContent>
                <w:p w:rsidR="00692915" w:rsidRDefault="00692915">
                  <w:pPr>
                    <w:ind w:firstLineChars="0" w:firstLine="0"/>
                    <w:jc w:val="center"/>
                    <w:rPr>
                      <w:rFonts w:ascii="SimHei" w:eastAsia="SimHei"/>
                      <w:sz w:val="21"/>
                    </w:rPr>
                  </w:pPr>
                  <w:r>
                    <w:rPr>
                      <w:rFonts w:ascii="SimHei" w:eastAsia="SimHei" w:hint="eastAsia"/>
                      <w:sz w:val="21"/>
                    </w:rPr>
                    <w:t>83%的女性和88%的男性具备德顿语识字能力</w:t>
                  </w:r>
                </w:p>
              </w:txbxContent>
            </v:textbox>
          </v:shape>
        </w:pict>
      </w:r>
      <w:bookmarkStart w:id="196" w:name="_MON_1261400393"/>
      <w:bookmarkStart w:id="197" w:name="_MON_1261400554"/>
      <w:bookmarkStart w:id="198" w:name="_MON_1261400627"/>
      <w:bookmarkEnd w:id="196"/>
      <w:bookmarkEnd w:id="197"/>
      <w:bookmarkEnd w:id="198"/>
      <w:r>
        <w:rPr>
          <w:color w:val="000000"/>
        </w:rPr>
        <w:object w:dxaOrig="8071" w:dyaOrig="4501">
          <v:shape id="_x0000_i1032" type="#_x0000_t75" style="width:403.5pt;height:225pt" o:ole="">
            <v:imagedata r:id="rId22" o:title=""/>
          </v:shape>
          <o:OLEObject Type="Embed" ProgID="Word.Picture.8" ShapeID="_x0000_i1032" DrawAspect="Content" ObjectID="_1395890541" r:id="rId23"/>
        </w:object>
      </w:r>
    </w:p>
    <w:p w:rsidR="00692915" w:rsidRDefault="00692915">
      <w:pPr>
        <w:pStyle w:val="FootnoteText"/>
        <w:spacing w:before="120" w:after="240"/>
        <w:ind w:firstLineChars="0" w:firstLine="0"/>
        <w:rPr>
          <w:rFonts w:hint="eastAsia"/>
          <w:color w:val="000000"/>
          <w:sz w:val="21"/>
        </w:rPr>
      </w:pPr>
      <w:r>
        <w:rPr>
          <w:rFonts w:hint="eastAsia"/>
          <w:color w:val="000000"/>
          <w:sz w:val="21"/>
        </w:rPr>
        <w:t>资料来源：《</w:t>
      </w:r>
      <w:r>
        <w:rPr>
          <w:rFonts w:hint="eastAsia"/>
          <w:color w:val="000000"/>
          <w:sz w:val="21"/>
        </w:rPr>
        <w:t>2004</w:t>
      </w:r>
      <w:r>
        <w:rPr>
          <w:rFonts w:hint="eastAsia"/>
          <w:color w:val="000000"/>
          <w:sz w:val="21"/>
        </w:rPr>
        <w:t>年人口普查》。</w:t>
      </w:r>
    </w:p>
    <w:p w:rsidR="00692915" w:rsidRDefault="00692915">
      <w:pPr>
        <w:pStyle w:val="Heading5"/>
        <w:ind w:firstLineChars="0" w:firstLine="0"/>
        <w:rPr>
          <w:rFonts w:hint="eastAsia"/>
          <w:b w:val="0"/>
          <w:bCs/>
          <w:color w:val="000000"/>
          <w:lang w:eastAsia="zh-CN"/>
        </w:rPr>
      </w:pPr>
      <w:bookmarkStart w:id="199" w:name="_Toc150587731"/>
      <w:bookmarkStart w:id="200" w:name="_Toc150589434"/>
      <w:bookmarkEnd w:id="199"/>
      <w:bookmarkEnd w:id="200"/>
      <w:r>
        <w:rPr>
          <w:rFonts w:eastAsia="KaiTi_GB2312" w:hint="eastAsia"/>
          <w:b w:val="0"/>
          <w:bCs/>
          <w:i w:val="0"/>
          <w:iCs/>
          <w:color w:val="000000"/>
          <w:lang w:eastAsia="zh-CN"/>
        </w:rPr>
        <w:t>宗教</w:t>
      </w:r>
    </w:p>
    <w:p w:rsidR="00692915" w:rsidRDefault="00692915" w:rsidP="009A1C1B">
      <w:pPr>
        <w:ind w:firstLine="31680"/>
        <w:rPr>
          <w:rFonts w:hint="eastAsia"/>
          <w:bCs/>
          <w:color w:val="000000"/>
        </w:rPr>
      </w:pPr>
      <w:r>
        <w:rPr>
          <w:rFonts w:hint="eastAsia"/>
          <w:bCs/>
          <w:color w:val="000000"/>
        </w:rPr>
        <w:t>在过去</w:t>
      </w:r>
      <w:r>
        <w:rPr>
          <w:rFonts w:hint="eastAsia"/>
          <w:bCs/>
          <w:color w:val="000000"/>
        </w:rPr>
        <w:t>15</w:t>
      </w:r>
      <w:r>
        <w:rPr>
          <w:rFonts w:hint="eastAsia"/>
          <w:bCs/>
          <w:color w:val="000000"/>
        </w:rPr>
        <w:t>年中，人口中的宗教构成发生了很大变化。</w:t>
      </w:r>
      <w:r>
        <w:rPr>
          <w:rFonts w:hint="eastAsia"/>
          <w:bCs/>
          <w:color w:val="000000"/>
        </w:rPr>
        <w:t>1976-1999</w:t>
      </w:r>
      <w:r>
        <w:rPr>
          <w:rFonts w:hint="eastAsia"/>
          <w:bCs/>
          <w:color w:val="000000"/>
        </w:rPr>
        <w:t>年期间，东帝汶天主教徒所占比率从</w:t>
      </w:r>
      <w:r>
        <w:rPr>
          <w:rFonts w:hint="eastAsia"/>
          <w:bCs/>
          <w:color w:val="000000"/>
        </w:rPr>
        <w:t>20%</w:t>
      </w:r>
      <w:r>
        <w:rPr>
          <w:rFonts w:hint="eastAsia"/>
          <w:bCs/>
          <w:color w:val="000000"/>
        </w:rPr>
        <w:t>左右可能上升到</w:t>
      </w:r>
      <w:r>
        <w:rPr>
          <w:rFonts w:hint="eastAsia"/>
          <w:bCs/>
          <w:color w:val="000000"/>
        </w:rPr>
        <w:t>90%</w:t>
      </w:r>
      <w:r>
        <w:rPr>
          <w:rFonts w:hint="eastAsia"/>
          <w:bCs/>
          <w:color w:val="000000"/>
        </w:rPr>
        <w:t>以上。</w:t>
      </w:r>
      <w:r>
        <w:rPr>
          <w:rStyle w:val="FootnoteReference"/>
          <w:bCs/>
          <w:color w:val="000000"/>
        </w:rPr>
        <w:footnoteReference w:id="395"/>
      </w:r>
    </w:p>
    <w:p w:rsidR="00692915" w:rsidRDefault="00692915" w:rsidP="009A1C1B">
      <w:pPr>
        <w:ind w:firstLine="31680"/>
        <w:rPr>
          <w:rFonts w:hint="eastAsia"/>
          <w:bCs/>
          <w:color w:val="000000"/>
        </w:rPr>
      </w:pPr>
      <w:r>
        <w:rPr>
          <w:rFonts w:hint="eastAsia"/>
          <w:bCs/>
          <w:color w:val="000000"/>
        </w:rPr>
        <w:t>1990</w:t>
      </w:r>
      <w:r>
        <w:rPr>
          <w:rFonts w:hint="eastAsia"/>
          <w:bCs/>
          <w:color w:val="000000"/>
        </w:rPr>
        <w:t>年印度尼西亚人口普查显示，在出生于东帝汶的户主中，天主教人口占</w:t>
      </w:r>
      <w:r>
        <w:rPr>
          <w:rFonts w:hint="eastAsia"/>
          <w:bCs/>
          <w:color w:val="000000"/>
        </w:rPr>
        <w:t>95%</w:t>
      </w:r>
      <w:r>
        <w:rPr>
          <w:rFonts w:hint="eastAsia"/>
          <w:bCs/>
          <w:color w:val="000000"/>
        </w:rPr>
        <w:t>，新教人口占</w:t>
      </w:r>
      <w:r>
        <w:rPr>
          <w:bCs/>
          <w:color w:val="000000"/>
        </w:rPr>
        <w:t>1.9 %</w:t>
      </w:r>
      <w:r>
        <w:rPr>
          <w:rFonts w:hint="eastAsia"/>
          <w:bCs/>
          <w:color w:val="000000"/>
        </w:rPr>
        <w:t>。但在出生于东帝汶以外的户主中，天主教人口占</w:t>
      </w:r>
      <w:r>
        <w:rPr>
          <w:rFonts w:hint="eastAsia"/>
          <w:bCs/>
          <w:color w:val="000000"/>
        </w:rPr>
        <w:t>36%</w:t>
      </w:r>
      <w:r>
        <w:rPr>
          <w:rFonts w:hint="eastAsia"/>
          <w:bCs/>
          <w:color w:val="000000"/>
        </w:rPr>
        <w:t>，伊斯兰教人口占</w:t>
      </w:r>
      <w:r>
        <w:rPr>
          <w:rFonts w:hint="eastAsia"/>
          <w:bCs/>
          <w:color w:val="000000"/>
        </w:rPr>
        <w:t>40%</w:t>
      </w:r>
      <w:r>
        <w:rPr>
          <w:rFonts w:hint="eastAsia"/>
          <w:bCs/>
          <w:color w:val="000000"/>
        </w:rPr>
        <w:t>，新教人口占</w:t>
      </w:r>
      <w:r>
        <w:rPr>
          <w:rFonts w:hint="eastAsia"/>
          <w:bCs/>
          <w:color w:val="000000"/>
        </w:rPr>
        <w:t>18%</w:t>
      </w:r>
      <w:r>
        <w:rPr>
          <w:rFonts w:hint="eastAsia"/>
          <w:bCs/>
          <w:color w:val="000000"/>
        </w:rPr>
        <w:t>。</w:t>
      </w:r>
      <w:r>
        <w:rPr>
          <w:rStyle w:val="FootnoteReference"/>
          <w:bCs/>
          <w:color w:val="000000"/>
        </w:rPr>
        <w:footnoteReference w:id="396"/>
      </w:r>
    </w:p>
    <w:p w:rsidR="00692915" w:rsidRDefault="00692915" w:rsidP="009A1C1B">
      <w:pPr>
        <w:ind w:firstLine="31680"/>
        <w:rPr>
          <w:rFonts w:hint="eastAsia"/>
          <w:bCs/>
          <w:color w:val="000000"/>
        </w:rPr>
      </w:pPr>
      <w:r>
        <w:rPr>
          <w:rFonts w:hint="eastAsia"/>
          <w:bCs/>
          <w:color w:val="000000"/>
        </w:rPr>
        <w:t>根据</w:t>
      </w:r>
      <w:r>
        <w:rPr>
          <w:rFonts w:hint="eastAsia"/>
          <w:bCs/>
          <w:color w:val="000000"/>
        </w:rPr>
        <w:t>2004</w:t>
      </w:r>
      <w:r>
        <w:rPr>
          <w:rFonts w:hint="eastAsia"/>
          <w:bCs/>
          <w:color w:val="000000"/>
        </w:rPr>
        <w:t>年的报告，有</w:t>
      </w:r>
      <w:r>
        <w:rPr>
          <w:rFonts w:hint="eastAsia"/>
          <w:bCs/>
          <w:color w:val="000000"/>
        </w:rPr>
        <w:t>96%</w:t>
      </w:r>
      <w:r>
        <w:rPr>
          <w:rFonts w:hint="eastAsia"/>
          <w:bCs/>
          <w:color w:val="000000"/>
        </w:rPr>
        <w:t>的人口为天主教徒。而根据</w:t>
      </w:r>
      <w:r>
        <w:rPr>
          <w:rFonts w:hint="eastAsia"/>
          <w:bCs/>
          <w:color w:val="000000"/>
        </w:rPr>
        <w:t>2003</w:t>
      </w:r>
      <w:r>
        <w:rPr>
          <w:rFonts w:hint="eastAsia"/>
          <w:bCs/>
          <w:color w:val="000000"/>
        </w:rPr>
        <w:t>年人口与健康调查的报告，在</w:t>
      </w:r>
      <w:r>
        <w:rPr>
          <w:rFonts w:hint="eastAsia"/>
          <w:bCs/>
          <w:color w:val="000000"/>
        </w:rPr>
        <w:t>15-49</w:t>
      </w:r>
      <w:r>
        <w:rPr>
          <w:rFonts w:hint="eastAsia"/>
          <w:bCs/>
          <w:color w:val="000000"/>
        </w:rPr>
        <w:t>岁已婚妇女中，天主教人口占</w:t>
      </w:r>
      <w:r>
        <w:rPr>
          <w:bCs/>
          <w:color w:val="000000"/>
        </w:rPr>
        <w:t>98.2 %</w:t>
      </w:r>
      <w:r>
        <w:rPr>
          <w:rFonts w:hint="eastAsia"/>
          <w:bCs/>
          <w:color w:val="000000"/>
        </w:rPr>
        <w:t>，新教人口占</w:t>
      </w:r>
      <w:r>
        <w:rPr>
          <w:bCs/>
          <w:color w:val="000000"/>
        </w:rPr>
        <w:t>1.5 %</w:t>
      </w:r>
      <w:r>
        <w:rPr>
          <w:rFonts w:hint="eastAsia"/>
          <w:bCs/>
          <w:color w:val="000000"/>
        </w:rPr>
        <w:t>。</w:t>
      </w:r>
    </w:p>
    <w:p w:rsidR="00692915" w:rsidRDefault="00692915">
      <w:pPr>
        <w:pStyle w:val="Heading2"/>
        <w:spacing w:before="120" w:after="120"/>
        <w:rPr>
          <w:rFonts w:hint="eastAsia"/>
          <w:color w:val="000000"/>
          <w:sz w:val="24"/>
        </w:rPr>
      </w:pPr>
      <w:bookmarkStart w:id="201" w:name="_Toc131956639"/>
      <w:bookmarkStart w:id="202" w:name="_Toc132732656"/>
      <w:r>
        <w:rPr>
          <w:rFonts w:hint="eastAsia"/>
          <w:color w:val="000000"/>
          <w:sz w:val="24"/>
        </w:rPr>
        <w:t>表</w:t>
      </w:r>
      <w:r>
        <w:rPr>
          <w:color w:val="000000"/>
          <w:sz w:val="24"/>
        </w:rPr>
        <w:t xml:space="preserve"> </w:t>
      </w:r>
      <w:r>
        <w:rPr>
          <w:noProof/>
          <w:color w:val="000000"/>
          <w:sz w:val="24"/>
        </w:rPr>
        <w:t>2</w:t>
      </w:r>
      <w:r>
        <w:rPr>
          <w:rFonts w:hint="eastAsia"/>
          <w:noProof/>
          <w:color w:val="000000"/>
          <w:sz w:val="24"/>
        </w:rPr>
        <w:br/>
      </w:r>
      <w:r>
        <w:rPr>
          <w:color w:val="000000"/>
          <w:sz w:val="24"/>
        </w:rPr>
        <w:t>2004</w:t>
      </w:r>
      <w:bookmarkEnd w:id="201"/>
      <w:bookmarkEnd w:id="202"/>
      <w:r>
        <w:rPr>
          <w:rFonts w:hint="eastAsia"/>
          <w:color w:val="000000"/>
          <w:sz w:val="24"/>
        </w:rPr>
        <w:t>年绝大多数人口为天主教徒</w:t>
      </w:r>
    </w:p>
    <w:tbl>
      <w:tblPr>
        <w:tblW w:w="0" w:type="auto"/>
        <w:jc w:val="center"/>
        <w:tblInd w:w="-150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3091"/>
        <w:gridCol w:w="2590"/>
        <w:gridCol w:w="3594"/>
      </w:tblGrid>
      <w:tr w:rsidR="00692915">
        <w:trPr>
          <w:trHeight w:val="267"/>
          <w:jc w:val="center"/>
        </w:trPr>
        <w:tc>
          <w:tcPr>
            <w:tcW w:w="3091" w:type="dxa"/>
            <w:tcBorders>
              <w:bottom w:val="single" w:sz="6" w:space="0" w:color="auto"/>
            </w:tcBorders>
          </w:tcPr>
          <w:p w:rsidR="00692915" w:rsidRDefault="00692915" w:rsidP="009A1C1B">
            <w:pPr>
              <w:pStyle w:val="Header"/>
              <w:spacing w:beforeLines="50" w:before="180"/>
              <w:ind w:firstLine="31680"/>
              <w:rPr>
                <w:rFonts w:hint="eastAsia"/>
                <w:color w:val="000000"/>
                <w:sz w:val="21"/>
                <w:lang w:eastAsia="zh-CN"/>
              </w:rPr>
            </w:pPr>
            <w:r>
              <w:rPr>
                <w:rFonts w:hint="eastAsia"/>
                <w:color w:val="000000"/>
                <w:sz w:val="21"/>
                <w:lang w:eastAsia="zh-CN"/>
              </w:rPr>
              <w:t>宗教</w:t>
            </w:r>
          </w:p>
        </w:tc>
        <w:tc>
          <w:tcPr>
            <w:tcW w:w="2590" w:type="dxa"/>
            <w:tcBorders>
              <w:bottom w:val="single" w:sz="6" w:space="0" w:color="auto"/>
            </w:tcBorders>
          </w:tcPr>
          <w:p w:rsidR="00692915" w:rsidRDefault="00692915" w:rsidP="009A1C1B">
            <w:pPr>
              <w:pStyle w:val="Header"/>
              <w:spacing w:beforeLines="50" w:before="180"/>
              <w:ind w:firstLine="31680"/>
              <w:jc w:val="center"/>
              <w:rPr>
                <w:rFonts w:hint="eastAsia"/>
                <w:color w:val="000000"/>
                <w:sz w:val="21"/>
                <w:lang w:eastAsia="zh-CN"/>
              </w:rPr>
            </w:pPr>
            <w:r>
              <w:rPr>
                <w:rFonts w:hint="eastAsia"/>
                <w:color w:val="000000"/>
                <w:sz w:val="21"/>
                <w:lang w:eastAsia="zh-CN"/>
              </w:rPr>
              <w:t>人数</w:t>
            </w:r>
          </w:p>
        </w:tc>
        <w:tc>
          <w:tcPr>
            <w:tcW w:w="3594" w:type="dxa"/>
            <w:tcBorders>
              <w:bottom w:val="single" w:sz="6" w:space="0" w:color="auto"/>
            </w:tcBorders>
          </w:tcPr>
          <w:p w:rsidR="00692915" w:rsidRDefault="00692915" w:rsidP="009A1C1B">
            <w:pPr>
              <w:spacing w:beforeLines="50" w:before="180"/>
              <w:ind w:firstLine="31680"/>
              <w:jc w:val="center"/>
              <w:rPr>
                <w:rFonts w:hint="eastAsia"/>
                <w:color w:val="000000"/>
                <w:sz w:val="21"/>
              </w:rPr>
            </w:pPr>
            <w:r>
              <w:rPr>
                <w:rFonts w:hint="eastAsia"/>
                <w:color w:val="000000"/>
                <w:sz w:val="21"/>
              </w:rPr>
              <w:t>在总人口中所占的比率（</w:t>
            </w:r>
            <w:r>
              <w:rPr>
                <w:color w:val="000000"/>
                <w:sz w:val="21"/>
              </w:rPr>
              <w:t xml:space="preserve">% </w:t>
            </w:r>
            <w:r>
              <w:rPr>
                <w:rFonts w:hint="eastAsia"/>
                <w:color w:val="000000"/>
                <w:sz w:val="21"/>
              </w:rPr>
              <w:t>）</w:t>
            </w:r>
          </w:p>
        </w:tc>
      </w:tr>
      <w:tr w:rsidR="00692915">
        <w:trPr>
          <w:trHeight w:val="267"/>
          <w:jc w:val="center"/>
        </w:trPr>
        <w:tc>
          <w:tcPr>
            <w:tcW w:w="3091" w:type="dxa"/>
            <w:tcBorders>
              <w:top w:val="single" w:sz="6" w:space="0" w:color="auto"/>
              <w:bottom w:val="nil"/>
            </w:tcBorders>
            <w:vAlign w:val="bottom"/>
          </w:tcPr>
          <w:p w:rsidR="00692915" w:rsidRDefault="00692915" w:rsidP="009A1C1B">
            <w:pPr>
              <w:spacing w:beforeLines="50" w:before="180"/>
              <w:ind w:firstLine="31680"/>
              <w:rPr>
                <w:rFonts w:hint="eastAsia"/>
                <w:color w:val="000000"/>
                <w:sz w:val="21"/>
              </w:rPr>
            </w:pPr>
            <w:r>
              <w:rPr>
                <w:rFonts w:hint="eastAsia"/>
                <w:color w:val="000000"/>
                <w:sz w:val="21"/>
              </w:rPr>
              <w:t>天主教</w:t>
            </w:r>
          </w:p>
        </w:tc>
        <w:tc>
          <w:tcPr>
            <w:tcW w:w="2590" w:type="dxa"/>
            <w:tcBorders>
              <w:top w:val="single" w:sz="6" w:space="0" w:color="auto"/>
              <w:bottom w:val="nil"/>
            </w:tcBorders>
            <w:vAlign w:val="bottom"/>
          </w:tcPr>
          <w:p w:rsidR="00692915" w:rsidRDefault="00692915" w:rsidP="009A1C1B">
            <w:pPr>
              <w:spacing w:beforeLines="50" w:before="180"/>
              <w:ind w:right="1077" w:firstLine="31680"/>
              <w:jc w:val="right"/>
              <w:rPr>
                <w:color w:val="000000"/>
                <w:sz w:val="21"/>
              </w:rPr>
            </w:pPr>
            <w:r>
              <w:rPr>
                <w:color w:val="000000"/>
                <w:sz w:val="21"/>
              </w:rPr>
              <w:t>885 567</w:t>
            </w:r>
          </w:p>
        </w:tc>
        <w:tc>
          <w:tcPr>
            <w:tcW w:w="3594" w:type="dxa"/>
            <w:tcBorders>
              <w:top w:val="single" w:sz="6" w:space="0" w:color="auto"/>
              <w:bottom w:val="nil"/>
            </w:tcBorders>
            <w:vAlign w:val="bottom"/>
          </w:tcPr>
          <w:p w:rsidR="00692915" w:rsidRDefault="00692915" w:rsidP="009A1C1B">
            <w:pPr>
              <w:spacing w:beforeLines="50" w:before="180"/>
              <w:ind w:right="1287" w:firstLine="31680"/>
              <w:jc w:val="right"/>
              <w:rPr>
                <w:color w:val="000000"/>
                <w:sz w:val="21"/>
              </w:rPr>
            </w:pPr>
            <w:r>
              <w:rPr>
                <w:color w:val="000000"/>
                <w:sz w:val="21"/>
              </w:rPr>
              <w:t>96</w:t>
            </w:r>
          </w:p>
        </w:tc>
      </w:tr>
      <w:tr w:rsidR="00692915">
        <w:trPr>
          <w:trHeight w:val="267"/>
          <w:jc w:val="center"/>
        </w:trPr>
        <w:tc>
          <w:tcPr>
            <w:tcW w:w="3091" w:type="dxa"/>
            <w:tcBorders>
              <w:top w:val="nil"/>
              <w:bottom w:val="nil"/>
            </w:tcBorders>
            <w:vAlign w:val="bottom"/>
          </w:tcPr>
          <w:p w:rsidR="00692915" w:rsidRDefault="00692915" w:rsidP="009A1C1B">
            <w:pPr>
              <w:spacing w:beforeLines="50" w:before="180"/>
              <w:ind w:firstLine="31680"/>
              <w:rPr>
                <w:rFonts w:hint="eastAsia"/>
                <w:color w:val="000000"/>
                <w:sz w:val="21"/>
              </w:rPr>
            </w:pPr>
            <w:r>
              <w:rPr>
                <w:rFonts w:hint="eastAsia"/>
                <w:color w:val="000000"/>
                <w:sz w:val="21"/>
              </w:rPr>
              <w:t>穆斯林教</w:t>
            </w:r>
          </w:p>
        </w:tc>
        <w:tc>
          <w:tcPr>
            <w:tcW w:w="2590" w:type="dxa"/>
            <w:tcBorders>
              <w:top w:val="nil"/>
              <w:bottom w:val="nil"/>
            </w:tcBorders>
            <w:vAlign w:val="bottom"/>
          </w:tcPr>
          <w:p w:rsidR="00692915" w:rsidRDefault="00692915" w:rsidP="009A1C1B">
            <w:pPr>
              <w:spacing w:beforeLines="50" w:before="180"/>
              <w:ind w:right="1077" w:firstLine="31680"/>
              <w:jc w:val="right"/>
              <w:rPr>
                <w:color w:val="000000"/>
                <w:sz w:val="21"/>
              </w:rPr>
            </w:pPr>
            <w:r>
              <w:rPr>
                <w:color w:val="000000"/>
                <w:sz w:val="21"/>
              </w:rPr>
              <w:t>2 970</w:t>
            </w:r>
          </w:p>
        </w:tc>
        <w:tc>
          <w:tcPr>
            <w:tcW w:w="3594" w:type="dxa"/>
            <w:tcBorders>
              <w:top w:val="nil"/>
              <w:bottom w:val="nil"/>
            </w:tcBorders>
            <w:vAlign w:val="bottom"/>
          </w:tcPr>
          <w:p w:rsidR="00692915" w:rsidRDefault="00692915" w:rsidP="009A1C1B">
            <w:pPr>
              <w:spacing w:beforeLines="50" w:before="180"/>
              <w:ind w:right="1287" w:firstLine="31680"/>
              <w:jc w:val="right"/>
              <w:rPr>
                <w:color w:val="000000"/>
                <w:sz w:val="21"/>
              </w:rPr>
            </w:pPr>
            <w:r>
              <w:rPr>
                <w:color w:val="000000"/>
                <w:sz w:val="21"/>
              </w:rPr>
              <w:t>0</w:t>
            </w:r>
          </w:p>
        </w:tc>
      </w:tr>
      <w:tr w:rsidR="00692915">
        <w:trPr>
          <w:trHeight w:val="267"/>
          <w:jc w:val="center"/>
        </w:trPr>
        <w:tc>
          <w:tcPr>
            <w:tcW w:w="3091" w:type="dxa"/>
            <w:tcBorders>
              <w:top w:val="nil"/>
              <w:bottom w:val="nil"/>
            </w:tcBorders>
            <w:vAlign w:val="bottom"/>
          </w:tcPr>
          <w:p w:rsidR="00692915" w:rsidRDefault="00692915" w:rsidP="009A1C1B">
            <w:pPr>
              <w:spacing w:beforeLines="50" w:before="180"/>
              <w:ind w:firstLine="31680"/>
              <w:rPr>
                <w:rFonts w:hint="eastAsia"/>
                <w:color w:val="000000"/>
                <w:sz w:val="21"/>
              </w:rPr>
            </w:pPr>
            <w:r>
              <w:rPr>
                <w:rFonts w:hint="eastAsia"/>
                <w:color w:val="000000"/>
                <w:sz w:val="21"/>
              </w:rPr>
              <w:t>佛教</w:t>
            </w:r>
          </w:p>
        </w:tc>
        <w:tc>
          <w:tcPr>
            <w:tcW w:w="2590" w:type="dxa"/>
            <w:tcBorders>
              <w:top w:val="nil"/>
              <w:bottom w:val="nil"/>
            </w:tcBorders>
            <w:vAlign w:val="bottom"/>
          </w:tcPr>
          <w:p w:rsidR="00692915" w:rsidRDefault="00692915" w:rsidP="009A1C1B">
            <w:pPr>
              <w:spacing w:beforeLines="50" w:before="180"/>
              <w:ind w:right="1077" w:firstLine="31680"/>
              <w:jc w:val="right"/>
              <w:rPr>
                <w:color w:val="000000"/>
                <w:sz w:val="21"/>
              </w:rPr>
            </w:pPr>
            <w:r>
              <w:rPr>
                <w:color w:val="000000"/>
                <w:sz w:val="21"/>
              </w:rPr>
              <w:t>537</w:t>
            </w:r>
          </w:p>
        </w:tc>
        <w:tc>
          <w:tcPr>
            <w:tcW w:w="3594" w:type="dxa"/>
            <w:tcBorders>
              <w:top w:val="nil"/>
              <w:bottom w:val="nil"/>
            </w:tcBorders>
            <w:vAlign w:val="bottom"/>
          </w:tcPr>
          <w:p w:rsidR="00692915" w:rsidRDefault="00692915" w:rsidP="009A1C1B">
            <w:pPr>
              <w:spacing w:beforeLines="50" w:before="180"/>
              <w:ind w:right="1287" w:firstLine="31680"/>
              <w:jc w:val="right"/>
              <w:rPr>
                <w:color w:val="000000"/>
                <w:sz w:val="21"/>
              </w:rPr>
            </w:pPr>
            <w:r>
              <w:rPr>
                <w:color w:val="000000"/>
                <w:sz w:val="21"/>
              </w:rPr>
              <w:t>0</w:t>
            </w:r>
          </w:p>
        </w:tc>
      </w:tr>
      <w:tr w:rsidR="00692915">
        <w:trPr>
          <w:trHeight w:val="267"/>
          <w:jc w:val="center"/>
        </w:trPr>
        <w:tc>
          <w:tcPr>
            <w:tcW w:w="3091" w:type="dxa"/>
            <w:tcBorders>
              <w:top w:val="nil"/>
              <w:bottom w:val="nil"/>
            </w:tcBorders>
            <w:vAlign w:val="bottom"/>
          </w:tcPr>
          <w:p w:rsidR="00692915" w:rsidRDefault="00692915" w:rsidP="009A1C1B">
            <w:pPr>
              <w:spacing w:beforeLines="50" w:before="180"/>
              <w:ind w:firstLine="31680"/>
              <w:rPr>
                <w:rFonts w:hint="eastAsia"/>
                <w:color w:val="000000"/>
                <w:sz w:val="21"/>
              </w:rPr>
            </w:pPr>
            <w:r>
              <w:rPr>
                <w:rFonts w:hint="eastAsia"/>
                <w:color w:val="000000"/>
                <w:sz w:val="21"/>
              </w:rPr>
              <w:t>印度教</w:t>
            </w:r>
          </w:p>
        </w:tc>
        <w:tc>
          <w:tcPr>
            <w:tcW w:w="2590" w:type="dxa"/>
            <w:tcBorders>
              <w:top w:val="nil"/>
              <w:bottom w:val="nil"/>
            </w:tcBorders>
            <w:vAlign w:val="bottom"/>
          </w:tcPr>
          <w:p w:rsidR="00692915" w:rsidRDefault="00692915" w:rsidP="009A1C1B">
            <w:pPr>
              <w:spacing w:beforeLines="50" w:before="180"/>
              <w:ind w:right="1077" w:firstLine="31680"/>
              <w:jc w:val="right"/>
              <w:rPr>
                <w:color w:val="000000"/>
                <w:sz w:val="21"/>
              </w:rPr>
            </w:pPr>
            <w:r>
              <w:rPr>
                <w:color w:val="000000"/>
                <w:sz w:val="21"/>
              </w:rPr>
              <w:t>267</w:t>
            </w:r>
          </w:p>
        </w:tc>
        <w:tc>
          <w:tcPr>
            <w:tcW w:w="3594" w:type="dxa"/>
            <w:tcBorders>
              <w:top w:val="nil"/>
              <w:bottom w:val="nil"/>
            </w:tcBorders>
            <w:vAlign w:val="bottom"/>
          </w:tcPr>
          <w:p w:rsidR="00692915" w:rsidRDefault="00692915" w:rsidP="009A1C1B">
            <w:pPr>
              <w:spacing w:beforeLines="50" w:before="180"/>
              <w:ind w:right="1287" w:firstLine="31680"/>
              <w:jc w:val="right"/>
              <w:rPr>
                <w:color w:val="000000"/>
                <w:sz w:val="21"/>
              </w:rPr>
            </w:pPr>
            <w:r>
              <w:rPr>
                <w:color w:val="000000"/>
                <w:sz w:val="21"/>
              </w:rPr>
              <w:t>0</w:t>
            </w:r>
          </w:p>
        </w:tc>
      </w:tr>
      <w:tr w:rsidR="00692915">
        <w:trPr>
          <w:trHeight w:val="267"/>
          <w:jc w:val="center"/>
        </w:trPr>
        <w:tc>
          <w:tcPr>
            <w:tcW w:w="3091" w:type="dxa"/>
            <w:tcBorders>
              <w:top w:val="nil"/>
            </w:tcBorders>
            <w:vAlign w:val="bottom"/>
          </w:tcPr>
          <w:p w:rsidR="00692915" w:rsidRDefault="00692915" w:rsidP="009A1C1B">
            <w:pPr>
              <w:spacing w:beforeLines="50" w:before="180"/>
              <w:ind w:firstLine="31680"/>
              <w:rPr>
                <w:rFonts w:hint="eastAsia"/>
                <w:color w:val="000000"/>
                <w:sz w:val="21"/>
              </w:rPr>
            </w:pPr>
            <w:r>
              <w:rPr>
                <w:rFonts w:hint="eastAsia"/>
                <w:color w:val="000000"/>
                <w:sz w:val="21"/>
              </w:rPr>
              <w:t>新教</w:t>
            </w:r>
            <w:r>
              <w:rPr>
                <w:color w:val="000000"/>
                <w:sz w:val="21"/>
              </w:rPr>
              <w:t>/</w:t>
            </w:r>
            <w:r>
              <w:rPr>
                <w:rFonts w:hint="eastAsia"/>
                <w:color w:val="000000"/>
                <w:sz w:val="21"/>
              </w:rPr>
              <w:t>福音传教士</w:t>
            </w:r>
          </w:p>
        </w:tc>
        <w:tc>
          <w:tcPr>
            <w:tcW w:w="2590" w:type="dxa"/>
            <w:tcBorders>
              <w:top w:val="nil"/>
            </w:tcBorders>
            <w:vAlign w:val="bottom"/>
          </w:tcPr>
          <w:p w:rsidR="00692915" w:rsidRDefault="00692915" w:rsidP="009A1C1B">
            <w:pPr>
              <w:spacing w:beforeLines="50" w:before="180"/>
              <w:ind w:right="1077" w:firstLine="31680"/>
              <w:jc w:val="right"/>
              <w:rPr>
                <w:color w:val="000000"/>
                <w:sz w:val="21"/>
              </w:rPr>
            </w:pPr>
            <w:r>
              <w:rPr>
                <w:color w:val="000000"/>
                <w:sz w:val="21"/>
              </w:rPr>
              <w:t>19 823</w:t>
            </w:r>
          </w:p>
        </w:tc>
        <w:tc>
          <w:tcPr>
            <w:tcW w:w="3594" w:type="dxa"/>
            <w:tcBorders>
              <w:top w:val="nil"/>
            </w:tcBorders>
            <w:vAlign w:val="bottom"/>
          </w:tcPr>
          <w:p w:rsidR="00692915" w:rsidRDefault="00692915" w:rsidP="009A1C1B">
            <w:pPr>
              <w:spacing w:beforeLines="50" w:before="180"/>
              <w:ind w:right="1287" w:firstLine="31680"/>
              <w:jc w:val="right"/>
              <w:rPr>
                <w:color w:val="000000"/>
                <w:sz w:val="21"/>
              </w:rPr>
            </w:pPr>
            <w:r>
              <w:rPr>
                <w:color w:val="000000"/>
                <w:sz w:val="21"/>
              </w:rPr>
              <w:t>2</w:t>
            </w:r>
          </w:p>
        </w:tc>
      </w:tr>
    </w:tbl>
    <w:p w:rsidR="00692915" w:rsidRDefault="00692915">
      <w:pPr>
        <w:pStyle w:val="FootnoteText"/>
        <w:spacing w:before="120" w:after="240"/>
        <w:ind w:firstLineChars="0" w:firstLine="0"/>
        <w:rPr>
          <w:rFonts w:hint="eastAsia"/>
          <w:color w:val="000000"/>
          <w:sz w:val="21"/>
        </w:rPr>
      </w:pPr>
      <w:r>
        <w:rPr>
          <w:rFonts w:hint="eastAsia"/>
          <w:iCs/>
          <w:color w:val="000000"/>
          <w:sz w:val="21"/>
        </w:rPr>
        <w:t>资料来源：《东帝汶人口与住房普查》，表</w:t>
      </w:r>
      <w:r>
        <w:rPr>
          <w:rFonts w:hint="eastAsia"/>
          <w:iCs/>
          <w:color w:val="000000"/>
          <w:sz w:val="21"/>
        </w:rPr>
        <w:t>2004 B</w:t>
      </w:r>
      <w:r>
        <w:rPr>
          <w:rFonts w:hint="eastAsia"/>
          <w:iCs/>
          <w:color w:val="000000"/>
          <w:sz w:val="21"/>
        </w:rPr>
        <w:t>，表</w:t>
      </w:r>
      <w:r>
        <w:rPr>
          <w:iCs/>
          <w:color w:val="000000"/>
          <w:sz w:val="21"/>
        </w:rPr>
        <w:t>B-3</w:t>
      </w:r>
      <w:r>
        <w:rPr>
          <w:rFonts w:hint="eastAsia"/>
          <w:iCs/>
          <w:color w:val="000000"/>
          <w:sz w:val="21"/>
        </w:rPr>
        <w:t>。</w:t>
      </w:r>
    </w:p>
    <w:p w:rsidR="00692915" w:rsidRDefault="00692915">
      <w:pPr>
        <w:pStyle w:val="Heading5"/>
        <w:ind w:firstLineChars="0" w:firstLine="0"/>
        <w:rPr>
          <w:rFonts w:hint="eastAsia"/>
          <w:b w:val="0"/>
          <w:bCs/>
          <w:color w:val="000000"/>
          <w:lang w:eastAsia="zh-CN"/>
        </w:rPr>
      </w:pPr>
      <w:r>
        <w:rPr>
          <w:rFonts w:eastAsia="KaiTi_GB2312" w:hint="eastAsia"/>
          <w:b w:val="0"/>
          <w:bCs/>
          <w:i w:val="0"/>
          <w:iCs/>
          <w:color w:val="000000"/>
          <w:lang w:eastAsia="zh-CN"/>
        </w:rPr>
        <w:t>年龄分布</w:t>
      </w:r>
    </w:p>
    <w:p w:rsidR="00692915" w:rsidRDefault="00692915" w:rsidP="009A1C1B">
      <w:pPr>
        <w:ind w:firstLine="31680"/>
        <w:rPr>
          <w:rFonts w:hint="eastAsia"/>
          <w:bCs/>
          <w:color w:val="000000"/>
        </w:rPr>
      </w:pPr>
      <w:r>
        <w:rPr>
          <w:rFonts w:hint="eastAsia"/>
          <w:bCs/>
          <w:color w:val="000000"/>
        </w:rPr>
        <w:t>东帝汶的人口很年轻：</w:t>
      </w:r>
      <w:r>
        <w:rPr>
          <w:rFonts w:hint="eastAsia"/>
          <w:bCs/>
          <w:color w:val="000000"/>
        </w:rPr>
        <w:t>2004</w:t>
      </w:r>
      <w:r>
        <w:rPr>
          <w:rFonts w:hint="eastAsia"/>
          <w:bCs/>
          <w:color w:val="000000"/>
        </w:rPr>
        <w:t>年</w:t>
      </w:r>
      <w:r>
        <w:rPr>
          <w:rFonts w:hint="eastAsia"/>
          <w:bCs/>
          <w:color w:val="000000"/>
        </w:rPr>
        <w:t>20</w:t>
      </w:r>
      <w:r>
        <w:rPr>
          <w:rFonts w:hint="eastAsia"/>
          <w:bCs/>
          <w:color w:val="000000"/>
        </w:rPr>
        <w:t>岁以下的人口几乎占</w:t>
      </w:r>
      <w:r>
        <w:rPr>
          <w:rFonts w:hint="eastAsia"/>
          <w:bCs/>
          <w:color w:val="000000"/>
        </w:rPr>
        <w:t>54%</w:t>
      </w:r>
      <w:r>
        <w:rPr>
          <w:rFonts w:hint="eastAsia"/>
          <w:bCs/>
          <w:color w:val="000000"/>
        </w:rPr>
        <w:t>，另有</w:t>
      </w:r>
      <w:r>
        <w:rPr>
          <w:rFonts w:hint="eastAsia"/>
          <w:bCs/>
          <w:color w:val="000000"/>
        </w:rPr>
        <w:t>27%</w:t>
      </w:r>
      <w:r>
        <w:rPr>
          <w:rFonts w:hint="eastAsia"/>
          <w:bCs/>
          <w:color w:val="000000"/>
        </w:rPr>
        <w:t>为</w:t>
      </w:r>
      <w:r>
        <w:rPr>
          <w:rFonts w:hint="eastAsia"/>
          <w:bCs/>
          <w:color w:val="000000"/>
        </w:rPr>
        <w:t>20-40</w:t>
      </w:r>
      <w:r>
        <w:rPr>
          <w:rFonts w:hint="eastAsia"/>
          <w:bCs/>
          <w:color w:val="000000"/>
        </w:rPr>
        <w:t>岁的人口（图</w:t>
      </w:r>
      <w:r>
        <w:rPr>
          <w:rFonts w:hint="eastAsia"/>
          <w:bCs/>
          <w:color w:val="000000"/>
        </w:rPr>
        <w:t>9</w:t>
      </w:r>
      <w:r>
        <w:rPr>
          <w:rFonts w:hint="eastAsia"/>
          <w:bCs/>
          <w:color w:val="000000"/>
        </w:rPr>
        <w:t>）。</w:t>
      </w:r>
    </w:p>
    <w:p w:rsidR="00692915" w:rsidRDefault="00692915" w:rsidP="009A1C1B">
      <w:pPr>
        <w:ind w:firstLine="31680"/>
        <w:rPr>
          <w:rFonts w:hint="eastAsia"/>
          <w:color w:val="000000"/>
        </w:rPr>
      </w:pPr>
      <w:r>
        <w:rPr>
          <w:rFonts w:hint="eastAsia"/>
          <w:bCs/>
          <w:color w:val="000000"/>
        </w:rPr>
        <w:t>根据较早的多指标类集调查</w:t>
      </w:r>
      <w:r>
        <w:rPr>
          <w:rStyle w:val="FootnoteReference"/>
          <w:bCs/>
          <w:color w:val="000000"/>
        </w:rPr>
        <w:footnoteReference w:id="397"/>
      </w:r>
      <w:r>
        <w:rPr>
          <w:bCs/>
          <w:color w:val="000000"/>
        </w:rPr>
        <w:t> </w:t>
      </w:r>
      <w:r>
        <w:rPr>
          <w:rFonts w:hint="eastAsia"/>
          <w:bCs/>
          <w:color w:val="000000"/>
        </w:rPr>
        <w:t>和人口与健康调查</w:t>
      </w:r>
      <w:r>
        <w:rPr>
          <w:rStyle w:val="FootnoteReference"/>
          <w:bCs/>
          <w:color w:val="000000"/>
        </w:rPr>
        <w:footnoteReference w:id="398"/>
      </w:r>
      <w:r>
        <w:rPr>
          <w:rFonts w:hint="eastAsia"/>
          <w:bCs/>
          <w:color w:val="000000"/>
        </w:rPr>
        <w:t>记录，</w:t>
      </w:r>
      <w:r>
        <w:rPr>
          <w:rFonts w:hint="eastAsia"/>
          <w:bCs/>
          <w:color w:val="000000"/>
        </w:rPr>
        <w:t>15-34</w:t>
      </w:r>
      <w:r>
        <w:rPr>
          <w:rFonts w:hint="eastAsia"/>
          <w:bCs/>
          <w:color w:val="000000"/>
        </w:rPr>
        <w:t>岁男性的年龄结构存在差距，到</w:t>
      </w:r>
      <w:r>
        <w:rPr>
          <w:rFonts w:hint="eastAsia"/>
          <w:bCs/>
          <w:color w:val="000000"/>
        </w:rPr>
        <w:t>2004</w:t>
      </w:r>
      <w:r>
        <w:rPr>
          <w:rFonts w:hint="eastAsia"/>
          <w:bCs/>
          <w:color w:val="000000"/>
        </w:rPr>
        <w:t>年，全国的这种差距不那么明显了，但是在好几个地区中，这些年龄段的男性年龄结构仍然有差距。各地区之间的某些差异可能与国内人口迁移有关。</w:t>
      </w:r>
    </w:p>
    <w:p w:rsidR="00692915" w:rsidRDefault="00692915">
      <w:pPr>
        <w:pStyle w:val="Heading2"/>
        <w:rPr>
          <w:rFonts w:hint="eastAsia"/>
          <w:color w:val="000000"/>
          <w:sz w:val="24"/>
        </w:rPr>
      </w:pPr>
      <w:r>
        <w:rPr>
          <w:rFonts w:hint="eastAsia"/>
          <w:color w:val="000000"/>
          <w:sz w:val="24"/>
        </w:rPr>
        <w:t>图</w:t>
      </w:r>
      <w:r>
        <w:rPr>
          <w:color w:val="000000"/>
          <w:sz w:val="24"/>
        </w:rPr>
        <w:t xml:space="preserve"> 9</w:t>
      </w:r>
      <w:r>
        <w:rPr>
          <w:color w:val="000000"/>
          <w:sz w:val="24"/>
        </w:rPr>
        <w:br/>
      </w:r>
      <w:r>
        <w:rPr>
          <w:rFonts w:hint="eastAsia"/>
          <w:color w:val="000000"/>
          <w:sz w:val="24"/>
        </w:rPr>
        <w:t xml:space="preserve"> </w:t>
      </w:r>
      <w:r>
        <w:rPr>
          <w:color w:val="000000"/>
          <w:sz w:val="24"/>
        </w:rPr>
        <w:t xml:space="preserve"> 2004</w:t>
      </w:r>
      <w:r>
        <w:rPr>
          <w:rFonts w:hint="eastAsia"/>
          <w:color w:val="000000"/>
          <w:sz w:val="24"/>
        </w:rPr>
        <w:t>年按年龄组和性别分列的人口分布情况</w:t>
      </w:r>
    </w:p>
    <w:p w:rsidR="00692915" w:rsidRDefault="00692915">
      <w:pPr>
        <w:ind w:firstLineChars="0" w:firstLine="0"/>
        <w:jc w:val="center"/>
        <w:rPr>
          <w:color w:val="000000"/>
          <w:szCs w:val="24"/>
        </w:rPr>
      </w:pPr>
      <w:r>
        <w:rPr>
          <w:noProof/>
          <w:snapToGrid/>
          <w:color w:val="000000"/>
          <w:sz w:val="20"/>
          <w:szCs w:val="24"/>
        </w:rPr>
        <w:pict>
          <v:shape id="_x0000_s2263" type="#_x0000_t202" style="position:absolute;left:0;text-align:left;margin-left:139.5pt;margin-top:7.45pt;width:192pt;height:24.45pt;z-index:30" o:regroupid="6" filled="f" fillcolor="#ff7171" stroked="f">
            <v:fill color2="#f99" angle="-90" focus="100%" type="gradient"/>
            <v:textbox>
              <w:txbxContent>
                <w:p w:rsidR="00692915" w:rsidRDefault="00692915">
                  <w:pPr>
                    <w:ind w:firstLineChars="0" w:firstLine="0"/>
                    <w:jc w:val="center"/>
                    <w:rPr>
                      <w:rFonts w:eastAsia="SimHei" w:hint="eastAsia"/>
                      <w:bCs/>
                      <w:sz w:val="21"/>
                    </w:rPr>
                  </w:pPr>
                  <w:r>
                    <w:rPr>
                      <w:rFonts w:eastAsia="SimHei" w:hint="eastAsia"/>
                      <w:bCs/>
                      <w:sz w:val="21"/>
                    </w:rPr>
                    <w:t>东帝汶人口很年轻</w:t>
                  </w:r>
                </w:p>
              </w:txbxContent>
            </v:textbox>
          </v:shape>
        </w:pict>
      </w:r>
      <w:r>
        <w:rPr>
          <w:noProof/>
          <w:snapToGrid/>
          <w:color w:val="000000"/>
          <w:sz w:val="20"/>
          <w:szCs w:val="24"/>
        </w:rPr>
        <w:pict>
          <v:shape id="_x0000_s2265" type="#_x0000_t202" style="position:absolute;left:0;text-align:left;margin-left:349.5pt;margin-top:101.2pt;width:48pt;height:16.3pt;z-index:32" o:regroupid="6" filled="f" fillcolor="#ff9" stroked="f">
            <v:fill color2="#cfc" focus="100%" type="gradient"/>
            <v:textbox style="mso-next-textbox:#_x0000_s2265" inset=",.5mm,,.5mm">
              <w:txbxContent>
                <w:p w:rsidR="00692915" w:rsidRDefault="00692915">
                  <w:pPr>
                    <w:ind w:firstLineChars="0" w:firstLine="0"/>
                    <w:rPr>
                      <w:rFonts w:hint="eastAsia"/>
                      <w:sz w:val="18"/>
                    </w:rPr>
                  </w:pPr>
                  <w:r>
                    <w:rPr>
                      <w:rFonts w:hint="eastAsia"/>
                      <w:sz w:val="18"/>
                    </w:rPr>
                    <w:t>女性</w:t>
                  </w:r>
                </w:p>
              </w:txbxContent>
            </v:textbox>
          </v:shape>
        </w:pict>
      </w:r>
      <w:r>
        <w:rPr>
          <w:noProof/>
          <w:snapToGrid/>
          <w:color w:val="000000"/>
          <w:sz w:val="20"/>
          <w:szCs w:val="24"/>
        </w:rPr>
        <w:pict>
          <v:shape id="_x0000_s2264" type="#_x0000_t202" style="position:absolute;left:0;text-align:left;margin-left:156.5pt;margin-top:101pt;width:42pt;height:16.3pt;z-index:31" o:regroupid="6" filled="f" fillcolor="#ff9" stroked="f">
            <v:fill color2="#cfc" focus="100%" type="gradient"/>
            <v:textbox style="mso-next-textbox:#_x0000_s2264" inset=",.5mm,,.5mm">
              <w:txbxContent>
                <w:p w:rsidR="00692915" w:rsidRDefault="00692915">
                  <w:pPr>
                    <w:ind w:firstLineChars="0" w:firstLine="0"/>
                    <w:rPr>
                      <w:rFonts w:hint="eastAsia"/>
                      <w:sz w:val="18"/>
                    </w:rPr>
                  </w:pPr>
                  <w:r>
                    <w:rPr>
                      <w:rFonts w:hint="eastAsia"/>
                      <w:sz w:val="18"/>
                    </w:rPr>
                    <w:t>男性</w:t>
                  </w:r>
                </w:p>
              </w:txbxContent>
            </v:textbox>
          </v:shape>
        </w:pict>
      </w:r>
      <w:r>
        <w:rPr>
          <w:noProof/>
          <w:snapToGrid/>
          <w:color w:val="000000"/>
          <w:sz w:val="20"/>
          <w:szCs w:val="24"/>
        </w:rPr>
        <w:pict>
          <v:shape id="_x0000_s2266" type="#_x0000_t202" style="position:absolute;left:0;text-align:left;margin-left:266.9pt;margin-top:242.55pt;width:41.6pt;height:11.85pt;z-index:33" o:regroupid="6" filled="f" fillcolor="#ffa5a5" stroked="f">
            <v:textbox inset=".5mm,.5mm,.5mm,.5mm">
              <w:txbxContent>
                <w:p w:rsidR="00692915" w:rsidRDefault="00692915">
                  <w:pPr>
                    <w:ind w:firstLineChars="0" w:firstLine="0"/>
                    <w:rPr>
                      <w:sz w:val="15"/>
                    </w:rPr>
                  </w:pPr>
                  <w:r>
                    <w:rPr>
                      <w:rFonts w:hint="eastAsia"/>
                      <w:sz w:val="15"/>
                    </w:rPr>
                    <w:t>性别</w:t>
                  </w:r>
                  <w:r>
                    <w:rPr>
                      <w:sz w:val="15"/>
                    </w:rPr>
                    <w:t>%</w:t>
                  </w:r>
                </w:p>
              </w:txbxContent>
            </v:textbox>
          </v:shape>
        </w:pict>
      </w:r>
      <w:bookmarkStart w:id="203" w:name="_MON_1261401725"/>
      <w:bookmarkEnd w:id="203"/>
      <w:r>
        <w:rPr>
          <w:color w:val="000000"/>
          <w:szCs w:val="24"/>
        </w:rPr>
        <w:object w:dxaOrig="7441" w:dyaOrig="5206">
          <v:shape id="_x0000_i1033" type="#_x0000_t75" style="width:372pt;height:260.25pt" o:ole="">
            <v:imagedata r:id="rId24" o:title=""/>
          </v:shape>
          <o:OLEObject Type="Embed" ProgID="Word.Picture.8" ShapeID="_x0000_i1033" DrawAspect="Content" ObjectID="_1395890542" r:id="rId25"/>
        </w:object>
      </w:r>
    </w:p>
    <w:p w:rsidR="00692915" w:rsidRDefault="00692915" w:rsidP="009A1C1B">
      <w:pPr>
        <w:tabs>
          <w:tab w:val="left" w:pos="1418"/>
        </w:tabs>
        <w:spacing w:after="240"/>
        <w:ind w:firstLine="31680"/>
        <w:rPr>
          <w:rFonts w:hint="eastAsia"/>
          <w:color w:val="000000"/>
          <w:sz w:val="21"/>
        </w:rPr>
      </w:pPr>
      <w:bookmarkStart w:id="204" w:name="_Toc131956494"/>
      <w:bookmarkStart w:id="205" w:name="_Toc132732195"/>
      <w:r>
        <w:rPr>
          <w:rFonts w:eastAsia="KaiTi_GB2312" w:hint="eastAsia"/>
          <w:color w:val="000000"/>
          <w:sz w:val="21"/>
        </w:rPr>
        <w:t>资料来源</w:t>
      </w:r>
      <w:r>
        <w:rPr>
          <w:rFonts w:hint="eastAsia"/>
          <w:color w:val="000000"/>
          <w:sz w:val="21"/>
        </w:rPr>
        <w:t>：《</w:t>
      </w:r>
      <w:r>
        <w:rPr>
          <w:rFonts w:hint="eastAsia"/>
          <w:color w:val="000000"/>
          <w:sz w:val="21"/>
        </w:rPr>
        <w:t>2004</w:t>
      </w:r>
      <w:r>
        <w:rPr>
          <w:rFonts w:hint="eastAsia"/>
          <w:color w:val="000000"/>
          <w:sz w:val="21"/>
        </w:rPr>
        <w:t>年东帝汶人口与住房普查》。</w:t>
      </w:r>
    </w:p>
    <w:bookmarkEnd w:id="204"/>
    <w:bookmarkEnd w:id="205"/>
    <w:p w:rsidR="00692915" w:rsidRDefault="00692915">
      <w:pPr>
        <w:pStyle w:val="Heading5"/>
        <w:ind w:firstLineChars="0" w:firstLine="0"/>
        <w:rPr>
          <w:rFonts w:eastAsia="KaiTi_GB2312" w:hint="eastAsia"/>
          <w:b w:val="0"/>
          <w:bCs/>
          <w:i w:val="0"/>
          <w:iCs/>
          <w:color w:val="000000"/>
          <w:lang w:eastAsia="zh-CN"/>
        </w:rPr>
      </w:pPr>
      <w:r>
        <w:rPr>
          <w:rFonts w:eastAsia="KaiTi_GB2312" w:hint="eastAsia"/>
          <w:b w:val="0"/>
          <w:bCs/>
          <w:i w:val="0"/>
          <w:iCs/>
          <w:color w:val="000000"/>
          <w:lang w:eastAsia="zh-CN"/>
        </w:rPr>
        <w:t>受抚养人年龄比</w:t>
      </w:r>
    </w:p>
    <w:p w:rsidR="00692915" w:rsidRDefault="00692915" w:rsidP="009A1C1B">
      <w:pPr>
        <w:ind w:firstLine="31680"/>
        <w:rPr>
          <w:rFonts w:hint="eastAsia"/>
          <w:bCs/>
          <w:color w:val="000000"/>
        </w:rPr>
      </w:pPr>
      <w:r>
        <w:rPr>
          <w:rFonts w:hint="eastAsia"/>
          <w:bCs/>
          <w:color w:val="000000"/>
        </w:rPr>
        <w:t>由于人口很年轻，受抚</w:t>
      </w:r>
      <w:r>
        <w:rPr>
          <w:rFonts w:eastAsia="KaiTi_GB2312" w:hint="eastAsia"/>
          <w:color w:val="000000"/>
        </w:rPr>
        <w:t>养人年龄</w:t>
      </w:r>
      <w:r>
        <w:rPr>
          <w:rFonts w:hint="eastAsia"/>
          <w:bCs/>
          <w:color w:val="000000"/>
        </w:rPr>
        <w:t>比很高：</w:t>
      </w:r>
      <w:r>
        <w:rPr>
          <w:rFonts w:hint="eastAsia"/>
          <w:bCs/>
          <w:color w:val="000000"/>
        </w:rPr>
        <w:t>2004</w:t>
      </w:r>
      <w:r>
        <w:rPr>
          <w:rFonts w:hint="eastAsia"/>
          <w:bCs/>
          <w:color w:val="000000"/>
        </w:rPr>
        <w:t>年全国的平均水平为</w:t>
      </w:r>
      <w:r>
        <w:rPr>
          <w:bCs/>
          <w:color w:val="000000"/>
        </w:rPr>
        <w:t>0.96</w:t>
      </w:r>
      <w:r>
        <w:rPr>
          <w:rFonts w:hint="eastAsia"/>
          <w:bCs/>
          <w:color w:val="000000"/>
        </w:rPr>
        <w:t>，这意味着每</w:t>
      </w:r>
      <w:r>
        <w:rPr>
          <w:rFonts w:hint="eastAsia"/>
          <w:bCs/>
          <w:color w:val="000000"/>
        </w:rPr>
        <w:t>100</w:t>
      </w:r>
      <w:r>
        <w:rPr>
          <w:rFonts w:hint="eastAsia"/>
          <w:bCs/>
          <w:color w:val="000000"/>
        </w:rPr>
        <w:t>名工作年龄的人口要抚养</w:t>
      </w:r>
      <w:r>
        <w:rPr>
          <w:rFonts w:hint="eastAsia"/>
          <w:bCs/>
          <w:color w:val="000000"/>
        </w:rPr>
        <w:t>96</w:t>
      </w:r>
      <w:r>
        <w:rPr>
          <w:rFonts w:hint="eastAsia"/>
          <w:bCs/>
          <w:color w:val="000000"/>
        </w:rPr>
        <w:t>名不足</w:t>
      </w:r>
      <w:r>
        <w:rPr>
          <w:rFonts w:hint="eastAsia"/>
          <w:bCs/>
          <w:color w:val="000000"/>
        </w:rPr>
        <w:t>15</w:t>
      </w:r>
      <w:r>
        <w:rPr>
          <w:rFonts w:hint="eastAsia"/>
          <w:bCs/>
          <w:color w:val="000000"/>
        </w:rPr>
        <w:t>岁或</w:t>
      </w:r>
      <w:r>
        <w:rPr>
          <w:rFonts w:hint="eastAsia"/>
          <w:bCs/>
          <w:color w:val="000000"/>
        </w:rPr>
        <w:t>60</w:t>
      </w:r>
      <w:r>
        <w:rPr>
          <w:rFonts w:hint="eastAsia"/>
          <w:bCs/>
          <w:color w:val="000000"/>
        </w:rPr>
        <w:t>岁以上的人口。</w:t>
      </w:r>
    </w:p>
    <w:p w:rsidR="00692915" w:rsidRDefault="00692915" w:rsidP="009A1C1B">
      <w:pPr>
        <w:pStyle w:val="BodyTextIndent"/>
        <w:ind w:firstLine="31680"/>
        <w:rPr>
          <w:rFonts w:hint="eastAsia"/>
          <w:color w:val="000000"/>
        </w:rPr>
      </w:pPr>
      <w:r>
        <w:rPr>
          <w:rFonts w:hint="eastAsia"/>
          <w:color w:val="000000"/>
        </w:rPr>
        <w:t>帝力的年轻成人占有较高的比例，因此该地区受抚养人年龄比远远低于其他地区。</w:t>
      </w:r>
    </w:p>
    <w:p w:rsidR="00692915" w:rsidRDefault="00692915">
      <w:pPr>
        <w:pStyle w:val="Heading5"/>
        <w:ind w:firstLineChars="0" w:firstLine="0"/>
        <w:rPr>
          <w:rFonts w:eastAsia="KaiTi_GB2312" w:hint="eastAsia"/>
          <w:b w:val="0"/>
          <w:bCs/>
          <w:i w:val="0"/>
          <w:iCs/>
          <w:color w:val="000000"/>
          <w:lang w:eastAsia="zh-CN"/>
        </w:rPr>
      </w:pPr>
      <w:r>
        <w:rPr>
          <w:rFonts w:eastAsia="KaiTi_GB2312" w:hint="eastAsia"/>
          <w:b w:val="0"/>
          <w:bCs/>
          <w:i w:val="0"/>
          <w:iCs/>
          <w:color w:val="000000"/>
          <w:lang w:eastAsia="zh-CN"/>
        </w:rPr>
        <w:t>性别比</w:t>
      </w:r>
    </w:p>
    <w:p w:rsidR="00692915" w:rsidRDefault="00692915" w:rsidP="009A1C1B">
      <w:pPr>
        <w:ind w:firstLine="31680"/>
        <w:rPr>
          <w:rFonts w:hint="eastAsia"/>
          <w:bCs/>
          <w:color w:val="000000"/>
        </w:rPr>
      </w:pPr>
      <w:r>
        <w:rPr>
          <w:rFonts w:hint="eastAsia"/>
          <w:bCs/>
          <w:color w:val="000000"/>
        </w:rPr>
        <w:t>从全国的平均水平来说，性别比说明出生的男孩更多（男孩和女孩的比例大约为</w:t>
      </w:r>
      <w:r>
        <w:rPr>
          <w:rFonts w:hint="eastAsia"/>
          <w:bCs/>
          <w:color w:val="000000"/>
        </w:rPr>
        <w:t>107</w:t>
      </w:r>
      <w:r>
        <w:rPr>
          <w:bCs/>
          <w:color w:val="000000"/>
        </w:rPr>
        <w:t xml:space="preserve"> : </w:t>
      </w:r>
      <w:r>
        <w:rPr>
          <w:rFonts w:hint="eastAsia"/>
          <w:bCs/>
          <w:color w:val="000000"/>
        </w:rPr>
        <w:t>100</w:t>
      </w:r>
      <w:r>
        <w:rPr>
          <w:rFonts w:hint="eastAsia"/>
          <w:bCs/>
          <w:color w:val="000000"/>
        </w:rPr>
        <w:t>），但在所有年龄段中，男性死亡率往往较高（图</w:t>
      </w:r>
      <w:r>
        <w:rPr>
          <w:rFonts w:hint="eastAsia"/>
          <w:bCs/>
          <w:color w:val="000000"/>
        </w:rPr>
        <w:t>10</w:t>
      </w:r>
      <w:r>
        <w:rPr>
          <w:rFonts w:hint="eastAsia"/>
          <w:bCs/>
          <w:color w:val="000000"/>
        </w:rPr>
        <w:t>）。</w:t>
      </w:r>
    </w:p>
    <w:p w:rsidR="00692915" w:rsidRDefault="00692915" w:rsidP="009A1C1B">
      <w:pPr>
        <w:ind w:firstLine="31680"/>
        <w:rPr>
          <w:rFonts w:hint="eastAsia"/>
          <w:color w:val="000000"/>
        </w:rPr>
      </w:pPr>
      <w:bookmarkStart w:id="206" w:name="_Toc132732275"/>
      <w:r>
        <w:rPr>
          <w:rFonts w:hint="eastAsia"/>
          <w:bCs/>
          <w:color w:val="000000"/>
        </w:rPr>
        <w:t>也许有些让人意外的是，与大多数国家的情况相反，东帝汶的男性总数多于女性。这可能与妇女生育面临的高风险以及高生育率有关。</w:t>
      </w:r>
    </w:p>
    <w:p w:rsidR="00692915" w:rsidRDefault="00692915">
      <w:pPr>
        <w:pStyle w:val="Heading2"/>
        <w:rPr>
          <w:rFonts w:hint="eastAsia"/>
          <w:color w:val="000000"/>
          <w:sz w:val="24"/>
        </w:rPr>
      </w:pPr>
      <w:r>
        <w:rPr>
          <w:rFonts w:hint="eastAsia"/>
          <w:color w:val="000000"/>
          <w:sz w:val="24"/>
        </w:rPr>
        <w:t>图</w:t>
      </w:r>
      <w:r>
        <w:rPr>
          <w:color w:val="000000"/>
          <w:sz w:val="24"/>
        </w:rPr>
        <w:t xml:space="preserve"> </w:t>
      </w:r>
      <w:r>
        <w:rPr>
          <w:noProof/>
          <w:color w:val="000000"/>
          <w:sz w:val="24"/>
        </w:rPr>
        <w:t>10</w:t>
      </w:r>
      <w:r>
        <w:rPr>
          <w:noProof/>
          <w:color w:val="000000"/>
          <w:sz w:val="24"/>
        </w:rPr>
        <w:br/>
      </w:r>
      <w:bookmarkEnd w:id="206"/>
      <w:r>
        <w:rPr>
          <w:rFonts w:hint="eastAsia"/>
          <w:color w:val="000000"/>
          <w:sz w:val="24"/>
        </w:rPr>
        <w:t>2004</w:t>
      </w:r>
      <w:r>
        <w:rPr>
          <w:rFonts w:hint="eastAsia"/>
          <w:color w:val="000000"/>
          <w:sz w:val="24"/>
        </w:rPr>
        <w:t>年东帝汶按年龄组分列的性别比</w:t>
      </w:r>
      <w:r>
        <w:rPr>
          <w:color w:val="000000"/>
          <w:sz w:val="24"/>
        </w:rPr>
        <w:br/>
      </w:r>
      <w:r>
        <w:rPr>
          <w:rFonts w:hint="eastAsia"/>
          <w:color w:val="000000"/>
          <w:sz w:val="24"/>
        </w:rPr>
        <w:t>（每</w:t>
      </w:r>
      <w:r>
        <w:rPr>
          <w:rFonts w:hint="eastAsia"/>
          <w:color w:val="000000"/>
          <w:sz w:val="24"/>
        </w:rPr>
        <w:t>100</w:t>
      </w:r>
      <w:r>
        <w:rPr>
          <w:rFonts w:hint="eastAsia"/>
          <w:color w:val="000000"/>
          <w:sz w:val="24"/>
        </w:rPr>
        <w:t>名女性中的男性人数）</w:t>
      </w:r>
    </w:p>
    <w:p w:rsidR="00692915" w:rsidRDefault="00692915">
      <w:pPr>
        <w:ind w:firstLineChars="0" w:firstLine="0"/>
        <w:jc w:val="center"/>
        <w:rPr>
          <w:color w:val="000000"/>
        </w:rPr>
      </w:pPr>
      <w:r>
        <w:rPr>
          <w:bCs/>
          <w:noProof/>
          <w:snapToGrid/>
          <w:color w:val="000000"/>
          <w:sz w:val="20"/>
        </w:rPr>
        <w:pict>
          <v:shape id="_x0000_s2269" type="#_x0000_t202" style="position:absolute;left:0;text-align:left;margin-left:36pt;margin-top:153.25pt;width:104pt;height:18pt;z-index:35" o:regroupid="7" filled="f" fillcolor="#f99" stroked="f">
            <v:textbox inset=",.3mm,,.3mm">
              <w:txbxContent>
                <w:p w:rsidR="00692915" w:rsidRDefault="00692915">
                  <w:pPr>
                    <w:pStyle w:val="FootnoteText"/>
                    <w:ind w:firstLineChars="0" w:firstLine="0"/>
                    <w:rPr>
                      <w:b/>
                      <w:sz w:val="13"/>
                    </w:rPr>
                  </w:pPr>
                  <w:r>
                    <w:rPr>
                      <w:rFonts w:hint="eastAsia"/>
                      <w:b/>
                      <w:sz w:val="13"/>
                    </w:rPr>
                    <w:t>每</w:t>
                  </w:r>
                  <w:r>
                    <w:rPr>
                      <w:rFonts w:hint="eastAsia"/>
                      <w:b/>
                      <w:sz w:val="13"/>
                    </w:rPr>
                    <w:t>100</w:t>
                  </w:r>
                  <w:r>
                    <w:rPr>
                      <w:rFonts w:hint="eastAsia"/>
                      <w:b/>
                      <w:sz w:val="13"/>
                    </w:rPr>
                    <w:t>名女性中的男性人数</w:t>
                  </w:r>
                </w:p>
              </w:txbxContent>
            </v:textbox>
          </v:shape>
        </w:pict>
      </w:r>
      <w:r>
        <w:rPr>
          <w:bCs/>
          <w:noProof/>
          <w:snapToGrid/>
          <w:color w:val="000000"/>
          <w:sz w:val="20"/>
        </w:rPr>
        <w:pict>
          <v:shape id="_x0000_s2270" type="#_x0000_t202" style="position:absolute;left:0;text-align:left;margin-left:221pt;margin-top:154.75pt;width:54pt;height:10pt;z-index:36" o:regroupid="7" filled="f" fillcolor="#f99" stroked="f">
            <v:textbox inset=",.3mm,,.3mm">
              <w:txbxContent>
                <w:p w:rsidR="00692915" w:rsidRDefault="00692915" w:rsidP="009A1C1B">
                  <w:pPr>
                    <w:pStyle w:val="FootnoteText"/>
                    <w:ind w:firstLine="31680"/>
                    <w:jc w:val="center"/>
                    <w:rPr>
                      <w:b/>
                      <w:sz w:val="13"/>
                    </w:rPr>
                  </w:pPr>
                  <w:r>
                    <w:rPr>
                      <w:rFonts w:hint="eastAsia"/>
                      <w:b/>
                      <w:sz w:val="13"/>
                    </w:rPr>
                    <w:t>年龄组</w:t>
                  </w:r>
                </w:p>
              </w:txbxContent>
            </v:textbox>
          </v:shape>
        </w:pict>
      </w:r>
      <w:r>
        <w:rPr>
          <w:bCs/>
          <w:noProof/>
          <w:snapToGrid/>
          <w:color w:val="000000"/>
          <w:sz w:val="20"/>
        </w:rPr>
        <w:pict>
          <v:shape id="_x0000_s2268" type="#_x0000_t202" style="position:absolute;left:0;text-align:left;margin-left:53.85pt;margin-top:4.9pt;width:366pt;height:24.45pt;z-index:34" o:regroupid="7" filled="f" fillcolor="#ff5050" stroked="f">
            <v:fill color2="#f99" angle="-90" focus="100%" type="gradient"/>
            <v:textbox>
              <w:txbxContent>
                <w:p w:rsidR="00692915" w:rsidRDefault="00692915">
                  <w:pPr>
                    <w:ind w:firstLineChars="0" w:firstLine="0"/>
                    <w:jc w:val="center"/>
                    <w:rPr>
                      <w:rFonts w:ascii="SimHei" w:eastAsia="SimHei"/>
                      <w:sz w:val="21"/>
                    </w:rPr>
                  </w:pPr>
                  <w:r>
                    <w:rPr>
                      <w:rFonts w:ascii="SimHei" w:eastAsia="SimHei" w:hint="eastAsia"/>
                      <w:sz w:val="21"/>
                    </w:rPr>
                    <w:t>2004年平均每100名女性中有103名男性</w:t>
                  </w:r>
                </w:p>
              </w:txbxContent>
            </v:textbox>
          </v:shape>
        </w:pict>
      </w:r>
      <w:bookmarkStart w:id="207" w:name="_MON_1261401916"/>
      <w:bookmarkStart w:id="208" w:name="_MON_1261908528"/>
      <w:bookmarkStart w:id="209" w:name="_MON_1261910649"/>
      <w:bookmarkEnd w:id="207"/>
      <w:bookmarkEnd w:id="208"/>
      <w:bookmarkEnd w:id="209"/>
      <w:r>
        <w:rPr>
          <w:color w:val="000000"/>
        </w:rPr>
        <w:object w:dxaOrig="8416" w:dyaOrig="3406">
          <v:shape id="_x0000_i1034" type="#_x0000_t75" style="width:420.75pt;height:170.25pt" o:ole="">
            <v:imagedata r:id="rId26" o:title=""/>
          </v:shape>
          <o:OLEObject Type="Embed" ProgID="Word.Picture.8" ShapeID="_x0000_i1034" DrawAspect="Content" ObjectID="_1395890543" r:id="rId27"/>
        </w:object>
      </w:r>
    </w:p>
    <w:p w:rsidR="00692915" w:rsidRDefault="00692915" w:rsidP="009A1C1B">
      <w:pPr>
        <w:spacing w:before="240" w:after="240"/>
        <w:ind w:firstLine="31680"/>
        <w:rPr>
          <w:rFonts w:hint="eastAsia"/>
          <w:bCs/>
          <w:color w:val="000000"/>
        </w:rPr>
      </w:pPr>
      <w:r>
        <w:rPr>
          <w:rFonts w:hint="eastAsia"/>
          <w:bCs/>
          <w:color w:val="000000"/>
        </w:rPr>
        <w:t>各地区的性别比差异很大，</w:t>
      </w:r>
      <w:r>
        <w:rPr>
          <w:rFonts w:hint="eastAsia"/>
          <w:bCs/>
          <w:color w:val="000000"/>
        </w:rPr>
        <w:t>2004</w:t>
      </w:r>
      <w:r>
        <w:rPr>
          <w:rFonts w:hint="eastAsia"/>
          <w:bCs/>
          <w:color w:val="000000"/>
        </w:rPr>
        <w:t>年，帝力地区男性和女性的性别比为</w:t>
      </w:r>
      <w:r>
        <w:rPr>
          <w:rFonts w:hint="eastAsia"/>
          <w:bCs/>
          <w:color w:val="000000"/>
        </w:rPr>
        <w:t>115</w:t>
      </w:r>
      <w:r>
        <w:rPr>
          <w:rFonts w:hint="eastAsia"/>
          <w:bCs/>
          <w:color w:val="000000"/>
        </w:rPr>
        <w:t>：</w:t>
      </w:r>
      <w:r>
        <w:rPr>
          <w:rFonts w:hint="eastAsia"/>
          <w:bCs/>
          <w:color w:val="000000"/>
        </w:rPr>
        <w:t>100</w:t>
      </w:r>
      <w:r>
        <w:rPr>
          <w:rFonts w:hint="eastAsia"/>
          <w:bCs/>
          <w:color w:val="000000"/>
        </w:rPr>
        <w:t>，而劳藤地区则为</w:t>
      </w:r>
      <w:r>
        <w:rPr>
          <w:rFonts w:hint="eastAsia"/>
          <w:bCs/>
          <w:color w:val="000000"/>
        </w:rPr>
        <w:t>96</w:t>
      </w:r>
      <w:r>
        <w:rPr>
          <w:rFonts w:hint="eastAsia"/>
          <w:bCs/>
          <w:color w:val="000000"/>
        </w:rPr>
        <w:t>：</w:t>
      </w:r>
      <w:r>
        <w:rPr>
          <w:rFonts w:hint="eastAsia"/>
          <w:bCs/>
          <w:color w:val="000000"/>
        </w:rPr>
        <w:t>100</w:t>
      </w:r>
      <w:r>
        <w:rPr>
          <w:rFonts w:hint="eastAsia"/>
          <w:bCs/>
          <w:color w:val="000000"/>
        </w:rPr>
        <w:t>。人口迁移可能是主要原因，年轻人从各地区前往帝力求学、寻找工作以及城市生活中其他令人向往的东西。由于男性的流动性更大，因此各地区之间流动的主要是年轻男性。</w:t>
      </w:r>
    </w:p>
    <w:p w:rsidR="00692915" w:rsidRDefault="00692915">
      <w:pPr>
        <w:pStyle w:val="Heading5"/>
        <w:ind w:firstLineChars="0" w:firstLine="0"/>
        <w:rPr>
          <w:rFonts w:eastAsia="KaiTi_GB2312" w:hint="eastAsia"/>
          <w:b w:val="0"/>
          <w:bCs/>
          <w:i w:val="0"/>
          <w:iCs/>
          <w:color w:val="000000"/>
          <w:lang w:eastAsia="zh-CN"/>
        </w:rPr>
      </w:pPr>
      <w:r>
        <w:rPr>
          <w:rFonts w:eastAsia="KaiTi_GB2312" w:hint="eastAsia"/>
          <w:b w:val="0"/>
          <w:bCs/>
          <w:i w:val="0"/>
          <w:iCs/>
          <w:color w:val="000000"/>
          <w:lang w:eastAsia="zh-CN"/>
        </w:rPr>
        <w:t>农村和城市地区的人口比例</w:t>
      </w:r>
    </w:p>
    <w:p w:rsidR="00692915" w:rsidRDefault="00692915" w:rsidP="009A1C1B">
      <w:pPr>
        <w:ind w:firstLine="31680"/>
        <w:rPr>
          <w:rFonts w:hint="eastAsia"/>
          <w:bCs/>
          <w:color w:val="000000"/>
        </w:rPr>
      </w:pPr>
      <w:r>
        <w:rPr>
          <w:rFonts w:hint="eastAsia"/>
          <w:bCs/>
          <w:color w:val="000000"/>
        </w:rPr>
        <w:t>东帝汶的城市面积约占整个陆地面积的</w:t>
      </w:r>
      <w:r>
        <w:rPr>
          <w:rFonts w:hint="eastAsia"/>
          <w:bCs/>
          <w:color w:val="000000"/>
        </w:rPr>
        <w:t>1.3%</w:t>
      </w:r>
      <w:r>
        <w:rPr>
          <w:rFonts w:hint="eastAsia"/>
          <w:bCs/>
          <w:color w:val="000000"/>
        </w:rPr>
        <w:t>。</w:t>
      </w:r>
      <w:r>
        <w:rPr>
          <w:rFonts w:hint="eastAsia"/>
          <w:bCs/>
          <w:color w:val="000000"/>
        </w:rPr>
        <w:t>2004</w:t>
      </w:r>
      <w:r>
        <w:rPr>
          <w:rFonts w:hint="eastAsia"/>
          <w:bCs/>
          <w:color w:val="000000"/>
        </w:rPr>
        <w:t>年，只有</w:t>
      </w:r>
      <w:r>
        <w:rPr>
          <w:bCs/>
          <w:color w:val="000000"/>
        </w:rPr>
        <w:t>206</w:t>
      </w:r>
      <w:r>
        <w:rPr>
          <w:rFonts w:hint="eastAsia"/>
          <w:bCs/>
          <w:color w:val="000000"/>
        </w:rPr>
        <w:t xml:space="preserve"> </w:t>
      </w:r>
      <w:r>
        <w:rPr>
          <w:bCs/>
          <w:color w:val="000000"/>
        </w:rPr>
        <w:t>000</w:t>
      </w:r>
      <w:r>
        <w:rPr>
          <w:rFonts w:hint="eastAsia"/>
          <w:bCs/>
          <w:color w:val="000000"/>
        </w:rPr>
        <w:t>人多一点的人口，或人口的</w:t>
      </w:r>
      <w:r>
        <w:rPr>
          <w:rFonts w:hint="eastAsia"/>
          <w:bCs/>
          <w:color w:val="000000"/>
        </w:rPr>
        <w:t>22.3%</w:t>
      </w:r>
      <w:r>
        <w:rPr>
          <w:rFonts w:hint="eastAsia"/>
          <w:bCs/>
          <w:color w:val="000000"/>
        </w:rPr>
        <w:t>生活在城市地区。如果按照每年</w:t>
      </w:r>
      <w:r>
        <w:rPr>
          <w:bCs/>
          <w:color w:val="000000"/>
        </w:rPr>
        <w:t>5.0</w:t>
      </w:r>
      <w:r>
        <w:rPr>
          <w:rFonts w:hint="eastAsia"/>
          <w:bCs/>
          <w:color w:val="000000"/>
        </w:rPr>
        <w:t>-</w:t>
      </w:r>
      <w:r>
        <w:rPr>
          <w:bCs/>
          <w:color w:val="000000"/>
        </w:rPr>
        <w:t xml:space="preserve"> 5.2</w:t>
      </w:r>
      <w:r>
        <w:rPr>
          <w:rFonts w:hint="eastAsia"/>
          <w:bCs/>
          <w:color w:val="000000"/>
        </w:rPr>
        <w:t>%</w:t>
      </w:r>
      <w:r>
        <w:rPr>
          <w:rFonts w:hint="eastAsia"/>
          <w:bCs/>
          <w:color w:val="000000"/>
        </w:rPr>
        <w:t>的增长率估算，到</w:t>
      </w:r>
      <w:r>
        <w:rPr>
          <w:rFonts w:hint="eastAsia"/>
          <w:bCs/>
          <w:color w:val="000000"/>
        </w:rPr>
        <w:t>2015</w:t>
      </w:r>
      <w:r>
        <w:rPr>
          <w:rFonts w:hint="eastAsia"/>
          <w:bCs/>
          <w:color w:val="000000"/>
        </w:rPr>
        <w:t>年，城市人口将增加到</w:t>
      </w:r>
      <w:r>
        <w:rPr>
          <w:bCs/>
          <w:color w:val="000000"/>
        </w:rPr>
        <w:t>357</w:t>
      </w:r>
      <w:r>
        <w:rPr>
          <w:rFonts w:hint="eastAsia"/>
          <w:bCs/>
          <w:color w:val="000000"/>
        </w:rPr>
        <w:t xml:space="preserve"> </w:t>
      </w:r>
      <w:r>
        <w:rPr>
          <w:bCs/>
          <w:color w:val="000000"/>
        </w:rPr>
        <w:t>000</w:t>
      </w:r>
      <w:r>
        <w:rPr>
          <w:rFonts w:hint="eastAsia"/>
          <w:bCs/>
          <w:color w:val="000000"/>
        </w:rPr>
        <w:t>人左右。届时这将相当于总人口的</w:t>
      </w:r>
      <w:r>
        <w:rPr>
          <w:rFonts w:hint="eastAsia"/>
          <w:bCs/>
          <w:color w:val="000000"/>
        </w:rPr>
        <w:t>28%</w:t>
      </w:r>
      <w:r>
        <w:rPr>
          <w:rFonts w:hint="eastAsia"/>
          <w:bCs/>
          <w:color w:val="000000"/>
        </w:rPr>
        <w:t>以上。在所有城市人口中，迁入人口将大约占</w:t>
      </w:r>
      <w:r>
        <w:rPr>
          <w:rFonts w:hint="eastAsia"/>
          <w:bCs/>
          <w:color w:val="000000"/>
        </w:rPr>
        <w:t>43%</w:t>
      </w:r>
      <w:r>
        <w:rPr>
          <w:rFonts w:hint="eastAsia"/>
          <w:bCs/>
          <w:color w:val="000000"/>
        </w:rPr>
        <w:t>。</w:t>
      </w:r>
    </w:p>
    <w:p w:rsidR="00692915" w:rsidRDefault="00692915" w:rsidP="009A1C1B">
      <w:pPr>
        <w:ind w:firstLine="31680"/>
        <w:rPr>
          <w:rFonts w:hint="eastAsia"/>
          <w:color w:val="000000"/>
        </w:rPr>
      </w:pPr>
      <w:bookmarkStart w:id="210" w:name="_Toc131956553"/>
      <w:bookmarkStart w:id="211" w:name="_Toc132732277"/>
      <w:r>
        <w:rPr>
          <w:rFonts w:hint="eastAsia"/>
          <w:bCs/>
          <w:color w:val="000000"/>
        </w:rPr>
        <w:t>在此期间，城市地区的住户数量将会增加近一倍，增至</w:t>
      </w:r>
      <w:r>
        <w:rPr>
          <w:bCs/>
          <w:color w:val="000000"/>
        </w:rPr>
        <w:t>65</w:t>
      </w:r>
      <w:r>
        <w:rPr>
          <w:rFonts w:hint="eastAsia"/>
          <w:bCs/>
          <w:color w:val="000000"/>
        </w:rPr>
        <w:t xml:space="preserve"> </w:t>
      </w:r>
      <w:r>
        <w:rPr>
          <w:bCs/>
          <w:color w:val="000000"/>
        </w:rPr>
        <w:t>000</w:t>
      </w:r>
      <w:r>
        <w:rPr>
          <w:rFonts w:hint="eastAsia"/>
          <w:bCs/>
          <w:color w:val="000000"/>
        </w:rPr>
        <w:t>户，平均每个家庭为</w:t>
      </w:r>
      <w:r>
        <w:rPr>
          <w:bCs/>
          <w:color w:val="000000"/>
        </w:rPr>
        <w:t>5.5</w:t>
      </w:r>
      <w:r>
        <w:rPr>
          <w:rFonts w:hint="eastAsia"/>
          <w:bCs/>
          <w:color w:val="000000"/>
        </w:rPr>
        <w:t>人。</w:t>
      </w:r>
      <w:r>
        <w:rPr>
          <w:rStyle w:val="FootnoteReference"/>
          <w:bCs/>
          <w:color w:val="000000"/>
        </w:rPr>
        <w:footnoteReference w:id="399"/>
      </w:r>
    </w:p>
    <w:p w:rsidR="00692915" w:rsidRDefault="00692915">
      <w:pPr>
        <w:pStyle w:val="Heading2"/>
        <w:spacing w:before="240" w:after="120"/>
        <w:rPr>
          <w:rFonts w:hint="eastAsia"/>
          <w:color w:val="000000"/>
          <w:sz w:val="24"/>
        </w:rPr>
      </w:pPr>
      <w:r>
        <w:rPr>
          <w:rFonts w:hint="eastAsia"/>
          <w:color w:val="000000"/>
          <w:sz w:val="24"/>
        </w:rPr>
        <w:t>图</w:t>
      </w:r>
      <w:r>
        <w:rPr>
          <w:noProof/>
          <w:color w:val="000000"/>
          <w:sz w:val="24"/>
        </w:rPr>
        <w:t>11</w:t>
      </w:r>
      <w:r>
        <w:rPr>
          <w:rFonts w:hint="eastAsia"/>
          <w:noProof/>
          <w:color w:val="000000"/>
          <w:sz w:val="24"/>
        </w:rPr>
        <w:br/>
      </w:r>
      <w:r>
        <w:rPr>
          <w:rFonts w:hint="eastAsia"/>
          <w:color w:val="000000"/>
          <w:sz w:val="24"/>
        </w:rPr>
        <w:t>按</w:t>
      </w:r>
      <w:r>
        <w:rPr>
          <w:color w:val="000000"/>
          <w:sz w:val="24"/>
        </w:rPr>
        <w:t>2003</w:t>
      </w:r>
      <w:r>
        <w:rPr>
          <w:rFonts w:hint="eastAsia"/>
          <w:color w:val="000000"/>
          <w:sz w:val="24"/>
        </w:rPr>
        <w:t>年人口与健康调查年龄组分列的农村与城市人口</w:t>
      </w:r>
      <w:r>
        <w:rPr>
          <w:color w:val="000000"/>
          <w:sz w:val="24"/>
        </w:rPr>
        <w:t xml:space="preserve"> </w:t>
      </w:r>
      <w:bookmarkEnd w:id="210"/>
      <w:bookmarkEnd w:id="211"/>
    </w:p>
    <w:p w:rsidR="00692915" w:rsidRDefault="00692915">
      <w:pPr>
        <w:ind w:firstLineChars="0" w:firstLine="0"/>
        <w:jc w:val="center"/>
        <w:rPr>
          <w:color w:val="000000"/>
        </w:rPr>
      </w:pPr>
      <w:r>
        <w:rPr>
          <w:b/>
          <w:bCs/>
          <w:i/>
          <w:iCs/>
          <w:noProof/>
          <w:snapToGrid/>
          <w:color w:val="000000"/>
          <w:sz w:val="20"/>
        </w:rPr>
        <w:pict>
          <v:shape id="_x0000_s2287" type="#_x0000_t202" style="position:absolute;left:0;text-align:left;margin-left:366pt;margin-top:215.8pt;width:50pt;height:16.65pt;z-index:43" o:regroupid="8" fillcolor="#ffe1e1" stroked="f">
            <v:textbox inset=",0,,0">
              <w:txbxContent>
                <w:p w:rsidR="00692915" w:rsidRDefault="00692915">
                  <w:pPr>
                    <w:pStyle w:val="BodyText"/>
                  </w:pPr>
                  <w:r>
                    <w:rPr>
                      <w:rFonts w:hint="eastAsia"/>
                    </w:rPr>
                    <w:t>城市人口的百分比</w:t>
                  </w:r>
                </w:p>
              </w:txbxContent>
            </v:textbox>
          </v:shape>
        </w:pict>
      </w:r>
      <w:r>
        <w:rPr>
          <w:b/>
          <w:bCs/>
          <w:i/>
          <w:iCs/>
          <w:noProof/>
          <w:snapToGrid/>
          <w:color w:val="000000"/>
          <w:sz w:val="20"/>
        </w:rPr>
        <w:pict>
          <v:shape id="_x0000_s2284" type="#_x0000_t202" style="position:absolute;left:0;text-align:left;margin-left:229.5pt;margin-top:47.15pt;width:84pt;height:16.3pt;z-index:40" o:regroupid="8" filled="f" stroked="f">
            <v:textbox>
              <w:txbxContent>
                <w:p w:rsidR="00692915" w:rsidRDefault="00692915">
                  <w:pPr>
                    <w:ind w:firstLineChars="0" w:firstLine="0"/>
                    <w:jc w:val="left"/>
                    <w:rPr>
                      <w:rFonts w:hint="eastAsia"/>
                      <w:sz w:val="13"/>
                    </w:rPr>
                  </w:pPr>
                  <w:r>
                    <w:rPr>
                      <w:rFonts w:hint="eastAsia"/>
                      <w:sz w:val="13"/>
                    </w:rPr>
                    <w:t>城市年龄组的百分比</w:t>
                  </w:r>
                </w:p>
              </w:txbxContent>
            </v:textbox>
          </v:shape>
        </w:pict>
      </w:r>
      <w:r>
        <w:rPr>
          <w:b/>
          <w:bCs/>
          <w:i/>
          <w:iCs/>
          <w:noProof/>
          <w:snapToGrid/>
          <w:color w:val="000000"/>
          <w:sz w:val="20"/>
        </w:rPr>
        <w:pict>
          <v:shape id="_x0000_s2283" type="#_x0000_t202" style="position:absolute;left:0;text-align:left;margin-left:230pt;margin-top:37.65pt;width:1in;height:16.3pt;z-index:39" o:regroupid="8" filled="f" stroked="f">
            <v:textbox>
              <w:txbxContent>
                <w:p w:rsidR="00692915" w:rsidRDefault="00692915">
                  <w:pPr>
                    <w:ind w:firstLineChars="0" w:firstLine="0"/>
                    <w:jc w:val="left"/>
                    <w:rPr>
                      <w:rFonts w:hint="eastAsia"/>
                      <w:b/>
                      <w:sz w:val="15"/>
                    </w:rPr>
                  </w:pPr>
                  <w:r>
                    <w:rPr>
                      <w:rFonts w:hint="eastAsia"/>
                      <w:bCs/>
                      <w:sz w:val="13"/>
                    </w:rPr>
                    <w:t>农村总人口</w:t>
                  </w:r>
                </w:p>
              </w:txbxContent>
            </v:textbox>
          </v:shape>
        </w:pict>
      </w:r>
      <w:r>
        <w:rPr>
          <w:b/>
          <w:bCs/>
          <w:i/>
          <w:iCs/>
          <w:noProof/>
          <w:snapToGrid/>
          <w:color w:val="000000"/>
          <w:sz w:val="20"/>
        </w:rPr>
        <w:pict>
          <v:shape id="_x0000_s2282" type="#_x0000_t202" style="position:absolute;left:0;text-align:left;margin-left:229.35pt;margin-top:27.85pt;width:1in;height:16.3pt;z-index:38" o:regroupid="8" filled="f" stroked="f">
            <v:textbox>
              <w:txbxContent>
                <w:p w:rsidR="00692915" w:rsidRDefault="00692915">
                  <w:pPr>
                    <w:ind w:firstLineChars="0" w:firstLine="0"/>
                    <w:jc w:val="left"/>
                    <w:rPr>
                      <w:rFonts w:hint="eastAsia"/>
                      <w:bCs/>
                      <w:sz w:val="13"/>
                    </w:rPr>
                  </w:pPr>
                  <w:r>
                    <w:rPr>
                      <w:rFonts w:hint="eastAsia"/>
                      <w:bCs/>
                      <w:sz w:val="13"/>
                    </w:rPr>
                    <w:t>城市人口</w:t>
                  </w:r>
                </w:p>
              </w:txbxContent>
            </v:textbox>
          </v:shape>
        </w:pict>
      </w:r>
      <w:r>
        <w:rPr>
          <w:b/>
          <w:bCs/>
          <w:i/>
          <w:iCs/>
          <w:noProof/>
          <w:snapToGrid/>
          <w:color w:val="000000"/>
          <w:sz w:val="20"/>
        </w:rPr>
        <w:pict>
          <v:shape id="_x0000_s2286" type="#_x0000_t202" style="position:absolute;left:0;text-align:left;margin-left:206.75pt;margin-top:225.25pt;width:42pt;height:8.1pt;z-index:42" o:regroupid="8" fillcolor="#ffe1e1" stroked="f">
            <v:textbox inset=",0,,0">
              <w:txbxContent>
                <w:p w:rsidR="00692915" w:rsidRDefault="00692915">
                  <w:pPr>
                    <w:ind w:firstLineChars="0" w:firstLine="0"/>
                    <w:jc w:val="left"/>
                    <w:rPr>
                      <w:sz w:val="13"/>
                    </w:rPr>
                  </w:pPr>
                  <w:r>
                    <w:rPr>
                      <w:rFonts w:hint="eastAsia"/>
                      <w:sz w:val="13"/>
                    </w:rPr>
                    <w:t>年龄组</w:t>
                  </w:r>
                </w:p>
              </w:txbxContent>
            </v:textbox>
          </v:shape>
        </w:pict>
      </w:r>
      <w:r>
        <w:rPr>
          <w:b/>
          <w:bCs/>
          <w:i/>
          <w:iCs/>
          <w:noProof/>
          <w:snapToGrid/>
          <w:color w:val="000000"/>
          <w:sz w:val="20"/>
        </w:rPr>
        <w:pict>
          <v:shape id="_x0000_s2285" type="#_x0000_t202" style="position:absolute;left:0;text-align:left;margin-left:52.9pt;margin-top:216.55pt;width:42pt;height:16.3pt;z-index:41" o:regroupid="8" fillcolor="#ffe1e1" stroked="f">
            <v:textbox>
              <w:txbxContent>
                <w:p w:rsidR="00692915" w:rsidRDefault="00692915">
                  <w:pPr>
                    <w:ind w:firstLineChars="0" w:firstLine="0"/>
                    <w:jc w:val="left"/>
                    <w:rPr>
                      <w:spacing w:val="0"/>
                      <w:sz w:val="13"/>
                    </w:rPr>
                  </w:pPr>
                  <w:r>
                    <w:rPr>
                      <w:rFonts w:hint="eastAsia"/>
                      <w:bCs/>
                      <w:spacing w:val="0"/>
                      <w:sz w:val="13"/>
                    </w:rPr>
                    <w:t>住户人口</w:t>
                  </w:r>
                </w:p>
              </w:txbxContent>
            </v:textbox>
          </v:shape>
        </w:pict>
      </w:r>
      <w:r>
        <w:rPr>
          <w:b/>
          <w:bCs/>
          <w:i/>
          <w:iCs/>
          <w:noProof/>
          <w:snapToGrid/>
          <w:color w:val="000000"/>
          <w:sz w:val="20"/>
        </w:rPr>
        <w:pict>
          <v:shape id="_x0000_s2279" type="#_x0000_t202" style="position:absolute;left:0;text-align:left;margin-left:108pt;margin-top:4.65pt;width:258pt;height:16.3pt;z-index:37" o:regroupid="8" fillcolor="#ff7f7f" stroked="f">
            <v:textbox inset=",.3mm,,.3mm">
              <w:txbxContent>
                <w:p w:rsidR="00692915" w:rsidRDefault="00692915">
                  <w:pPr>
                    <w:pStyle w:val="FootnoteText"/>
                    <w:ind w:firstLineChars="0" w:firstLine="0"/>
                    <w:jc w:val="center"/>
                    <w:rPr>
                      <w:rFonts w:ascii="SimHei" w:eastAsia="SimHei" w:hAnsi="SimSun"/>
                      <w:sz w:val="21"/>
                    </w:rPr>
                  </w:pPr>
                  <w:r>
                    <w:rPr>
                      <w:rFonts w:ascii="SimHei" w:eastAsia="SimHei" w:hAnsi="SimSun" w:hint="eastAsia"/>
                      <w:sz w:val="21"/>
                    </w:rPr>
                    <w:t>2003年总人口的26%生活在城市地区</w:t>
                  </w:r>
                </w:p>
              </w:txbxContent>
            </v:textbox>
          </v:shape>
        </w:pict>
      </w:r>
      <w:bookmarkStart w:id="212" w:name="_MON_1261417901"/>
      <w:bookmarkStart w:id="213" w:name="_MON_1261418072"/>
      <w:bookmarkStart w:id="214" w:name="_MON_1261422859"/>
      <w:bookmarkEnd w:id="212"/>
      <w:bookmarkEnd w:id="213"/>
      <w:bookmarkEnd w:id="214"/>
      <w:r>
        <w:rPr>
          <w:color w:val="000000"/>
        </w:rPr>
        <w:object w:dxaOrig="7411" w:dyaOrig="4726">
          <v:shape id="_x0000_i1035" type="#_x0000_t75" style="width:370.5pt;height:236.25pt" o:ole="">
            <v:imagedata r:id="rId28" o:title=""/>
          </v:shape>
          <o:OLEObject Type="Embed" ProgID="Word.Picture.8" ShapeID="_x0000_i1035" DrawAspect="Content" ObjectID="_1395890544" r:id="rId29"/>
        </w:object>
      </w:r>
    </w:p>
    <w:p w:rsidR="00692915" w:rsidRDefault="00692915" w:rsidP="009A1C1B">
      <w:pPr>
        <w:spacing w:line="240" w:lineRule="exact"/>
        <w:ind w:firstLine="31680"/>
        <w:rPr>
          <w:rFonts w:hint="eastAsia"/>
          <w:bCs/>
          <w:color w:val="000000"/>
        </w:rPr>
      </w:pPr>
    </w:p>
    <w:p w:rsidR="00692915" w:rsidRDefault="00692915">
      <w:pPr>
        <w:pStyle w:val="Heading5"/>
        <w:ind w:firstLineChars="0" w:firstLine="0"/>
        <w:rPr>
          <w:rFonts w:eastAsia="KaiTi_GB2312" w:hint="eastAsia"/>
          <w:b w:val="0"/>
          <w:bCs/>
          <w:i w:val="0"/>
          <w:iCs/>
          <w:color w:val="000000"/>
          <w:lang w:eastAsia="zh-CN"/>
        </w:rPr>
      </w:pPr>
      <w:r>
        <w:rPr>
          <w:rFonts w:eastAsia="KaiTi_GB2312" w:hint="eastAsia"/>
          <w:b w:val="0"/>
          <w:bCs/>
          <w:i w:val="0"/>
          <w:iCs/>
          <w:color w:val="000000"/>
          <w:lang w:eastAsia="zh-CN"/>
        </w:rPr>
        <w:t>每位妇女的平均活产婴儿数量</w:t>
      </w:r>
    </w:p>
    <w:p w:rsidR="00692915" w:rsidRDefault="00692915" w:rsidP="009A1C1B">
      <w:pPr>
        <w:ind w:firstLine="31680"/>
        <w:rPr>
          <w:rFonts w:hint="eastAsia"/>
          <w:bCs/>
          <w:color w:val="000000"/>
        </w:rPr>
      </w:pPr>
      <w:r>
        <w:rPr>
          <w:rFonts w:hint="eastAsia"/>
          <w:bCs/>
          <w:color w:val="000000"/>
        </w:rPr>
        <w:t>东帝汶每位妇女的平均活产婴儿数非常高。根据</w:t>
      </w:r>
      <w:r>
        <w:rPr>
          <w:rFonts w:hint="eastAsia"/>
          <w:bCs/>
          <w:color w:val="000000"/>
        </w:rPr>
        <w:t>2004</w:t>
      </w:r>
      <w:r>
        <w:rPr>
          <w:rFonts w:hint="eastAsia"/>
          <w:bCs/>
          <w:color w:val="000000"/>
        </w:rPr>
        <w:t>年人口普查的估计，</w:t>
      </w:r>
      <w:r>
        <w:rPr>
          <w:rFonts w:hint="eastAsia"/>
          <w:bCs/>
          <w:color w:val="000000"/>
        </w:rPr>
        <w:t>2002</w:t>
      </w:r>
      <w:r>
        <w:rPr>
          <w:rFonts w:hint="eastAsia"/>
          <w:bCs/>
          <w:color w:val="000000"/>
        </w:rPr>
        <w:t>年</w:t>
      </w:r>
      <w:r>
        <w:rPr>
          <w:rFonts w:hint="eastAsia"/>
          <w:bCs/>
          <w:color w:val="000000"/>
        </w:rPr>
        <w:t>6</w:t>
      </w:r>
      <w:r>
        <w:rPr>
          <w:rFonts w:hint="eastAsia"/>
          <w:bCs/>
          <w:color w:val="000000"/>
        </w:rPr>
        <w:t>月的总和生育率（</w:t>
      </w:r>
      <w:r>
        <w:rPr>
          <w:rFonts w:hint="eastAsia"/>
          <w:bCs/>
          <w:color w:val="000000"/>
        </w:rPr>
        <w:t>TFR</w:t>
      </w:r>
      <w:r>
        <w:rPr>
          <w:rFonts w:hint="eastAsia"/>
          <w:bCs/>
          <w:color w:val="000000"/>
        </w:rPr>
        <w:t>）为每位妇女</w:t>
      </w:r>
      <w:r>
        <w:rPr>
          <w:rFonts w:hint="eastAsia"/>
          <w:bCs/>
          <w:color w:val="000000"/>
        </w:rPr>
        <w:t>7</w:t>
      </w:r>
      <w:r>
        <w:rPr>
          <w:rFonts w:hint="eastAsia"/>
          <w:bCs/>
          <w:color w:val="000000"/>
        </w:rPr>
        <w:t>个孩子。这略低于</w:t>
      </w:r>
      <w:r>
        <w:rPr>
          <w:rFonts w:hint="eastAsia"/>
          <w:bCs/>
          <w:color w:val="000000"/>
        </w:rPr>
        <w:t>2003</w:t>
      </w:r>
      <w:r>
        <w:rPr>
          <w:rFonts w:hint="eastAsia"/>
          <w:bCs/>
          <w:color w:val="000000"/>
        </w:rPr>
        <w:t>年人口与健康调查为</w:t>
      </w:r>
      <w:r>
        <w:rPr>
          <w:rFonts w:hint="eastAsia"/>
          <w:bCs/>
          <w:color w:val="000000"/>
        </w:rPr>
        <w:t>2000-2003</w:t>
      </w:r>
      <w:r>
        <w:rPr>
          <w:rFonts w:hint="eastAsia"/>
          <w:bCs/>
          <w:color w:val="000000"/>
        </w:rPr>
        <w:t>年期间计算的水平（</w:t>
      </w:r>
      <w:r>
        <w:rPr>
          <w:bCs/>
          <w:color w:val="000000"/>
        </w:rPr>
        <w:t>7.7</w:t>
      </w:r>
      <w:r>
        <w:rPr>
          <w:rFonts w:hint="eastAsia"/>
          <w:bCs/>
          <w:color w:val="000000"/>
        </w:rPr>
        <w:t>），但是从严格意义上来说，两者不具可比性，因为它并非以全面的出生史为基础。</w:t>
      </w:r>
    </w:p>
    <w:p w:rsidR="00692915" w:rsidRDefault="00692915" w:rsidP="009A1C1B">
      <w:pPr>
        <w:spacing w:afterLines="50" w:after="180"/>
        <w:ind w:firstLine="31680"/>
        <w:rPr>
          <w:rFonts w:hint="eastAsia"/>
          <w:color w:val="000000"/>
        </w:rPr>
      </w:pPr>
      <w:r>
        <w:rPr>
          <w:rFonts w:hint="eastAsia"/>
          <w:bCs/>
          <w:color w:val="000000"/>
        </w:rPr>
        <w:t>各地区之间也有很大差异，从帝力的</w:t>
      </w:r>
      <w:r>
        <w:rPr>
          <w:bCs/>
          <w:color w:val="000000"/>
        </w:rPr>
        <w:t>5.2</w:t>
      </w:r>
      <w:r>
        <w:rPr>
          <w:rFonts w:hint="eastAsia"/>
          <w:bCs/>
          <w:color w:val="000000"/>
        </w:rPr>
        <w:t>到阿伊莱乌的</w:t>
      </w:r>
      <w:r>
        <w:rPr>
          <w:bCs/>
          <w:color w:val="000000"/>
        </w:rPr>
        <w:t>9.1</w:t>
      </w:r>
      <w:r>
        <w:rPr>
          <w:rFonts w:hint="eastAsia"/>
          <w:bCs/>
          <w:color w:val="000000"/>
        </w:rPr>
        <w:t>。</w:t>
      </w:r>
    </w:p>
    <w:p w:rsidR="00692915" w:rsidRDefault="00692915">
      <w:pPr>
        <w:pStyle w:val="Heading2"/>
        <w:spacing w:before="120" w:after="120"/>
        <w:ind w:hanging="130"/>
        <w:rPr>
          <w:rFonts w:hint="eastAsia"/>
          <w:noProof/>
          <w:color w:val="000000"/>
          <w:sz w:val="24"/>
        </w:rPr>
      </w:pPr>
      <w:bookmarkStart w:id="215" w:name="_Toc124947717"/>
      <w:bookmarkStart w:id="216" w:name="_Toc131956653"/>
      <w:bookmarkStart w:id="217" w:name="_Toc132732554"/>
      <w:r>
        <w:rPr>
          <w:rFonts w:hint="eastAsia"/>
          <w:color w:val="000000"/>
          <w:sz w:val="24"/>
        </w:rPr>
        <w:t>文字专栏</w:t>
      </w:r>
      <w:r>
        <w:rPr>
          <w:color w:val="000000"/>
          <w:sz w:val="24"/>
        </w:rPr>
        <w:t xml:space="preserve"> </w:t>
      </w:r>
      <w:r>
        <w:rPr>
          <w:noProof/>
          <w:color w:val="000000"/>
          <w:sz w:val="24"/>
        </w:rPr>
        <w:t>4</w:t>
      </w:r>
      <w:r>
        <w:rPr>
          <w:rFonts w:hint="eastAsia"/>
          <w:noProof/>
          <w:color w:val="000000"/>
          <w:sz w:val="24"/>
        </w:rPr>
        <w:br/>
      </w:r>
      <w:r>
        <w:rPr>
          <w:rFonts w:hint="eastAsia"/>
          <w:noProof/>
          <w:color w:val="000000"/>
          <w:sz w:val="24"/>
        </w:rPr>
        <w:t>东帝汶的生育率位居世界之首（</w:t>
      </w:r>
      <w:r>
        <w:rPr>
          <w:rFonts w:hint="eastAsia"/>
          <w:noProof/>
          <w:color w:val="000000"/>
          <w:sz w:val="24"/>
        </w:rPr>
        <w:t>2003</w:t>
      </w:r>
      <w:r>
        <w:rPr>
          <w:rFonts w:hint="eastAsia"/>
          <w:noProof/>
          <w:color w:val="000000"/>
          <w:sz w:val="24"/>
        </w:rPr>
        <w:t>年人口与健康调查）</w:t>
      </w:r>
    </w:p>
    <w:tbl>
      <w:tblPr>
        <w:tblW w:w="0" w:type="auto"/>
        <w:tblInd w:w="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60"/>
      </w:tblGrid>
      <w:tr w:rsidR="00692915">
        <w:tblPrEx>
          <w:tblCellMar>
            <w:top w:w="0" w:type="dxa"/>
            <w:bottom w:w="0" w:type="dxa"/>
          </w:tblCellMar>
        </w:tblPrEx>
        <w:tc>
          <w:tcPr>
            <w:tcW w:w="8160" w:type="dxa"/>
            <w:tcBorders>
              <w:bottom w:val="nil"/>
            </w:tcBorders>
          </w:tcPr>
          <w:p w:rsidR="00692915" w:rsidRDefault="00692915" w:rsidP="009A1C1B">
            <w:pPr>
              <w:pStyle w:val="Header"/>
              <w:spacing w:before="120" w:line="288" w:lineRule="auto"/>
              <w:ind w:firstLine="31680"/>
              <w:rPr>
                <w:rFonts w:ascii="SimSun" w:eastAsia="SimSun" w:hAnsi="SimSun" w:hint="eastAsia"/>
                <w:color w:val="000000"/>
                <w:lang w:eastAsia="zh-CN"/>
              </w:rPr>
            </w:pPr>
            <w:r>
              <w:rPr>
                <w:rFonts w:ascii="SimSun" w:eastAsia="SimSun" w:hAnsi="SimSun" w:hint="eastAsia"/>
                <w:color w:val="000000"/>
                <w:lang w:eastAsia="zh-CN"/>
              </w:rPr>
              <w:t>在东帝汶，如果在妇女的整个生育期间保持现有的总和生育率水平，则从2000年到2003年，每位妇女将平均生育</w:t>
            </w:r>
            <w:r>
              <w:rPr>
                <w:rFonts w:ascii="SimSun" w:eastAsia="SimSun" w:hAnsi="SimSun"/>
                <w:color w:val="000000"/>
                <w:lang w:eastAsia="zh-CN"/>
              </w:rPr>
              <w:t>7.7</w:t>
            </w:r>
            <w:r>
              <w:rPr>
                <w:rFonts w:ascii="SimSun" w:eastAsia="SimSun" w:hAnsi="SimSun" w:hint="eastAsia"/>
                <w:color w:val="000000"/>
                <w:lang w:eastAsia="zh-CN"/>
              </w:rPr>
              <w:t>个孩子。这比联合国最近人口趋势评估中任何一个国家的目前生育率都高。</w:t>
            </w:r>
          </w:p>
        </w:tc>
      </w:tr>
      <w:tr w:rsidR="00692915">
        <w:tblPrEx>
          <w:tblCellMar>
            <w:top w:w="0" w:type="dxa"/>
            <w:bottom w:w="0" w:type="dxa"/>
          </w:tblCellMar>
        </w:tblPrEx>
        <w:tc>
          <w:tcPr>
            <w:tcW w:w="8160" w:type="dxa"/>
            <w:tcBorders>
              <w:top w:val="nil"/>
              <w:bottom w:val="nil"/>
            </w:tcBorders>
          </w:tcPr>
          <w:p w:rsidR="00692915" w:rsidRDefault="00692915" w:rsidP="009A1C1B">
            <w:pPr>
              <w:pStyle w:val="Header"/>
              <w:spacing w:before="120" w:line="288" w:lineRule="auto"/>
              <w:ind w:firstLine="31680"/>
              <w:rPr>
                <w:rFonts w:ascii="SimSun" w:eastAsia="SimSun" w:hAnsi="SimSun" w:hint="eastAsia"/>
                <w:color w:val="000000"/>
                <w:lang w:eastAsia="zh-CN"/>
              </w:rPr>
            </w:pPr>
            <w:r>
              <w:rPr>
                <w:rFonts w:ascii="SimSun" w:eastAsia="SimSun" w:hAnsi="SimSun" w:hint="eastAsia"/>
                <w:color w:val="000000"/>
              </w:rPr>
              <w:t>“显然，东帝汶的生育率不仅是亚洲最高的，很可能也是世界上最高的。</w:t>
            </w:r>
            <w:r>
              <w:rPr>
                <w:rFonts w:ascii="SimSun" w:eastAsia="SimSun" w:hAnsi="SimSun" w:hint="eastAsia"/>
                <w:color w:val="000000"/>
                <w:lang w:eastAsia="zh-CN"/>
              </w:rPr>
              <w:t>”</w:t>
            </w:r>
          </w:p>
        </w:tc>
      </w:tr>
      <w:tr w:rsidR="00692915">
        <w:tblPrEx>
          <w:tblCellMar>
            <w:top w:w="0" w:type="dxa"/>
            <w:bottom w:w="0" w:type="dxa"/>
          </w:tblCellMar>
        </w:tblPrEx>
        <w:tc>
          <w:tcPr>
            <w:tcW w:w="8160" w:type="dxa"/>
            <w:tcBorders>
              <w:top w:val="nil"/>
            </w:tcBorders>
          </w:tcPr>
          <w:p w:rsidR="00692915" w:rsidRDefault="00692915" w:rsidP="009A1C1B">
            <w:pPr>
              <w:ind w:firstLine="31680"/>
              <w:rPr>
                <w:color w:val="000000"/>
                <w:sz w:val="21"/>
              </w:rPr>
            </w:pPr>
            <w:r>
              <w:rPr>
                <w:rFonts w:eastAsia="KaiTi_GB2312" w:hint="eastAsia"/>
                <w:color w:val="000000"/>
                <w:sz w:val="21"/>
              </w:rPr>
              <w:t>资料来源：</w:t>
            </w:r>
            <w:r>
              <w:rPr>
                <w:rFonts w:hint="eastAsia"/>
                <w:bCs/>
                <w:color w:val="000000"/>
                <w:sz w:val="21"/>
                <w:lang w:val="pt-PT"/>
              </w:rPr>
              <w:t>东帝汶卫生部和国家统计局、纽卡斯尔大学、澳大利亚国立大学、澳大利亚艾索尔（</w:t>
            </w:r>
            <w:r>
              <w:rPr>
                <w:rFonts w:hint="eastAsia"/>
                <w:bCs/>
                <w:color w:val="000000"/>
                <w:sz w:val="21"/>
                <w:lang w:val="pt-PT"/>
              </w:rPr>
              <w:t>ACIL</w:t>
            </w:r>
            <w:r>
              <w:rPr>
                <w:rFonts w:hint="eastAsia"/>
                <w:bCs/>
                <w:color w:val="000000"/>
                <w:sz w:val="21"/>
                <w:lang w:val="pt-PT"/>
              </w:rPr>
              <w:t>）有限公司：《</w:t>
            </w:r>
            <w:r>
              <w:rPr>
                <w:rFonts w:hint="eastAsia"/>
                <w:bCs/>
                <w:color w:val="000000"/>
                <w:sz w:val="21"/>
                <w:lang w:val="pt-PT"/>
              </w:rPr>
              <w:t>2003</w:t>
            </w:r>
            <w:r>
              <w:rPr>
                <w:rFonts w:hint="eastAsia"/>
                <w:bCs/>
                <w:color w:val="000000"/>
                <w:sz w:val="21"/>
                <w:lang w:val="pt-PT"/>
              </w:rPr>
              <w:t>年东帝汶人口与健康调查》，澳大利亚纽卡斯尔，纽卡斯尔大学。</w:t>
            </w:r>
          </w:p>
        </w:tc>
      </w:tr>
      <w:bookmarkEnd w:id="215"/>
      <w:bookmarkEnd w:id="216"/>
      <w:bookmarkEnd w:id="217"/>
    </w:tbl>
    <w:p w:rsidR="00692915" w:rsidRDefault="00692915" w:rsidP="009A1C1B">
      <w:pPr>
        <w:ind w:firstLine="31680"/>
        <w:rPr>
          <w:rFonts w:hint="eastAsia"/>
          <w:bCs/>
          <w:color w:val="000000"/>
        </w:rPr>
      </w:pPr>
    </w:p>
    <w:p w:rsidR="00692915" w:rsidRDefault="00692915">
      <w:pPr>
        <w:pStyle w:val="Heading5"/>
        <w:ind w:firstLineChars="0" w:firstLine="0"/>
        <w:rPr>
          <w:rFonts w:eastAsia="KaiTi_GB2312" w:hint="eastAsia"/>
          <w:b w:val="0"/>
          <w:bCs/>
          <w:i w:val="0"/>
          <w:iCs/>
          <w:color w:val="000000"/>
          <w:lang w:eastAsia="zh-CN"/>
        </w:rPr>
      </w:pPr>
      <w:r>
        <w:rPr>
          <w:rFonts w:eastAsia="KaiTi_GB2312" w:hint="eastAsia"/>
          <w:b w:val="0"/>
          <w:bCs/>
          <w:i w:val="0"/>
          <w:iCs/>
          <w:color w:val="000000"/>
          <w:lang w:eastAsia="zh-CN"/>
        </w:rPr>
        <w:t>婴儿死亡率</w:t>
      </w:r>
    </w:p>
    <w:p w:rsidR="00692915" w:rsidRDefault="00692915" w:rsidP="009A1C1B">
      <w:pPr>
        <w:ind w:firstLine="31680"/>
        <w:rPr>
          <w:rFonts w:hint="eastAsia"/>
          <w:bCs/>
          <w:color w:val="000000"/>
        </w:rPr>
      </w:pPr>
      <w:r>
        <w:rPr>
          <w:rFonts w:hint="eastAsia"/>
          <w:bCs/>
          <w:color w:val="000000"/>
        </w:rPr>
        <w:t>2004</w:t>
      </w:r>
      <w:r>
        <w:rPr>
          <w:rFonts w:hint="eastAsia"/>
          <w:bCs/>
          <w:color w:val="000000"/>
        </w:rPr>
        <w:t>年人口普查所估计的是</w:t>
      </w:r>
      <w:r>
        <w:rPr>
          <w:rFonts w:hint="eastAsia"/>
          <w:bCs/>
          <w:color w:val="000000"/>
        </w:rPr>
        <w:t>2002</w:t>
      </w:r>
      <w:r>
        <w:rPr>
          <w:rFonts w:hint="eastAsia"/>
          <w:bCs/>
          <w:color w:val="000000"/>
        </w:rPr>
        <w:t>年</w:t>
      </w:r>
      <w:r>
        <w:rPr>
          <w:rFonts w:hint="eastAsia"/>
          <w:bCs/>
          <w:color w:val="000000"/>
        </w:rPr>
        <w:t>6</w:t>
      </w:r>
      <w:r>
        <w:rPr>
          <w:rFonts w:hint="eastAsia"/>
          <w:bCs/>
          <w:color w:val="000000"/>
        </w:rPr>
        <w:t>月的婴儿死亡率。全国的婴儿死亡率是每</w:t>
      </w:r>
      <w:r>
        <w:rPr>
          <w:rFonts w:hint="eastAsia"/>
          <w:bCs/>
          <w:color w:val="000000"/>
        </w:rPr>
        <w:t>1 000</w:t>
      </w:r>
      <w:r>
        <w:rPr>
          <w:rFonts w:hint="eastAsia"/>
          <w:bCs/>
          <w:color w:val="000000"/>
        </w:rPr>
        <w:t>名活产婴儿死亡</w:t>
      </w:r>
      <w:r>
        <w:rPr>
          <w:rFonts w:hint="eastAsia"/>
          <w:bCs/>
          <w:color w:val="000000"/>
        </w:rPr>
        <w:t>90</w:t>
      </w:r>
      <w:r>
        <w:rPr>
          <w:rFonts w:hint="eastAsia"/>
          <w:bCs/>
          <w:color w:val="000000"/>
        </w:rPr>
        <w:t>名，这比人口与健康调查最近</w:t>
      </w:r>
      <w:r>
        <w:rPr>
          <w:rFonts w:hint="eastAsia"/>
          <w:bCs/>
          <w:color w:val="000000"/>
        </w:rPr>
        <w:t>5</w:t>
      </w:r>
      <w:r>
        <w:rPr>
          <w:rFonts w:hint="eastAsia"/>
          <w:bCs/>
          <w:color w:val="000000"/>
        </w:rPr>
        <w:t>年期的比率要高。</w:t>
      </w:r>
    </w:p>
    <w:p w:rsidR="00692915" w:rsidRDefault="00692915" w:rsidP="009A1C1B">
      <w:pPr>
        <w:ind w:firstLine="31680"/>
        <w:rPr>
          <w:rFonts w:hint="eastAsia"/>
          <w:bCs/>
          <w:color w:val="000000"/>
        </w:rPr>
      </w:pPr>
      <w:r>
        <w:rPr>
          <w:rFonts w:hint="eastAsia"/>
          <w:bCs/>
          <w:color w:val="000000"/>
        </w:rPr>
        <w:t>但是，如上所述，这并不意味着实际比率提高了，因为使用的方法不同，因此从严格意义上来说，数据不具备可比性。</w:t>
      </w:r>
    </w:p>
    <w:p w:rsidR="00692915" w:rsidRDefault="00692915" w:rsidP="009A1C1B">
      <w:pPr>
        <w:ind w:firstLine="31680"/>
        <w:rPr>
          <w:rFonts w:hint="eastAsia"/>
          <w:color w:val="000000"/>
        </w:rPr>
      </w:pPr>
      <w:r>
        <w:rPr>
          <w:rFonts w:hint="eastAsia"/>
          <w:bCs/>
          <w:color w:val="000000"/>
        </w:rPr>
        <w:t>在西部地区，也就是</w:t>
      </w:r>
      <w:r>
        <w:rPr>
          <w:bCs/>
          <w:color w:val="000000"/>
        </w:rPr>
        <w:t>波波纳罗</w:t>
      </w:r>
      <w:r>
        <w:rPr>
          <w:rFonts w:hint="eastAsia"/>
          <w:bCs/>
          <w:color w:val="000000"/>
        </w:rPr>
        <w:t>和艾纳鲁区，婴儿死亡率最高。帝力的婴儿死亡率较低，此外，在中部地区的</w:t>
      </w:r>
      <w:r>
        <w:rPr>
          <w:bCs/>
          <w:color w:val="000000"/>
        </w:rPr>
        <w:t>马纳图托</w:t>
      </w:r>
      <w:r>
        <w:rPr>
          <w:rFonts w:hint="eastAsia"/>
          <w:bCs/>
          <w:color w:val="000000"/>
        </w:rPr>
        <w:t>和东部地区的</w:t>
      </w:r>
      <w:r>
        <w:rPr>
          <w:bCs/>
          <w:color w:val="000000"/>
        </w:rPr>
        <w:t>劳滕</w:t>
      </w:r>
      <w:r>
        <w:rPr>
          <w:rFonts w:hint="eastAsia"/>
          <w:bCs/>
          <w:color w:val="000000"/>
        </w:rPr>
        <w:t>，婴儿死亡率也较低。欧库西的男婴死亡率尤其高。</w:t>
      </w:r>
    </w:p>
    <w:p w:rsidR="00692915" w:rsidRDefault="00692915">
      <w:pPr>
        <w:pStyle w:val="Heading2"/>
        <w:ind w:firstLine="600"/>
        <w:rPr>
          <w:rFonts w:hint="eastAsia"/>
          <w:noProof/>
          <w:color w:val="000000"/>
        </w:rPr>
      </w:pPr>
      <w:bookmarkStart w:id="218" w:name="_Toc132732555"/>
      <w:r>
        <w:rPr>
          <w:rFonts w:hint="eastAsia"/>
          <w:color w:val="000000"/>
        </w:rPr>
        <w:t>文字专栏</w:t>
      </w:r>
      <w:r>
        <w:rPr>
          <w:color w:val="000000"/>
        </w:rPr>
        <w:t xml:space="preserve"> </w:t>
      </w:r>
      <w:r>
        <w:rPr>
          <w:noProof/>
          <w:color w:val="000000"/>
        </w:rPr>
        <w:t>5</w:t>
      </w:r>
      <w:r>
        <w:rPr>
          <w:rFonts w:hint="eastAsia"/>
          <w:noProof/>
          <w:color w:val="000000"/>
        </w:rPr>
        <w:br/>
      </w:r>
      <w:bookmarkEnd w:id="218"/>
      <w:r>
        <w:rPr>
          <w:rFonts w:hint="eastAsia"/>
          <w:noProof/>
          <w:color w:val="000000"/>
        </w:rPr>
        <w:t>千年发展目标目标</w:t>
      </w:r>
      <w:r>
        <w:rPr>
          <w:rFonts w:hint="eastAsia"/>
          <w:noProof/>
          <w:color w:val="000000"/>
        </w:rPr>
        <w:t>4</w:t>
      </w:r>
      <w:r>
        <w:rPr>
          <w:rFonts w:hint="eastAsia"/>
          <w:noProof/>
          <w:color w:val="000000"/>
        </w:rPr>
        <w:t>的具体目标和指标</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40"/>
      </w:tblGrid>
      <w:tr w:rsidR="00692915">
        <w:tblPrEx>
          <w:tblCellMar>
            <w:top w:w="0" w:type="dxa"/>
            <w:bottom w:w="0" w:type="dxa"/>
          </w:tblCellMar>
        </w:tblPrEx>
        <w:tc>
          <w:tcPr>
            <w:tcW w:w="8640" w:type="dxa"/>
            <w:tcBorders>
              <w:bottom w:val="nil"/>
            </w:tcBorders>
          </w:tcPr>
          <w:p w:rsidR="00692915" w:rsidRDefault="00692915" w:rsidP="009A1C1B">
            <w:pPr>
              <w:pStyle w:val="Header"/>
              <w:spacing w:beforeLines="50" w:before="180" w:line="336" w:lineRule="auto"/>
              <w:ind w:firstLineChars="83" w:firstLine="31680"/>
              <w:rPr>
                <w:rFonts w:ascii="SimHei" w:eastAsia="SimHei" w:hAnsi="SimSun" w:hint="eastAsia"/>
                <w:color w:val="000000"/>
                <w:lang w:eastAsia="zh-CN"/>
              </w:rPr>
            </w:pPr>
            <w:bookmarkStart w:id="219" w:name="_Toc132732200"/>
            <w:r>
              <w:rPr>
                <w:rFonts w:ascii="SimHei" w:eastAsia="SimHei" w:hAnsi="SimSun" w:hint="eastAsia"/>
                <w:color w:val="000000"/>
                <w:lang w:eastAsia="zh-CN"/>
              </w:rPr>
              <w:t>目标4：降低儿童死亡率</w:t>
            </w:r>
          </w:p>
        </w:tc>
      </w:tr>
      <w:tr w:rsidR="00692915">
        <w:tblPrEx>
          <w:tblCellMar>
            <w:top w:w="0" w:type="dxa"/>
            <w:bottom w:w="0" w:type="dxa"/>
          </w:tblCellMar>
        </w:tblPrEx>
        <w:tc>
          <w:tcPr>
            <w:tcW w:w="8640" w:type="dxa"/>
            <w:tcBorders>
              <w:top w:val="nil"/>
              <w:bottom w:val="nil"/>
            </w:tcBorders>
          </w:tcPr>
          <w:p w:rsidR="00692915" w:rsidRDefault="00692915" w:rsidP="009A1C1B">
            <w:pPr>
              <w:ind w:firstLineChars="76" w:firstLine="31680"/>
              <w:rPr>
                <w:color w:val="000000"/>
              </w:rPr>
            </w:pPr>
            <w:r>
              <w:rPr>
                <w:rFonts w:hint="eastAsia"/>
                <w:color w:val="000000"/>
              </w:rPr>
              <w:t>具体目标</w:t>
            </w:r>
            <w:r>
              <w:rPr>
                <w:rFonts w:hint="eastAsia"/>
                <w:color w:val="000000"/>
              </w:rPr>
              <w:t>5</w:t>
            </w:r>
            <w:r>
              <w:rPr>
                <w:rFonts w:hint="eastAsia"/>
                <w:color w:val="000000"/>
              </w:rPr>
              <w:t>：将</w:t>
            </w:r>
            <w:r>
              <w:rPr>
                <w:rFonts w:hint="eastAsia"/>
                <w:color w:val="000000"/>
              </w:rPr>
              <w:t>5</w:t>
            </w:r>
            <w:r>
              <w:rPr>
                <w:rFonts w:hint="eastAsia"/>
                <w:color w:val="000000"/>
              </w:rPr>
              <w:t>岁以下儿童死亡率降低三分之二</w:t>
            </w:r>
          </w:p>
        </w:tc>
      </w:tr>
      <w:tr w:rsidR="00692915">
        <w:tblPrEx>
          <w:tblCellMar>
            <w:top w:w="0" w:type="dxa"/>
            <w:bottom w:w="0" w:type="dxa"/>
          </w:tblCellMar>
        </w:tblPrEx>
        <w:tc>
          <w:tcPr>
            <w:tcW w:w="8640" w:type="dxa"/>
            <w:tcBorders>
              <w:top w:val="nil"/>
              <w:bottom w:val="nil"/>
            </w:tcBorders>
          </w:tcPr>
          <w:p w:rsidR="00692915" w:rsidRDefault="00692915" w:rsidP="009A1C1B">
            <w:pPr>
              <w:numPr>
                <w:ilvl w:val="0"/>
                <w:numId w:val="10"/>
              </w:numPr>
              <w:tabs>
                <w:tab w:val="clear" w:pos="1494"/>
                <w:tab w:val="num" w:pos="1081"/>
              </w:tabs>
              <w:ind w:leftChars="265" w:left="31680" w:hangingChars="150" w:firstLine="31680"/>
              <w:rPr>
                <w:color w:val="000000"/>
              </w:rPr>
            </w:pPr>
            <w:r>
              <w:rPr>
                <w:rFonts w:hint="eastAsia"/>
                <w:color w:val="000000"/>
              </w:rPr>
              <w:t>指标</w:t>
            </w:r>
            <w:r>
              <w:rPr>
                <w:color w:val="000000"/>
              </w:rPr>
              <w:t>13</w:t>
            </w:r>
            <w:r>
              <w:rPr>
                <w:rFonts w:hint="eastAsia"/>
                <w:color w:val="000000"/>
              </w:rPr>
              <w:t>：</w:t>
            </w:r>
            <w:r>
              <w:rPr>
                <w:rFonts w:hint="eastAsia"/>
                <w:color w:val="000000"/>
              </w:rPr>
              <w:t xml:space="preserve"> 5</w:t>
            </w:r>
            <w:r>
              <w:rPr>
                <w:rFonts w:hint="eastAsia"/>
                <w:color w:val="000000"/>
              </w:rPr>
              <w:t>岁以下儿童死亡率将从</w:t>
            </w:r>
            <w:r>
              <w:rPr>
                <w:color w:val="000000"/>
              </w:rPr>
              <w:t>2001</w:t>
            </w:r>
            <w:r>
              <w:rPr>
                <w:rFonts w:hint="eastAsia"/>
                <w:color w:val="000000"/>
              </w:rPr>
              <w:t>-20</w:t>
            </w:r>
            <w:r>
              <w:rPr>
                <w:color w:val="000000"/>
              </w:rPr>
              <w:t>02</w:t>
            </w:r>
            <w:r>
              <w:rPr>
                <w:rFonts w:hint="eastAsia"/>
                <w:color w:val="000000"/>
              </w:rPr>
              <w:t>年的</w:t>
            </w:r>
            <w:r>
              <w:rPr>
                <w:rFonts w:hint="eastAsia"/>
                <w:color w:val="000000"/>
              </w:rPr>
              <w:t>128</w:t>
            </w:r>
            <w:r>
              <w:rPr>
                <w:rFonts w:hint="eastAsia"/>
                <w:color w:val="000000"/>
              </w:rPr>
              <w:t>降低到</w:t>
            </w:r>
            <w:r>
              <w:rPr>
                <w:rFonts w:hint="eastAsia"/>
                <w:color w:val="000000"/>
              </w:rPr>
              <w:t>2015</w:t>
            </w:r>
            <w:r>
              <w:rPr>
                <w:rFonts w:hint="eastAsia"/>
                <w:color w:val="000000"/>
              </w:rPr>
              <w:t>年的</w:t>
            </w:r>
            <w:r>
              <w:rPr>
                <w:rFonts w:hint="eastAsia"/>
                <w:color w:val="000000"/>
              </w:rPr>
              <w:t>96</w:t>
            </w:r>
            <w:r>
              <w:rPr>
                <w:rFonts w:hint="eastAsia"/>
                <w:color w:val="000000"/>
              </w:rPr>
              <w:t>；</w:t>
            </w:r>
          </w:p>
        </w:tc>
      </w:tr>
      <w:tr w:rsidR="00692915">
        <w:tblPrEx>
          <w:tblCellMar>
            <w:top w:w="0" w:type="dxa"/>
            <w:bottom w:w="0" w:type="dxa"/>
          </w:tblCellMar>
        </w:tblPrEx>
        <w:tc>
          <w:tcPr>
            <w:tcW w:w="8640" w:type="dxa"/>
            <w:tcBorders>
              <w:top w:val="nil"/>
              <w:bottom w:val="nil"/>
            </w:tcBorders>
          </w:tcPr>
          <w:p w:rsidR="00692915" w:rsidRDefault="00692915" w:rsidP="009A1C1B">
            <w:pPr>
              <w:numPr>
                <w:ilvl w:val="0"/>
                <w:numId w:val="10"/>
              </w:numPr>
              <w:tabs>
                <w:tab w:val="clear" w:pos="1494"/>
                <w:tab w:val="num" w:pos="1081"/>
              </w:tabs>
              <w:ind w:leftChars="265" w:left="31680" w:hangingChars="150" w:firstLine="31680"/>
              <w:rPr>
                <w:color w:val="000000"/>
              </w:rPr>
            </w:pPr>
            <w:r>
              <w:rPr>
                <w:rFonts w:hint="eastAsia"/>
                <w:color w:val="000000"/>
              </w:rPr>
              <w:t>指标</w:t>
            </w:r>
            <w:r>
              <w:rPr>
                <w:color w:val="000000"/>
              </w:rPr>
              <w:t>14</w:t>
            </w:r>
            <w:r>
              <w:rPr>
                <w:rFonts w:hint="eastAsia"/>
                <w:color w:val="000000"/>
              </w:rPr>
              <w:t>：婴儿死亡率将从</w:t>
            </w:r>
            <w:r>
              <w:rPr>
                <w:color w:val="000000"/>
              </w:rPr>
              <w:t>2001</w:t>
            </w:r>
            <w:r>
              <w:rPr>
                <w:rFonts w:hint="eastAsia"/>
                <w:color w:val="000000"/>
              </w:rPr>
              <w:t>-20</w:t>
            </w:r>
            <w:r>
              <w:rPr>
                <w:color w:val="000000"/>
              </w:rPr>
              <w:t>02</w:t>
            </w:r>
            <w:r>
              <w:rPr>
                <w:rFonts w:hint="eastAsia"/>
                <w:color w:val="000000"/>
              </w:rPr>
              <w:t>年的</w:t>
            </w:r>
            <w:r>
              <w:rPr>
                <w:rFonts w:hint="eastAsia"/>
                <w:color w:val="000000"/>
              </w:rPr>
              <w:t>88</w:t>
            </w:r>
            <w:r>
              <w:rPr>
                <w:rFonts w:hint="eastAsia"/>
                <w:color w:val="000000"/>
              </w:rPr>
              <w:t>降低到</w:t>
            </w:r>
            <w:r>
              <w:rPr>
                <w:rFonts w:hint="eastAsia"/>
                <w:color w:val="000000"/>
              </w:rPr>
              <w:t>2015</w:t>
            </w:r>
            <w:r>
              <w:rPr>
                <w:rFonts w:hint="eastAsia"/>
                <w:color w:val="000000"/>
              </w:rPr>
              <w:t>年的</w:t>
            </w:r>
            <w:r>
              <w:rPr>
                <w:rFonts w:hint="eastAsia"/>
                <w:color w:val="000000"/>
              </w:rPr>
              <w:t>53</w:t>
            </w:r>
            <w:r>
              <w:rPr>
                <w:rFonts w:hint="eastAsia"/>
                <w:color w:val="000000"/>
              </w:rPr>
              <w:t>；</w:t>
            </w:r>
          </w:p>
        </w:tc>
      </w:tr>
      <w:tr w:rsidR="00692915">
        <w:tblPrEx>
          <w:tblCellMar>
            <w:top w:w="0" w:type="dxa"/>
            <w:bottom w:w="0" w:type="dxa"/>
          </w:tblCellMar>
        </w:tblPrEx>
        <w:tc>
          <w:tcPr>
            <w:tcW w:w="8640" w:type="dxa"/>
            <w:tcBorders>
              <w:top w:val="nil"/>
              <w:bottom w:val="nil"/>
            </w:tcBorders>
          </w:tcPr>
          <w:p w:rsidR="00692915" w:rsidRDefault="00692915" w:rsidP="009A1C1B">
            <w:pPr>
              <w:numPr>
                <w:ilvl w:val="0"/>
                <w:numId w:val="10"/>
              </w:numPr>
              <w:tabs>
                <w:tab w:val="clear" w:pos="1494"/>
                <w:tab w:val="num" w:pos="1081"/>
              </w:tabs>
              <w:ind w:leftChars="265" w:left="31680" w:hangingChars="150" w:firstLine="31680"/>
              <w:rPr>
                <w:color w:val="000000"/>
              </w:rPr>
            </w:pPr>
            <w:r>
              <w:rPr>
                <w:rFonts w:hint="eastAsia"/>
                <w:color w:val="000000"/>
              </w:rPr>
              <w:t>指标</w:t>
            </w:r>
            <w:r>
              <w:rPr>
                <w:color w:val="000000"/>
              </w:rPr>
              <w:t>15</w:t>
            </w:r>
            <w:r>
              <w:rPr>
                <w:rFonts w:hint="eastAsia"/>
                <w:color w:val="000000"/>
              </w:rPr>
              <w:t>：提高接受麻疹疫苗的</w:t>
            </w:r>
            <w:r>
              <w:rPr>
                <w:color w:val="000000"/>
              </w:rPr>
              <w:t>12-23</w:t>
            </w:r>
            <w:r>
              <w:rPr>
                <w:rFonts w:hint="eastAsia"/>
                <w:color w:val="000000"/>
              </w:rPr>
              <w:t>个月儿童比例。</w:t>
            </w:r>
          </w:p>
        </w:tc>
      </w:tr>
      <w:tr w:rsidR="00692915">
        <w:tblPrEx>
          <w:tblCellMar>
            <w:top w:w="0" w:type="dxa"/>
            <w:bottom w:w="0" w:type="dxa"/>
          </w:tblCellMar>
        </w:tblPrEx>
        <w:tc>
          <w:tcPr>
            <w:tcW w:w="8640" w:type="dxa"/>
            <w:tcBorders>
              <w:top w:val="nil"/>
            </w:tcBorders>
          </w:tcPr>
          <w:p w:rsidR="00692915" w:rsidRDefault="00692915" w:rsidP="009A1C1B">
            <w:pPr>
              <w:ind w:firstLineChars="76" w:firstLine="31680"/>
              <w:rPr>
                <w:rFonts w:hint="eastAsia"/>
                <w:color w:val="000000"/>
                <w:sz w:val="21"/>
              </w:rPr>
            </w:pPr>
            <w:r>
              <w:rPr>
                <w:rFonts w:eastAsia="KaiTi_GB2312" w:hint="eastAsia"/>
                <w:iCs/>
                <w:color w:val="000000"/>
                <w:sz w:val="21"/>
                <w:szCs w:val="16"/>
              </w:rPr>
              <w:t>资料来源：《</w:t>
            </w:r>
            <w:r>
              <w:rPr>
                <w:rFonts w:hint="eastAsia"/>
                <w:iCs/>
                <w:color w:val="000000"/>
                <w:sz w:val="21"/>
                <w:szCs w:val="16"/>
              </w:rPr>
              <w:t>2006</w:t>
            </w:r>
            <w:r>
              <w:rPr>
                <w:rFonts w:hint="eastAsia"/>
                <w:iCs/>
                <w:color w:val="000000"/>
                <w:sz w:val="21"/>
                <w:szCs w:val="16"/>
              </w:rPr>
              <w:t>年东帝汶人类发展报告》，附件五。</w:t>
            </w:r>
          </w:p>
        </w:tc>
      </w:tr>
    </w:tbl>
    <w:bookmarkEnd w:id="219"/>
    <w:p w:rsidR="00692915" w:rsidRDefault="00692915" w:rsidP="009A1C1B">
      <w:pPr>
        <w:pStyle w:val="Heading5"/>
        <w:spacing w:before="360"/>
        <w:ind w:firstLine="31680"/>
        <w:rPr>
          <w:rFonts w:eastAsia="KaiTi_GB2312" w:hint="eastAsia"/>
          <w:b w:val="0"/>
          <w:bCs/>
          <w:i w:val="0"/>
          <w:iCs/>
          <w:color w:val="000000"/>
          <w:lang w:eastAsia="zh-CN"/>
        </w:rPr>
      </w:pPr>
      <w:r>
        <w:rPr>
          <w:rFonts w:eastAsia="KaiTi_GB2312" w:hint="eastAsia"/>
          <w:b w:val="0"/>
          <w:bCs/>
          <w:i w:val="0"/>
          <w:iCs/>
          <w:color w:val="000000"/>
          <w:lang w:eastAsia="zh-CN"/>
        </w:rPr>
        <w:t>死亡率</w:t>
      </w:r>
      <w:r>
        <w:rPr>
          <w:rFonts w:ascii="SimHei" w:eastAsia="SimHei" w:hint="eastAsia"/>
          <w:b w:val="0"/>
          <w:bCs/>
          <w:i w:val="0"/>
          <w:iCs/>
          <w:color w:val="000000"/>
          <w:lang w:val="en-US" w:eastAsia="zh-CN"/>
        </w:rPr>
        <w:t>——</w:t>
      </w:r>
      <w:r>
        <w:rPr>
          <w:rFonts w:eastAsia="KaiTi_GB2312" w:hint="eastAsia"/>
          <w:b w:val="0"/>
          <w:bCs/>
          <w:i w:val="0"/>
          <w:iCs/>
          <w:color w:val="000000"/>
          <w:lang w:eastAsia="zh-CN"/>
        </w:rPr>
        <w:t>粗死亡率</w:t>
      </w:r>
    </w:p>
    <w:p w:rsidR="00692915" w:rsidRDefault="00692915" w:rsidP="009A1C1B">
      <w:pPr>
        <w:ind w:firstLine="31680"/>
        <w:rPr>
          <w:rFonts w:hint="eastAsia"/>
          <w:color w:val="000000"/>
        </w:rPr>
      </w:pPr>
      <w:r>
        <w:rPr>
          <w:rFonts w:hint="eastAsia"/>
          <w:bCs/>
          <w:color w:val="000000"/>
        </w:rPr>
        <w:t>粗死亡率是指在参考期间发生或登记的、所有年龄人口中的死亡人数。</w:t>
      </w:r>
    </w:p>
    <w:p w:rsidR="00692915" w:rsidRDefault="00692915">
      <w:pPr>
        <w:pStyle w:val="Heading2"/>
        <w:spacing w:after="120"/>
        <w:rPr>
          <w:rFonts w:hint="eastAsia"/>
          <w:color w:val="000000"/>
          <w:sz w:val="24"/>
        </w:rPr>
      </w:pPr>
      <w:r>
        <w:rPr>
          <w:rFonts w:hint="eastAsia"/>
          <w:color w:val="000000"/>
          <w:sz w:val="24"/>
        </w:rPr>
        <w:t>图</w:t>
      </w:r>
      <w:r>
        <w:rPr>
          <w:color w:val="000000"/>
          <w:sz w:val="24"/>
        </w:rPr>
        <w:t xml:space="preserve"> </w:t>
      </w:r>
      <w:r>
        <w:rPr>
          <w:noProof/>
          <w:color w:val="000000"/>
          <w:sz w:val="24"/>
        </w:rPr>
        <w:t>12</w:t>
      </w:r>
      <w:r>
        <w:rPr>
          <w:rFonts w:hint="eastAsia"/>
          <w:noProof/>
          <w:color w:val="000000"/>
          <w:sz w:val="24"/>
        </w:rPr>
        <w:br/>
      </w:r>
      <w:r>
        <w:rPr>
          <w:rFonts w:hint="eastAsia"/>
          <w:color w:val="000000"/>
          <w:sz w:val="24"/>
        </w:rPr>
        <w:t xml:space="preserve"> </w:t>
      </w:r>
      <w:r>
        <w:rPr>
          <w:color w:val="000000"/>
          <w:sz w:val="24"/>
        </w:rPr>
        <w:t xml:space="preserve">1980 </w:t>
      </w:r>
      <w:r>
        <w:rPr>
          <w:rFonts w:hint="eastAsia"/>
          <w:color w:val="000000"/>
          <w:sz w:val="24"/>
        </w:rPr>
        <w:t>-</w:t>
      </w:r>
      <w:r>
        <w:rPr>
          <w:color w:val="000000"/>
          <w:sz w:val="24"/>
        </w:rPr>
        <w:t>2004</w:t>
      </w:r>
      <w:r>
        <w:rPr>
          <w:rFonts w:hint="eastAsia"/>
          <w:color w:val="000000"/>
          <w:sz w:val="24"/>
        </w:rPr>
        <w:t>年期间粗死亡率趋势</w:t>
      </w:r>
    </w:p>
    <w:p w:rsidR="00692915" w:rsidRDefault="00692915">
      <w:pPr>
        <w:ind w:firstLineChars="0" w:firstLine="0"/>
        <w:jc w:val="center"/>
        <w:rPr>
          <w:rFonts w:hint="eastAsia"/>
          <w:color w:val="000000"/>
        </w:rPr>
      </w:pPr>
      <w:bookmarkStart w:id="220" w:name="_Toc132732281"/>
      <w:r>
        <w:rPr>
          <w:noProof/>
          <w:snapToGrid/>
          <w:color w:val="000000"/>
          <w:sz w:val="20"/>
        </w:rPr>
        <w:pict>
          <v:shape id="_x0000_s2220" type="#_x0000_t202" style="position:absolute;left:0;text-align:left;margin-left:231.75pt;margin-top:57.7pt;width:156pt;height:24.45pt;z-index:2" o:regroupid="9" filled="f" stroked="f">
            <v:textbox>
              <w:txbxContent>
                <w:p w:rsidR="00692915" w:rsidRDefault="00692915" w:rsidP="009A1C1B">
                  <w:pPr>
                    <w:ind w:firstLine="31680"/>
                    <w:rPr>
                      <w:sz w:val="18"/>
                    </w:rPr>
                  </w:pPr>
                  <w:r>
                    <w:rPr>
                      <w:rFonts w:hint="eastAsia"/>
                      <w:sz w:val="18"/>
                    </w:rPr>
                    <w:t>每</w:t>
                  </w:r>
                  <w:r>
                    <w:rPr>
                      <w:rFonts w:hint="eastAsia"/>
                      <w:sz w:val="18"/>
                    </w:rPr>
                    <w:t>1 000</w:t>
                  </w:r>
                  <w:r>
                    <w:rPr>
                      <w:rFonts w:hint="eastAsia"/>
                      <w:sz w:val="18"/>
                    </w:rPr>
                    <w:t>人的粗死亡率</w:t>
                  </w:r>
                </w:p>
              </w:txbxContent>
            </v:textbox>
          </v:shape>
        </w:pict>
      </w:r>
      <w:r>
        <w:rPr>
          <w:noProof/>
          <w:snapToGrid/>
          <w:color w:val="000000"/>
          <w:sz w:val="20"/>
        </w:rPr>
        <w:pict>
          <v:shape id="_x0000_s2221" type="#_x0000_t202" style="position:absolute;left:0;text-align:left;margin-left:66pt;margin-top:6pt;width:384pt;height:24.45pt;z-index:3" o:regroupid="9" filled="f" fillcolor="#ff7171" stroked="f">
            <v:fill color2="#ffadad" angle="-90" type="gradient"/>
            <v:textbox>
              <w:txbxContent>
                <w:p w:rsidR="00692915" w:rsidRDefault="00692915" w:rsidP="009A1C1B">
                  <w:pPr>
                    <w:ind w:firstLineChars="500" w:firstLine="31680"/>
                    <w:rPr>
                      <w:rFonts w:ascii="SimHei" w:eastAsia="SimHei"/>
                      <w:sz w:val="21"/>
                    </w:rPr>
                  </w:pPr>
                  <w:r>
                    <w:rPr>
                      <w:rFonts w:ascii="SimHei" w:eastAsia="SimHei" w:hint="eastAsia"/>
                      <w:sz w:val="21"/>
                    </w:rPr>
                    <w:t>粗死亡率已从1980年代非常高的水平下降了</w:t>
                  </w:r>
                </w:p>
              </w:txbxContent>
            </v:textbox>
          </v:shape>
        </w:pict>
      </w:r>
      <w:bookmarkStart w:id="221" w:name="_MON_1261418498"/>
      <w:bookmarkStart w:id="222" w:name="_MON_1261418516"/>
      <w:bookmarkStart w:id="223" w:name="_MON_1261422860"/>
      <w:bookmarkStart w:id="224" w:name="_MON_1261908823"/>
      <w:bookmarkEnd w:id="221"/>
      <w:bookmarkEnd w:id="222"/>
      <w:bookmarkEnd w:id="223"/>
      <w:bookmarkEnd w:id="224"/>
      <w:r>
        <w:rPr>
          <w:color w:val="000000"/>
        </w:rPr>
        <w:object w:dxaOrig="8866" w:dyaOrig="5101">
          <v:shape id="_x0000_i1036" type="#_x0000_t75" style="width:443.25pt;height:255pt" o:ole="">
            <v:imagedata r:id="rId30" o:title=""/>
          </v:shape>
          <o:OLEObject Type="Embed" ProgID="Word.Picture.8" ShapeID="_x0000_i1036" DrawAspect="Content" ObjectID="_1395890545" r:id="rId31"/>
        </w:object>
      </w:r>
    </w:p>
    <w:p w:rsidR="00692915" w:rsidRDefault="00692915">
      <w:pPr>
        <w:pStyle w:val="Heading2"/>
        <w:spacing w:after="120"/>
        <w:ind w:firstLine="601"/>
        <w:rPr>
          <w:rFonts w:hint="eastAsia"/>
          <w:color w:val="000000"/>
        </w:rPr>
      </w:pPr>
      <w:r>
        <w:rPr>
          <w:rFonts w:hint="eastAsia"/>
          <w:color w:val="000000"/>
        </w:rPr>
        <w:t>图</w:t>
      </w:r>
      <w:r>
        <w:rPr>
          <w:color w:val="000000"/>
        </w:rPr>
        <w:t xml:space="preserve"> </w:t>
      </w:r>
      <w:r>
        <w:rPr>
          <w:noProof/>
          <w:color w:val="000000"/>
        </w:rPr>
        <w:t>13</w:t>
      </w:r>
      <w:r>
        <w:rPr>
          <w:rFonts w:hint="eastAsia"/>
          <w:noProof/>
          <w:color w:val="000000"/>
        </w:rPr>
        <w:br/>
      </w:r>
      <w:r>
        <w:rPr>
          <w:color w:val="000000"/>
        </w:rPr>
        <w:t>1990</w:t>
      </w:r>
      <w:r>
        <w:rPr>
          <w:rFonts w:hint="eastAsia"/>
          <w:color w:val="000000"/>
        </w:rPr>
        <w:t>-</w:t>
      </w:r>
      <w:r>
        <w:rPr>
          <w:color w:val="000000"/>
        </w:rPr>
        <w:t>2003</w:t>
      </w:r>
      <w:bookmarkEnd w:id="220"/>
      <w:r>
        <w:rPr>
          <w:rFonts w:hint="eastAsia"/>
          <w:color w:val="000000"/>
        </w:rPr>
        <w:t>年期间东帝汶和同一地区内其他三个国家的</w:t>
      </w:r>
      <w:r>
        <w:rPr>
          <w:color w:val="000000"/>
        </w:rPr>
        <w:br/>
      </w:r>
      <w:r>
        <w:rPr>
          <w:rFonts w:hint="eastAsia"/>
          <w:color w:val="000000"/>
        </w:rPr>
        <w:t>粗死亡率趋势</w:t>
      </w:r>
    </w:p>
    <w:p w:rsidR="00692915" w:rsidRDefault="00692915" w:rsidP="009A1C1B">
      <w:pPr>
        <w:ind w:firstLine="31680"/>
        <w:jc w:val="center"/>
        <w:rPr>
          <w:rFonts w:hint="eastAsia"/>
          <w:color w:val="000000"/>
        </w:rPr>
      </w:pPr>
      <w:r>
        <w:rPr>
          <w:b/>
          <w:bCs/>
          <w:i/>
          <w:iCs/>
          <w:noProof/>
          <w:snapToGrid/>
          <w:color w:val="000000"/>
          <w:sz w:val="20"/>
        </w:rPr>
        <w:pict>
          <v:shape id="_x0000_s2295" type="#_x0000_t202" style="position:absolute;left:0;text-align:left;margin-left:385.5pt;margin-top:166.95pt;width:54pt;height:10.95pt;z-index:49" o:regroupid="10" filled="f" stroked="f">
            <v:textbox inset=",0,,0">
              <w:txbxContent>
                <w:p w:rsidR="00692915" w:rsidRDefault="00692915">
                  <w:pPr>
                    <w:ind w:firstLineChars="0" w:firstLine="0"/>
                    <w:jc w:val="center"/>
                    <w:rPr>
                      <w:rFonts w:hint="eastAsia"/>
                      <w:b/>
                      <w:bCs/>
                      <w:sz w:val="15"/>
                    </w:rPr>
                  </w:pPr>
                  <w:r>
                    <w:rPr>
                      <w:rFonts w:hint="eastAsia"/>
                      <w:sz w:val="15"/>
                    </w:rPr>
                    <w:t>泰国</w:t>
                  </w:r>
                </w:p>
              </w:txbxContent>
            </v:textbox>
          </v:shape>
        </w:pict>
      </w:r>
      <w:r>
        <w:rPr>
          <w:b/>
          <w:bCs/>
          <w:i/>
          <w:iCs/>
          <w:noProof/>
          <w:snapToGrid/>
          <w:color w:val="000000"/>
          <w:sz w:val="20"/>
        </w:rPr>
        <w:pict>
          <v:shape id="_x0000_s2294" type="#_x0000_t202" style="position:absolute;left:0;text-align:left;margin-left:83.45pt;margin-top:173.5pt;width:54pt;height:10.95pt;z-index:48" o:regroupid="10" filled="f" stroked="f">
            <v:textbox inset=",0,,0">
              <w:txbxContent>
                <w:p w:rsidR="00692915" w:rsidRDefault="00692915">
                  <w:pPr>
                    <w:ind w:firstLineChars="0" w:firstLine="0"/>
                    <w:jc w:val="left"/>
                    <w:rPr>
                      <w:rFonts w:hint="eastAsia"/>
                      <w:b/>
                      <w:bCs/>
                      <w:sz w:val="15"/>
                    </w:rPr>
                  </w:pPr>
                  <w:r>
                    <w:rPr>
                      <w:rFonts w:hint="eastAsia"/>
                      <w:sz w:val="15"/>
                    </w:rPr>
                    <w:t>泰国</w:t>
                  </w:r>
                </w:p>
              </w:txbxContent>
            </v:textbox>
          </v:shape>
        </w:pict>
      </w:r>
      <w:r>
        <w:rPr>
          <w:b/>
          <w:bCs/>
          <w:i/>
          <w:iCs/>
          <w:noProof/>
          <w:snapToGrid/>
          <w:color w:val="000000"/>
          <w:sz w:val="20"/>
        </w:rPr>
        <w:pict>
          <v:shape id="_x0000_s2293" type="#_x0000_t202" style="position:absolute;left:0;text-align:left;margin-left:76pt;margin-top:133.9pt;width:65pt;height:10.95pt;z-index:47" o:regroupid="10" filled="f" stroked="f">
            <v:textbox inset=",0,,0">
              <w:txbxContent>
                <w:p w:rsidR="00692915" w:rsidRDefault="00692915">
                  <w:pPr>
                    <w:ind w:firstLineChars="0" w:firstLine="0"/>
                    <w:jc w:val="left"/>
                    <w:rPr>
                      <w:rFonts w:hint="eastAsia"/>
                      <w:b/>
                      <w:bCs/>
                      <w:sz w:val="15"/>
                    </w:rPr>
                  </w:pPr>
                  <w:r>
                    <w:rPr>
                      <w:rFonts w:hint="eastAsia"/>
                      <w:sz w:val="15"/>
                    </w:rPr>
                    <w:t>印度尼西亚</w:t>
                  </w:r>
                </w:p>
              </w:txbxContent>
            </v:textbox>
          </v:shape>
        </w:pict>
      </w:r>
      <w:r>
        <w:rPr>
          <w:b/>
          <w:bCs/>
          <w:i/>
          <w:iCs/>
          <w:noProof/>
          <w:snapToGrid/>
          <w:color w:val="000000"/>
          <w:sz w:val="20"/>
        </w:rPr>
        <w:pict>
          <v:shape id="_x0000_s2290" type="#_x0000_t202" style="position:absolute;left:0;text-align:left;margin-left:74.75pt;margin-top:49.85pt;width:54pt;height:10.95pt;z-index:45" o:regroupid="10" filled="f" stroked="f">
            <v:textbox inset=",0,,0">
              <w:txbxContent>
                <w:p w:rsidR="00692915" w:rsidRDefault="00692915">
                  <w:pPr>
                    <w:ind w:firstLineChars="0" w:firstLine="0"/>
                    <w:jc w:val="left"/>
                    <w:rPr>
                      <w:rFonts w:hint="eastAsia"/>
                      <w:b/>
                      <w:bCs/>
                      <w:sz w:val="15"/>
                    </w:rPr>
                  </w:pPr>
                  <w:r>
                    <w:rPr>
                      <w:rFonts w:hint="eastAsia"/>
                      <w:sz w:val="15"/>
                    </w:rPr>
                    <w:t>东帝汶</w:t>
                  </w:r>
                </w:p>
              </w:txbxContent>
            </v:textbox>
          </v:shape>
        </w:pict>
      </w:r>
      <w:r>
        <w:rPr>
          <w:b/>
          <w:bCs/>
          <w:i/>
          <w:iCs/>
          <w:noProof/>
          <w:snapToGrid/>
          <w:color w:val="000000"/>
          <w:sz w:val="20"/>
        </w:rPr>
        <w:pict>
          <v:shape id="_x0000_s2292" type="#_x0000_t202" style="position:absolute;left:0;text-align:left;margin-left:74.5pt;margin-top:82pt;width:57.95pt;height:16.85pt;z-index:46" o:regroupid="10" filled="f" stroked="f">
            <v:textbox inset=",0,,0">
              <w:txbxContent>
                <w:p w:rsidR="00692915" w:rsidRDefault="00692915">
                  <w:pPr>
                    <w:ind w:firstLineChars="0" w:firstLine="0"/>
                    <w:jc w:val="left"/>
                    <w:rPr>
                      <w:rFonts w:hint="eastAsia"/>
                      <w:sz w:val="15"/>
                    </w:rPr>
                  </w:pPr>
                  <w:r>
                    <w:rPr>
                      <w:rFonts w:hint="eastAsia"/>
                      <w:sz w:val="15"/>
                    </w:rPr>
                    <w:t>柬埔寨</w:t>
                  </w:r>
                </w:p>
              </w:txbxContent>
            </v:textbox>
          </v:shape>
        </w:pict>
      </w:r>
      <w:r>
        <w:rPr>
          <w:b/>
          <w:bCs/>
          <w:i/>
          <w:iCs/>
          <w:noProof/>
          <w:snapToGrid/>
          <w:color w:val="000000"/>
          <w:sz w:val="20"/>
        </w:rPr>
        <w:pict>
          <v:shape id="_x0000_s2297" type="#_x0000_t202" style="position:absolute;left:0;text-align:left;margin-left:393pt;margin-top:125.7pt;width:42pt;height:13.15pt;z-index:51" o:regroupid="10" filled="f" stroked="f">
            <v:textbox inset=",0,,0">
              <w:txbxContent>
                <w:p w:rsidR="00692915" w:rsidRDefault="00692915">
                  <w:pPr>
                    <w:ind w:firstLineChars="0" w:firstLine="0"/>
                    <w:jc w:val="left"/>
                    <w:rPr>
                      <w:rFonts w:hint="eastAsia"/>
                      <w:b/>
                      <w:bCs/>
                      <w:sz w:val="15"/>
                    </w:rPr>
                  </w:pPr>
                  <w:r>
                    <w:rPr>
                      <w:rFonts w:hint="eastAsia"/>
                      <w:sz w:val="15"/>
                    </w:rPr>
                    <w:t>柬埔寨</w:t>
                  </w:r>
                </w:p>
              </w:txbxContent>
            </v:textbox>
          </v:shape>
        </w:pict>
      </w:r>
      <w:r>
        <w:rPr>
          <w:b/>
          <w:bCs/>
          <w:i/>
          <w:iCs/>
          <w:noProof/>
          <w:snapToGrid/>
          <w:color w:val="000000"/>
          <w:sz w:val="20"/>
        </w:rPr>
        <w:pict>
          <v:shape id="_x0000_s2298" type="#_x0000_t202" style="position:absolute;left:0;text-align:left;margin-left:358.5pt;margin-top:103.25pt;width:54pt;height:10.95pt;z-index:52" o:regroupid="10" filled="f" stroked="f">
            <v:textbox inset=",0,,0">
              <w:txbxContent>
                <w:p w:rsidR="00692915" w:rsidRDefault="00692915">
                  <w:pPr>
                    <w:ind w:firstLineChars="0" w:firstLine="0"/>
                    <w:jc w:val="left"/>
                    <w:rPr>
                      <w:rFonts w:hint="eastAsia"/>
                      <w:b/>
                      <w:bCs/>
                      <w:sz w:val="15"/>
                    </w:rPr>
                  </w:pPr>
                  <w:r>
                    <w:rPr>
                      <w:rFonts w:hint="eastAsia"/>
                      <w:sz w:val="15"/>
                    </w:rPr>
                    <w:t>东帝汶</w:t>
                  </w:r>
                </w:p>
              </w:txbxContent>
            </v:textbox>
          </v:shape>
        </w:pict>
      </w:r>
      <w:r>
        <w:rPr>
          <w:b/>
          <w:bCs/>
          <w:i/>
          <w:iCs/>
          <w:noProof/>
          <w:snapToGrid/>
          <w:color w:val="000000"/>
          <w:sz w:val="20"/>
        </w:rPr>
        <w:pict>
          <v:shape id="_x0000_s2296" type="#_x0000_t202" style="position:absolute;left:0;text-align:left;margin-left:373.65pt;margin-top:141.8pt;width:61.85pt;height:10.95pt;z-index:50" o:regroupid="10" filled="f" stroked="f">
            <v:textbox inset=",0,,0">
              <w:txbxContent>
                <w:p w:rsidR="00692915" w:rsidRDefault="00692915">
                  <w:pPr>
                    <w:ind w:firstLineChars="0" w:firstLine="0"/>
                    <w:jc w:val="left"/>
                    <w:rPr>
                      <w:rFonts w:hint="eastAsia"/>
                      <w:b/>
                      <w:bCs/>
                      <w:sz w:val="15"/>
                    </w:rPr>
                  </w:pPr>
                  <w:r>
                    <w:rPr>
                      <w:rFonts w:hint="eastAsia"/>
                      <w:sz w:val="15"/>
                    </w:rPr>
                    <w:t>印度尼西亚</w:t>
                  </w:r>
                </w:p>
              </w:txbxContent>
            </v:textbox>
          </v:shape>
        </w:pict>
      </w:r>
      <w:r>
        <w:rPr>
          <w:b/>
          <w:bCs/>
          <w:i/>
          <w:iCs/>
          <w:noProof/>
          <w:snapToGrid/>
          <w:color w:val="000000"/>
          <w:sz w:val="20"/>
        </w:rPr>
        <w:pict>
          <v:shape id="_x0000_s2289" type="#_x0000_t202" style="position:absolute;left:0;text-align:left;margin-left:30pt;margin-top:5.35pt;width:408pt;height:24.45pt;z-index:44" o:regroupid="10" filled="f" fillcolor="#ff7171" stroked="f">
            <v:fill color2="#ffadad" angle="-90" type="gradient"/>
            <v:textbox>
              <w:txbxContent>
                <w:p w:rsidR="00692915" w:rsidRDefault="00692915" w:rsidP="009A1C1B">
                  <w:pPr>
                    <w:ind w:firstLine="31680"/>
                    <w:jc w:val="center"/>
                    <w:rPr>
                      <w:rFonts w:eastAsia="SimHei"/>
                      <w:sz w:val="21"/>
                    </w:rPr>
                  </w:pPr>
                  <w:r>
                    <w:rPr>
                      <w:rFonts w:eastAsia="SimHei" w:hint="eastAsia"/>
                      <w:sz w:val="21"/>
                    </w:rPr>
                    <w:t>按照地区标准，东帝汶的死亡率很高</w:t>
                  </w:r>
                </w:p>
              </w:txbxContent>
            </v:textbox>
          </v:shape>
        </w:pict>
      </w:r>
      <w:bookmarkStart w:id="225" w:name="_MON_1261418614"/>
      <w:bookmarkEnd w:id="225"/>
      <w:r>
        <w:rPr>
          <w:color w:val="000000"/>
        </w:rPr>
        <w:object w:dxaOrig="8386" w:dyaOrig="4486">
          <v:shape id="_x0000_i1037" type="#_x0000_t75" style="width:419.25pt;height:224.25pt" o:ole="">
            <v:imagedata r:id="rId32" o:title=""/>
          </v:shape>
          <o:OLEObject Type="Embed" ProgID="Word.Picture.8" ShapeID="_x0000_i1037" DrawAspect="Content" ObjectID="_1395890546" r:id="rId33"/>
        </w:object>
      </w:r>
    </w:p>
    <w:p w:rsidR="00692915" w:rsidRDefault="00692915">
      <w:pPr>
        <w:pStyle w:val="Heading5"/>
        <w:spacing w:before="120"/>
        <w:ind w:firstLineChars="0" w:firstLine="0"/>
        <w:rPr>
          <w:rFonts w:eastAsia="KaiTi_GB2312" w:hint="eastAsia"/>
          <w:b w:val="0"/>
          <w:bCs/>
          <w:i w:val="0"/>
          <w:iCs/>
          <w:color w:val="000000"/>
          <w:lang w:eastAsia="zh-CN"/>
        </w:rPr>
      </w:pPr>
      <w:r>
        <w:rPr>
          <w:rFonts w:eastAsia="KaiTi_GB2312" w:hint="eastAsia"/>
          <w:b w:val="0"/>
          <w:bCs/>
          <w:i w:val="0"/>
          <w:iCs/>
          <w:color w:val="000000"/>
          <w:lang w:eastAsia="zh-CN"/>
        </w:rPr>
        <w:t>产妇死亡率</w:t>
      </w:r>
    </w:p>
    <w:p w:rsidR="00692915" w:rsidRDefault="00692915" w:rsidP="009A1C1B">
      <w:pPr>
        <w:ind w:firstLine="31680"/>
        <w:rPr>
          <w:rFonts w:hint="eastAsia"/>
          <w:bCs/>
          <w:color w:val="000000"/>
        </w:rPr>
      </w:pPr>
      <w:r>
        <w:rPr>
          <w:rFonts w:hint="eastAsia"/>
          <w:bCs/>
          <w:color w:val="000000"/>
        </w:rPr>
        <w:t>产妇死亡率极难衡量。但最近对东帝汶进行的估计数据为每万例分娩中产妇死亡率在</w:t>
      </w:r>
      <w:r>
        <w:rPr>
          <w:bCs/>
          <w:color w:val="000000"/>
        </w:rPr>
        <w:t>420</w:t>
      </w:r>
      <w:r>
        <w:rPr>
          <w:rFonts w:hint="eastAsia"/>
          <w:bCs/>
          <w:color w:val="000000"/>
        </w:rPr>
        <w:t>到</w:t>
      </w:r>
      <w:r>
        <w:rPr>
          <w:bCs/>
          <w:color w:val="000000"/>
        </w:rPr>
        <w:t>800</w:t>
      </w:r>
      <w:r>
        <w:rPr>
          <w:rFonts w:hint="eastAsia"/>
          <w:bCs/>
          <w:color w:val="000000"/>
        </w:rPr>
        <w:t>之间。</w:t>
      </w:r>
    </w:p>
    <w:p w:rsidR="00692915" w:rsidRDefault="00692915" w:rsidP="009A1C1B">
      <w:pPr>
        <w:spacing w:after="240"/>
        <w:ind w:firstLine="31680"/>
        <w:rPr>
          <w:rFonts w:hint="eastAsia"/>
          <w:color w:val="000000"/>
        </w:rPr>
      </w:pPr>
      <w:r>
        <w:rPr>
          <w:rFonts w:hint="eastAsia"/>
          <w:bCs/>
          <w:color w:val="000000"/>
        </w:rPr>
        <w:t>产妇死亡率</w:t>
      </w:r>
      <w:r>
        <w:rPr>
          <w:rFonts w:hint="eastAsia"/>
          <w:color w:val="000000"/>
        </w:rPr>
        <w:t>如此之高</w:t>
      </w:r>
      <w:r>
        <w:rPr>
          <w:rFonts w:hint="eastAsia"/>
          <w:bCs/>
          <w:color w:val="000000"/>
        </w:rPr>
        <w:t>的主要原因包括无产前和产后保健服务、生产时缺乏训练有素医护人员的护理，以及当出现病发症后难以取得医疗救治。</w:t>
      </w:r>
    </w:p>
    <w:p w:rsidR="00692915" w:rsidRDefault="00692915">
      <w:pPr>
        <w:pStyle w:val="Heading2"/>
        <w:ind w:firstLine="600"/>
        <w:rPr>
          <w:rFonts w:hint="eastAsia"/>
          <w:noProof/>
          <w:color w:val="000000"/>
          <w:sz w:val="24"/>
        </w:rPr>
      </w:pPr>
      <w:bookmarkStart w:id="226" w:name="_Toc132732556"/>
      <w:r>
        <w:rPr>
          <w:rFonts w:hint="eastAsia"/>
          <w:noProof/>
          <w:color w:val="000000"/>
          <w:sz w:val="24"/>
        </w:rPr>
        <w:t>文字专栏</w:t>
      </w:r>
      <w:r>
        <w:rPr>
          <w:rFonts w:hint="eastAsia"/>
          <w:noProof/>
          <w:color w:val="000000"/>
          <w:sz w:val="24"/>
        </w:rPr>
        <w:t>6</w:t>
      </w:r>
      <w:r>
        <w:rPr>
          <w:noProof/>
          <w:color w:val="000000"/>
          <w:sz w:val="24"/>
        </w:rPr>
        <w:br/>
      </w:r>
      <w:bookmarkStart w:id="227" w:name="_Toc132732213"/>
      <w:bookmarkStart w:id="228" w:name="_Toc135830073"/>
      <w:bookmarkStart w:id="229" w:name="_Toc135834070"/>
      <w:bookmarkStart w:id="230" w:name="_Toc135834287"/>
      <w:bookmarkEnd w:id="226"/>
      <w:r>
        <w:rPr>
          <w:rFonts w:hint="eastAsia"/>
          <w:noProof/>
          <w:color w:val="000000"/>
          <w:sz w:val="24"/>
        </w:rPr>
        <w:t>千年发展目标目标</w:t>
      </w:r>
      <w:r>
        <w:rPr>
          <w:rFonts w:hint="eastAsia"/>
          <w:noProof/>
          <w:color w:val="000000"/>
          <w:sz w:val="24"/>
        </w:rPr>
        <w:t>5</w:t>
      </w:r>
      <w:r>
        <w:rPr>
          <w:rFonts w:hint="eastAsia"/>
          <w:noProof/>
          <w:color w:val="000000"/>
          <w:sz w:val="24"/>
        </w:rPr>
        <w:t>的具体目标和指标</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60"/>
      </w:tblGrid>
      <w:tr w:rsidR="00692915">
        <w:tblPrEx>
          <w:tblCellMar>
            <w:top w:w="0" w:type="dxa"/>
            <w:bottom w:w="0" w:type="dxa"/>
          </w:tblCellMar>
        </w:tblPrEx>
        <w:tc>
          <w:tcPr>
            <w:tcW w:w="8160" w:type="dxa"/>
            <w:tcBorders>
              <w:bottom w:val="nil"/>
            </w:tcBorders>
          </w:tcPr>
          <w:p w:rsidR="00692915" w:rsidRDefault="00692915">
            <w:pPr>
              <w:spacing w:beforeLines="50" w:before="180"/>
              <w:ind w:firstLineChars="0" w:firstLine="0"/>
              <w:rPr>
                <w:rFonts w:ascii="SimHei" w:eastAsia="SimHei" w:hAnsi="SimSun" w:hint="eastAsia"/>
                <w:bCs/>
                <w:color w:val="000000"/>
              </w:rPr>
            </w:pPr>
            <w:r>
              <w:rPr>
                <w:rFonts w:ascii="SimHei" w:eastAsia="SimHei" w:hAnsi="SimSun" w:hint="eastAsia"/>
                <w:bCs/>
                <w:color w:val="000000"/>
              </w:rPr>
              <w:t>目标5：改善产妇保健</w:t>
            </w:r>
          </w:p>
        </w:tc>
      </w:tr>
      <w:tr w:rsidR="00692915">
        <w:tblPrEx>
          <w:tblCellMar>
            <w:top w:w="0" w:type="dxa"/>
            <w:bottom w:w="0" w:type="dxa"/>
          </w:tblCellMar>
        </w:tblPrEx>
        <w:tc>
          <w:tcPr>
            <w:tcW w:w="8160" w:type="dxa"/>
            <w:tcBorders>
              <w:top w:val="nil"/>
              <w:bottom w:val="nil"/>
            </w:tcBorders>
          </w:tcPr>
          <w:p w:rsidR="00692915" w:rsidRDefault="00692915">
            <w:pPr>
              <w:ind w:firstLineChars="0" w:firstLine="0"/>
              <w:rPr>
                <w:rFonts w:hint="eastAsia"/>
                <w:bCs/>
                <w:color w:val="000000"/>
              </w:rPr>
            </w:pPr>
            <w:r>
              <w:rPr>
                <w:rFonts w:hint="eastAsia"/>
                <w:bCs/>
                <w:color w:val="000000"/>
              </w:rPr>
              <w:t>具体目标</w:t>
            </w:r>
            <w:r>
              <w:rPr>
                <w:rFonts w:hint="eastAsia"/>
                <w:bCs/>
                <w:color w:val="000000"/>
              </w:rPr>
              <w:t>6</w:t>
            </w:r>
            <w:r>
              <w:rPr>
                <w:rFonts w:hint="eastAsia"/>
                <w:bCs/>
                <w:color w:val="000000"/>
              </w:rPr>
              <w:t>：将产妇死亡率降低四分之三</w:t>
            </w:r>
          </w:p>
        </w:tc>
      </w:tr>
      <w:tr w:rsidR="00692915">
        <w:tblPrEx>
          <w:tblCellMar>
            <w:top w:w="0" w:type="dxa"/>
            <w:bottom w:w="0" w:type="dxa"/>
          </w:tblCellMar>
        </w:tblPrEx>
        <w:tc>
          <w:tcPr>
            <w:tcW w:w="8160" w:type="dxa"/>
            <w:tcBorders>
              <w:top w:val="nil"/>
              <w:bottom w:val="nil"/>
            </w:tcBorders>
          </w:tcPr>
          <w:p w:rsidR="00692915" w:rsidRDefault="00692915" w:rsidP="009A1C1B">
            <w:pPr>
              <w:numPr>
                <w:ilvl w:val="0"/>
                <w:numId w:val="10"/>
              </w:numPr>
              <w:tabs>
                <w:tab w:val="clear" w:pos="1494"/>
                <w:tab w:val="num" w:pos="852"/>
              </w:tabs>
              <w:ind w:leftChars="177" w:left="31680" w:hangingChars="150" w:firstLine="31680"/>
              <w:rPr>
                <w:bCs/>
                <w:color w:val="000000"/>
              </w:rPr>
            </w:pPr>
            <w:r>
              <w:rPr>
                <w:rFonts w:hint="eastAsia"/>
                <w:bCs/>
                <w:color w:val="000000"/>
              </w:rPr>
              <w:t>指标</w:t>
            </w:r>
            <w:r>
              <w:rPr>
                <w:rFonts w:hint="eastAsia"/>
                <w:bCs/>
                <w:color w:val="000000"/>
              </w:rPr>
              <w:t>16</w:t>
            </w:r>
            <w:r>
              <w:rPr>
                <w:rFonts w:hint="eastAsia"/>
                <w:bCs/>
                <w:color w:val="000000"/>
              </w:rPr>
              <w:t>：将产妇死亡率从目前估计的</w:t>
            </w:r>
            <w:r>
              <w:rPr>
                <w:bCs/>
                <w:color w:val="000000"/>
              </w:rPr>
              <w:t>420</w:t>
            </w:r>
            <w:r>
              <w:rPr>
                <w:rFonts w:hint="eastAsia"/>
                <w:bCs/>
                <w:color w:val="000000"/>
              </w:rPr>
              <w:t>-</w:t>
            </w:r>
            <w:r>
              <w:rPr>
                <w:bCs/>
                <w:color w:val="000000"/>
              </w:rPr>
              <w:t>800</w:t>
            </w:r>
            <w:r>
              <w:rPr>
                <w:rFonts w:hint="eastAsia"/>
                <w:bCs/>
                <w:color w:val="000000"/>
              </w:rPr>
              <w:t>降低到</w:t>
            </w:r>
            <w:r>
              <w:rPr>
                <w:rFonts w:hint="eastAsia"/>
                <w:bCs/>
                <w:color w:val="000000"/>
              </w:rPr>
              <w:t>2015</w:t>
            </w:r>
            <w:r>
              <w:rPr>
                <w:rFonts w:hint="eastAsia"/>
                <w:bCs/>
                <w:color w:val="000000"/>
              </w:rPr>
              <w:t>年的</w:t>
            </w:r>
            <w:r>
              <w:rPr>
                <w:rFonts w:hint="eastAsia"/>
                <w:bCs/>
                <w:color w:val="000000"/>
              </w:rPr>
              <w:t>252</w:t>
            </w:r>
            <w:r>
              <w:rPr>
                <w:rFonts w:hint="eastAsia"/>
                <w:bCs/>
                <w:color w:val="000000"/>
              </w:rPr>
              <w:t>；</w:t>
            </w:r>
          </w:p>
        </w:tc>
      </w:tr>
      <w:tr w:rsidR="00692915">
        <w:tblPrEx>
          <w:tblCellMar>
            <w:top w:w="0" w:type="dxa"/>
            <w:bottom w:w="0" w:type="dxa"/>
          </w:tblCellMar>
        </w:tblPrEx>
        <w:tc>
          <w:tcPr>
            <w:tcW w:w="8160" w:type="dxa"/>
            <w:tcBorders>
              <w:top w:val="nil"/>
              <w:bottom w:val="nil"/>
            </w:tcBorders>
          </w:tcPr>
          <w:p w:rsidR="00692915" w:rsidRDefault="00692915" w:rsidP="009A1C1B">
            <w:pPr>
              <w:numPr>
                <w:ilvl w:val="0"/>
                <w:numId w:val="10"/>
              </w:numPr>
              <w:tabs>
                <w:tab w:val="clear" w:pos="1494"/>
                <w:tab w:val="num" w:pos="852"/>
              </w:tabs>
              <w:ind w:leftChars="177" w:left="31680" w:hangingChars="150" w:firstLine="31680"/>
              <w:rPr>
                <w:bCs/>
                <w:color w:val="000000"/>
              </w:rPr>
            </w:pPr>
            <w:r>
              <w:rPr>
                <w:rFonts w:hint="eastAsia"/>
                <w:bCs/>
                <w:color w:val="000000"/>
              </w:rPr>
              <w:t>指标</w:t>
            </w:r>
            <w:r>
              <w:rPr>
                <w:rFonts w:hint="eastAsia"/>
                <w:bCs/>
                <w:color w:val="000000"/>
              </w:rPr>
              <w:t>17</w:t>
            </w:r>
            <w:r>
              <w:rPr>
                <w:rFonts w:hint="eastAsia"/>
                <w:bCs/>
                <w:color w:val="000000"/>
              </w:rPr>
              <w:t>：由熟练保健人员接生的比例从</w:t>
            </w:r>
            <w:r>
              <w:rPr>
                <w:bCs/>
                <w:color w:val="000000"/>
              </w:rPr>
              <w:t>2001</w:t>
            </w:r>
            <w:r>
              <w:rPr>
                <w:rFonts w:hint="eastAsia"/>
                <w:bCs/>
                <w:color w:val="000000"/>
              </w:rPr>
              <w:t>-20</w:t>
            </w:r>
            <w:r>
              <w:rPr>
                <w:bCs/>
                <w:color w:val="000000"/>
              </w:rPr>
              <w:t>02</w:t>
            </w:r>
            <w:r>
              <w:rPr>
                <w:rFonts w:hint="eastAsia"/>
                <w:bCs/>
                <w:color w:val="000000"/>
              </w:rPr>
              <w:t>年的</w:t>
            </w:r>
            <w:r>
              <w:rPr>
                <w:rFonts w:hint="eastAsia"/>
                <w:bCs/>
                <w:color w:val="000000"/>
              </w:rPr>
              <w:t>24%</w:t>
            </w:r>
            <w:r>
              <w:rPr>
                <w:rFonts w:hint="eastAsia"/>
                <w:bCs/>
                <w:color w:val="000000"/>
              </w:rPr>
              <w:t>提高到</w:t>
            </w:r>
            <w:r>
              <w:rPr>
                <w:rFonts w:hint="eastAsia"/>
                <w:bCs/>
                <w:color w:val="000000"/>
              </w:rPr>
              <w:t>2015</w:t>
            </w:r>
            <w:r>
              <w:rPr>
                <w:rFonts w:hint="eastAsia"/>
                <w:bCs/>
                <w:color w:val="000000"/>
              </w:rPr>
              <w:t>年的</w:t>
            </w:r>
            <w:r>
              <w:rPr>
                <w:rFonts w:hint="eastAsia"/>
                <w:bCs/>
                <w:color w:val="000000"/>
              </w:rPr>
              <w:t>80%</w:t>
            </w:r>
            <w:r>
              <w:rPr>
                <w:rFonts w:hint="eastAsia"/>
                <w:bCs/>
                <w:color w:val="000000"/>
              </w:rPr>
              <w:t>。</w:t>
            </w:r>
          </w:p>
        </w:tc>
      </w:tr>
      <w:tr w:rsidR="00692915">
        <w:tblPrEx>
          <w:tblCellMar>
            <w:top w:w="0" w:type="dxa"/>
            <w:bottom w:w="0" w:type="dxa"/>
          </w:tblCellMar>
        </w:tblPrEx>
        <w:tc>
          <w:tcPr>
            <w:tcW w:w="8160" w:type="dxa"/>
            <w:tcBorders>
              <w:top w:val="nil"/>
            </w:tcBorders>
          </w:tcPr>
          <w:p w:rsidR="00692915" w:rsidRDefault="00692915">
            <w:pPr>
              <w:spacing w:after="120"/>
              <w:ind w:firstLineChars="0" w:firstLine="0"/>
              <w:rPr>
                <w:rFonts w:hint="eastAsia"/>
                <w:i/>
                <w:iCs/>
                <w:color w:val="000000"/>
                <w:sz w:val="21"/>
              </w:rPr>
            </w:pPr>
            <w:r>
              <w:rPr>
                <w:rFonts w:eastAsia="KaiTi_GB2312" w:hint="eastAsia"/>
                <w:bCs/>
                <w:iCs/>
                <w:color w:val="000000"/>
                <w:sz w:val="21"/>
                <w:szCs w:val="16"/>
              </w:rPr>
              <w:t>资料来源</w:t>
            </w:r>
            <w:r>
              <w:rPr>
                <w:rFonts w:hint="eastAsia"/>
                <w:bCs/>
                <w:iCs/>
                <w:color w:val="000000"/>
                <w:sz w:val="21"/>
                <w:szCs w:val="16"/>
              </w:rPr>
              <w:t>：《</w:t>
            </w:r>
            <w:r>
              <w:rPr>
                <w:rFonts w:hint="eastAsia"/>
                <w:bCs/>
                <w:iCs/>
                <w:color w:val="000000"/>
                <w:sz w:val="21"/>
                <w:szCs w:val="16"/>
              </w:rPr>
              <w:t>2006</w:t>
            </w:r>
            <w:r>
              <w:rPr>
                <w:rFonts w:hint="eastAsia"/>
                <w:bCs/>
                <w:iCs/>
                <w:color w:val="000000"/>
                <w:sz w:val="21"/>
                <w:szCs w:val="16"/>
              </w:rPr>
              <w:t>年东帝汶人类发展报告》，附件五。</w:t>
            </w:r>
          </w:p>
        </w:tc>
      </w:tr>
      <w:bookmarkEnd w:id="227"/>
      <w:bookmarkEnd w:id="228"/>
      <w:bookmarkEnd w:id="229"/>
      <w:bookmarkEnd w:id="230"/>
    </w:tbl>
    <w:p w:rsidR="00692915" w:rsidRDefault="00692915" w:rsidP="009A1C1B">
      <w:pPr>
        <w:ind w:firstLine="31680"/>
        <w:rPr>
          <w:rFonts w:hint="eastAsia"/>
          <w:bCs/>
          <w:color w:val="000000"/>
        </w:rPr>
      </w:pPr>
    </w:p>
    <w:p w:rsidR="00692915" w:rsidRDefault="00692915">
      <w:pPr>
        <w:pStyle w:val="Heading5"/>
        <w:ind w:firstLineChars="0" w:firstLine="0"/>
        <w:rPr>
          <w:rFonts w:eastAsia="KaiTi_GB2312" w:hint="eastAsia"/>
          <w:b w:val="0"/>
          <w:bCs/>
          <w:i w:val="0"/>
          <w:iCs/>
          <w:color w:val="000000"/>
          <w:lang w:eastAsia="zh-CN"/>
        </w:rPr>
      </w:pPr>
      <w:r>
        <w:rPr>
          <w:rFonts w:eastAsia="KaiTi_GB2312" w:hint="eastAsia"/>
          <w:b w:val="0"/>
          <w:bCs/>
          <w:i w:val="0"/>
          <w:iCs/>
          <w:color w:val="000000"/>
          <w:lang w:eastAsia="zh-CN"/>
        </w:rPr>
        <w:t>家庭粮食安全</w:t>
      </w:r>
    </w:p>
    <w:p w:rsidR="00692915" w:rsidRDefault="00692915" w:rsidP="009A1C1B">
      <w:pPr>
        <w:ind w:firstLine="31680"/>
        <w:rPr>
          <w:rFonts w:hint="eastAsia"/>
          <w:color w:val="000000"/>
        </w:rPr>
      </w:pPr>
      <w:r>
        <w:rPr>
          <w:rFonts w:hint="eastAsia"/>
          <w:bCs/>
          <w:color w:val="000000"/>
        </w:rPr>
        <w:t>自东帝汶独立以来，家庭粮食安全一直是一个不断令人担心的问题。第一次贫困评估以及</w:t>
      </w:r>
      <w:r>
        <w:rPr>
          <w:rFonts w:hint="eastAsia"/>
          <w:bCs/>
          <w:color w:val="000000"/>
        </w:rPr>
        <w:t>2002</w:t>
      </w:r>
      <w:r>
        <w:rPr>
          <w:rFonts w:hint="eastAsia"/>
          <w:bCs/>
          <w:color w:val="000000"/>
        </w:rPr>
        <w:t>年规划委员会指出，必须增加国家的粮食供应，改善家庭的粮食安全。需要向弱势人群发放粮食。</w:t>
      </w:r>
    </w:p>
    <w:p w:rsidR="00692915" w:rsidRDefault="00692915">
      <w:pPr>
        <w:pStyle w:val="Heading2"/>
        <w:spacing w:after="120"/>
        <w:rPr>
          <w:rFonts w:hint="eastAsia"/>
          <w:color w:val="000000"/>
          <w:sz w:val="24"/>
        </w:rPr>
      </w:pPr>
      <w:bookmarkStart w:id="231" w:name="_Toc132732294"/>
      <w:r>
        <w:rPr>
          <w:rFonts w:hint="eastAsia"/>
          <w:color w:val="000000"/>
          <w:sz w:val="24"/>
        </w:rPr>
        <w:t>图</w:t>
      </w:r>
      <w:r>
        <w:rPr>
          <w:color w:val="000000"/>
          <w:sz w:val="24"/>
        </w:rPr>
        <w:t>14</w:t>
      </w:r>
      <w:r>
        <w:rPr>
          <w:rFonts w:hint="eastAsia"/>
          <w:color w:val="000000"/>
          <w:sz w:val="24"/>
        </w:rPr>
        <w:br/>
      </w:r>
      <w:bookmarkEnd w:id="231"/>
      <w:r>
        <w:rPr>
          <w:rFonts w:hint="eastAsia"/>
          <w:color w:val="000000"/>
          <w:sz w:val="24"/>
        </w:rPr>
        <w:t>粮食安全：粮食消费不足的人口比例（</w:t>
      </w:r>
      <w:r>
        <w:rPr>
          <w:rFonts w:hint="eastAsia"/>
          <w:color w:val="000000"/>
          <w:sz w:val="24"/>
        </w:rPr>
        <w:t>%</w:t>
      </w:r>
      <w:r>
        <w:rPr>
          <w:rFonts w:hint="eastAsia"/>
          <w:color w:val="000000"/>
          <w:sz w:val="24"/>
        </w:rPr>
        <w:t>），食品消费低下的</w:t>
      </w:r>
      <w:r>
        <w:rPr>
          <w:color w:val="000000"/>
          <w:sz w:val="24"/>
        </w:rPr>
        <w:br/>
      </w:r>
      <w:r>
        <w:rPr>
          <w:rFonts w:hint="eastAsia"/>
          <w:color w:val="000000"/>
          <w:sz w:val="24"/>
        </w:rPr>
        <w:t>月份、没有足够稻谷和玉米的月份（</w:t>
      </w:r>
      <w:r>
        <w:rPr>
          <w:rFonts w:hint="eastAsia"/>
          <w:color w:val="000000"/>
          <w:sz w:val="24"/>
        </w:rPr>
        <w:t>%</w:t>
      </w:r>
      <w:r>
        <w:rPr>
          <w:rFonts w:hint="eastAsia"/>
          <w:color w:val="000000"/>
          <w:sz w:val="24"/>
        </w:rPr>
        <w:t>），</w:t>
      </w:r>
      <w:r>
        <w:rPr>
          <w:color w:val="000000"/>
          <w:sz w:val="24"/>
        </w:rPr>
        <w:br/>
      </w:r>
      <w:r>
        <w:rPr>
          <w:rFonts w:hint="eastAsia"/>
          <w:color w:val="000000"/>
          <w:sz w:val="24"/>
        </w:rPr>
        <w:t>2003</w:t>
      </w:r>
      <w:r>
        <w:rPr>
          <w:rFonts w:hint="eastAsia"/>
          <w:color w:val="000000"/>
          <w:sz w:val="24"/>
        </w:rPr>
        <w:t>年人口与健康调查</w:t>
      </w:r>
    </w:p>
    <w:p w:rsidR="00692915" w:rsidRDefault="00692915" w:rsidP="009A1C1B">
      <w:pPr>
        <w:ind w:firstLine="31680"/>
        <w:jc w:val="center"/>
        <w:rPr>
          <w:rFonts w:hint="eastAsia"/>
          <w:color w:val="000000"/>
        </w:rPr>
      </w:pPr>
      <w:r>
        <w:rPr>
          <w:noProof/>
          <w:snapToGrid/>
          <w:color w:val="000000"/>
          <w:sz w:val="20"/>
        </w:rPr>
        <w:pict>
          <v:shape id="_x0000_s2309" type="#_x0000_t202" style="position:absolute;left:0;text-align:left;margin-left:422.5pt;margin-top:63.35pt;width:12pt;height:50.55pt;z-index:61" o:regroupid="11" filled="f" fillcolor="#ffadad" stroked="f">
            <v:textbox style="layout-flow:vertical;mso-layout-flow-alt:bottom-to-top" inset="0,0,0,0">
              <w:txbxContent>
                <w:p w:rsidR="00692915" w:rsidRDefault="00692915" w:rsidP="009A1C1B">
                  <w:pPr>
                    <w:ind w:firstLine="31680"/>
                    <w:jc w:val="center"/>
                    <w:rPr>
                      <w:sz w:val="15"/>
                    </w:rPr>
                  </w:pPr>
                  <w:r>
                    <w:rPr>
                      <w:rFonts w:hint="eastAsia"/>
                      <w:sz w:val="15"/>
                    </w:rPr>
                    <w:t>百分比</w:t>
                  </w:r>
                </w:p>
              </w:txbxContent>
            </v:textbox>
          </v:shape>
        </w:pict>
      </w:r>
      <w:r>
        <w:rPr>
          <w:noProof/>
          <w:snapToGrid/>
          <w:color w:val="000000"/>
          <w:sz w:val="20"/>
        </w:rPr>
        <w:pict>
          <v:shape id="_x0000_s2308" type="#_x0000_t202" style="position:absolute;left:0;text-align:left;margin-left:55.5pt;margin-top:63.35pt;width:12pt;height:48.9pt;z-index:60" o:regroupid="11" filled="f" fillcolor="#ffadad" stroked="f">
            <v:textbox style="layout-flow:vertical;mso-layout-flow-alt:bottom-to-top" inset="0,0,0,0">
              <w:txbxContent>
                <w:p w:rsidR="00692915" w:rsidRDefault="00692915" w:rsidP="009A1C1B">
                  <w:pPr>
                    <w:ind w:firstLine="31680"/>
                    <w:jc w:val="center"/>
                    <w:rPr>
                      <w:sz w:val="15"/>
                    </w:rPr>
                  </w:pPr>
                  <w:r>
                    <w:rPr>
                      <w:rFonts w:hint="eastAsia"/>
                      <w:sz w:val="15"/>
                    </w:rPr>
                    <w:t>月</w:t>
                  </w:r>
                </w:p>
              </w:txbxContent>
            </v:textbox>
          </v:shape>
        </w:pict>
      </w:r>
      <w:r>
        <w:rPr>
          <w:noProof/>
          <w:snapToGrid/>
          <w:color w:val="000000"/>
          <w:sz w:val="20"/>
        </w:rPr>
        <w:pict>
          <v:shape id="_x0000_s2311" type="#_x0000_t202" style="position:absolute;left:0;text-align:left;margin-left:132.5pt;margin-top:167.85pt;width:230.55pt;height:35.3pt;z-index:63" o:regroupid="11" filled="f" fillcolor="#ff7f7f" stroked="f">
            <v:fill color2="#ffd5d5" focus="100%" type="gradient"/>
            <v:textbox style="mso-next-textbox:#_x0000_s2311" inset=",0,,0">
              <w:txbxContent>
                <w:p w:rsidR="00692915" w:rsidRDefault="00692915">
                  <w:pPr>
                    <w:spacing w:line="240" w:lineRule="atLeast"/>
                    <w:ind w:firstLineChars="0" w:firstLine="0"/>
                    <w:rPr>
                      <w:rFonts w:hint="eastAsia"/>
                      <w:spacing w:val="0"/>
                      <w:sz w:val="15"/>
                    </w:rPr>
                  </w:pPr>
                  <w:r>
                    <w:rPr>
                      <w:rFonts w:hint="eastAsia"/>
                      <w:spacing w:val="0"/>
                      <w:sz w:val="15"/>
                    </w:rPr>
                    <w:t>去年粮食消费低下的月份</w:t>
                  </w:r>
                </w:p>
                <w:p w:rsidR="00692915" w:rsidRDefault="00692915">
                  <w:pPr>
                    <w:spacing w:line="240" w:lineRule="atLeast"/>
                    <w:ind w:firstLineChars="0" w:firstLine="0"/>
                    <w:rPr>
                      <w:rFonts w:hint="eastAsia"/>
                      <w:spacing w:val="0"/>
                      <w:sz w:val="15"/>
                    </w:rPr>
                  </w:pPr>
                  <w:r>
                    <w:rPr>
                      <w:rFonts w:hint="eastAsia"/>
                      <w:spacing w:val="0"/>
                      <w:sz w:val="15"/>
                    </w:rPr>
                    <w:t>去年没有足够稻谷和玉米可供食用的月份</w:t>
                  </w:r>
                </w:p>
                <w:p w:rsidR="00692915" w:rsidRDefault="00692915">
                  <w:pPr>
                    <w:spacing w:line="240" w:lineRule="atLeast"/>
                    <w:ind w:firstLineChars="0" w:firstLine="0"/>
                    <w:rPr>
                      <w:spacing w:val="0"/>
                      <w:sz w:val="15"/>
                    </w:rPr>
                  </w:pPr>
                  <w:r>
                    <w:rPr>
                      <w:rFonts w:hint="eastAsia"/>
                      <w:spacing w:val="0"/>
                      <w:sz w:val="15"/>
                    </w:rPr>
                    <w:t>上月食品消费不足的人口比例</w:t>
                  </w:r>
                </w:p>
              </w:txbxContent>
            </v:textbox>
          </v:shape>
        </w:pict>
      </w:r>
      <w:r>
        <w:rPr>
          <w:noProof/>
          <w:snapToGrid/>
          <w:color w:val="000000"/>
          <w:sz w:val="20"/>
        </w:rPr>
        <w:pict>
          <v:shape id="_x0000_s2310" type="#_x0000_t202" style="position:absolute;left:0;text-align:left;margin-left:93.5pt;margin-top:144.85pt;width:318pt;height:12.95pt;z-index:62" o:regroupid="11" filled="f" fillcolor="#ffa1a1" stroked="f">
            <v:textbox inset=",0,,0">
              <w:txbxContent>
                <w:p w:rsidR="00692915" w:rsidRDefault="00692915">
                  <w:pPr>
                    <w:spacing w:line="240" w:lineRule="exact"/>
                    <w:ind w:firstLineChars="0" w:firstLine="0"/>
                    <w:jc w:val="left"/>
                    <w:rPr>
                      <w:spacing w:val="0"/>
                      <w:sz w:val="15"/>
                    </w:rPr>
                  </w:pPr>
                  <w:r>
                    <w:rPr>
                      <w:rFonts w:hint="eastAsia"/>
                      <w:spacing w:val="0"/>
                      <w:sz w:val="15"/>
                    </w:rPr>
                    <w:t>全国</w:t>
                  </w:r>
                  <w:r>
                    <w:rPr>
                      <w:rFonts w:hint="eastAsia"/>
                      <w:spacing w:val="0"/>
                      <w:sz w:val="15"/>
                    </w:rPr>
                    <w:t xml:space="preserve">        </w:t>
                  </w:r>
                  <w:r>
                    <w:rPr>
                      <w:rFonts w:hint="eastAsia"/>
                      <w:spacing w:val="0"/>
                      <w:sz w:val="15"/>
                    </w:rPr>
                    <w:t>帝力</w:t>
                  </w:r>
                  <w:r>
                    <w:rPr>
                      <w:rFonts w:hint="eastAsia"/>
                      <w:spacing w:val="0"/>
                      <w:sz w:val="15"/>
                    </w:rPr>
                    <w:t>/</w:t>
                  </w:r>
                  <w:r>
                    <w:rPr>
                      <w:rFonts w:hint="eastAsia"/>
                      <w:spacing w:val="0"/>
                      <w:sz w:val="15"/>
                    </w:rPr>
                    <w:t>包考</w:t>
                  </w:r>
                  <w:r>
                    <w:rPr>
                      <w:rFonts w:hint="eastAsia"/>
                      <w:spacing w:val="0"/>
                      <w:sz w:val="15"/>
                    </w:rPr>
                    <w:t xml:space="preserve">      </w:t>
                  </w:r>
                  <w:r>
                    <w:rPr>
                      <w:rFonts w:hint="eastAsia"/>
                      <w:spacing w:val="0"/>
                      <w:sz w:val="15"/>
                    </w:rPr>
                    <w:t>其他城市</w:t>
                  </w:r>
                  <w:r>
                    <w:rPr>
                      <w:rFonts w:hint="eastAsia"/>
                      <w:spacing w:val="0"/>
                      <w:sz w:val="15"/>
                    </w:rPr>
                    <w:t xml:space="preserve">      </w:t>
                  </w:r>
                  <w:r>
                    <w:rPr>
                      <w:rFonts w:hint="eastAsia"/>
                      <w:spacing w:val="0"/>
                      <w:sz w:val="15"/>
                    </w:rPr>
                    <w:t>中部农村</w:t>
                  </w:r>
                  <w:r>
                    <w:rPr>
                      <w:rFonts w:hint="eastAsia"/>
                      <w:spacing w:val="0"/>
                      <w:sz w:val="15"/>
                    </w:rPr>
                    <w:t xml:space="preserve">       </w:t>
                  </w:r>
                  <w:r>
                    <w:rPr>
                      <w:rFonts w:hint="eastAsia"/>
                      <w:spacing w:val="0"/>
                      <w:sz w:val="15"/>
                    </w:rPr>
                    <w:t>东部农村</w:t>
                  </w:r>
                  <w:r>
                    <w:rPr>
                      <w:rFonts w:hint="eastAsia"/>
                      <w:spacing w:val="0"/>
                      <w:sz w:val="15"/>
                    </w:rPr>
                    <w:t xml:space="preserve">      </w:t>
                  </w:r>
                  <w:r>
                    <w:rPr>
                      <w:rFonts w:hint="eastAsia"/>
                      <w:spacing w:val="0"/>
                      <w:sz w:val="15"/>
                    </w:rPr>
                    <w:t>西部农村</w:t>
                  </w:r>
                </w:p>
              </w:txbxContent>
            </v:textbox>
          </v:shape>
        </w:pict>
      </w:r>
      <w:r>
        <w:rPr>
          <w:noProof/>
          <w:snapToGrid/>
          <w:color w:val="000000"/>
          <w:sz w:val="20"/>
        </w:rPr>
        <w:pict>
          <v:shape id="_x0000_s2307" type="#_x0000_t202" style="position:absolute;left:0;text-align:left;margin-left:84.5pt;margin-top:9.35pt;width:4in;height:16.3pt;z-index:59" o:regroupid="11" filled="f" fillcolor="#ffadad" stroked="f">
            <v:textbox inset=",0,,0">
              <w:txbxContent>
                <w:p w:rsidR="00692915" w:rsidRDefault="00692915" w:rsidP="009A1C1B">
                  <w:pPr>
                    <w:pStyle w:val="FootnoteText"/>
                    <w:ind w:firstLine="31680"/>
                    <w:jc w:val="center"/>
                    <w:rPr>
                      <w:rFonts w:eastAsia="SimHei"/>
                      <w:bCs/>
                      <w:sz w:val="21"/>
                    </w:rPr>
                  </w:pPr>
                  <w:r>
                    <w:rPr>
                      <w:rFonts w:eastAsia="SimHei" w:hint="eastAsia"/>
                      <w:bCs/>
                      <w:sz w:val="21"/>
                    </w:rPr>
                    <w:t>粮食安全仍然是一个问题</w:t>
                  </w:r>
                </w:p>
              </w:txbxContent>
            </v:textbox>
          </v:shape>
        </w:pict>
      </w:r>
      <w:bookmarkStart w:id="232" w:name="_MON_1261419029"/>
      <w:bookmarkEnd w:id="232"/>
      <w:r>
        <w:rPr>
          <w:color w:val="000000"/>
        </w:rPr>
        <w:object w:dxaOrig="7906" w:dyaOrig="4306">
          <v:shape id="_x0000_i1038" type="#_x0000_t75" style="width:395.25pt;height:215.25pt" o:ole="">
            <v:imagedata r:id="rId34" o:title=""/>
          </v:shape>
          <o:OLEObject Type="Embed" ProgID="Word.Picture.8" ShapeID="_x0000_i1038" DrawAspect="Content" ObjectID="_1395890547" r:id="rId35"/>
        </w:object>
      </w:r>
      <w:bookmarkStart w:id="233" w:name="_Toc132732557"/>
    </w:p>
    <w:p w:rsidR="00692915" w:rsidRDefault="00692915">
      <w:pPr>
        <w:pStyle w:val="Heading2"/>
        <w:rPr>
          <w:rFonts w:hint="eastAsia"/>
          <w:color w:val="000000"/>
        </w:rPr>
      </w:pPr>
      <w:r>
        <w:rPr>
          <w:rFonts w:hint="eastAsia"/>
          <w:color w:val="000000"/>
        </w:rPr>
        <w:t>文字专栏</w:t>
      </w:r>
      <w:r>
        <w:rPr>
          <w:color w:val="000000"/>
        </w:rPr>
        <w:t xml:space="preserve"> </w:t>
      </w:r>
      <w:r>
        <w:rPr>
          <w:noProof/>
          <w:color w:val="000000"/>
        </w:rPr>
        <w:t>7</w:t>
      </w:r>
      <w:r>
        <w:rPr>
          <w:rFonts w:hint="eastAsia"/>
          <w:noProof/>
          <w:color w:val="000000"/>
        </w:rPr>
        <w:br/>
      </w:r>
      <w:r>
        <w:rPr>
          <w:noProof/>
          <w:color w:val="000000"/>
        </w:rPr>
        <w:t>2003</w:t>
      </w:r>
      <w:bookmarkEnd w:id="233"/>
      <w:r>
        <w:rPr>
          <w:rFonts w:hint="eastAsia"/>
          <w:noProof/>
          <w:color w:val="000000"/>
        </w:rPr>
        <w:t>年粮食安全</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80"/>
      </w:tblGrid>
      <w:tr w:rsidR="00692915">
        <w:tblPrEx>
          <w:tblCellMar>
            <w:top w:w="0" w:type="dxa"/>
            <w:bottom w:w="0" w:type="dxa"/>
          </w:tblCellMar>
        </w:tblPrEx>
        <w:tc>
          <w:tcPr>
            <w:tcW w:w="7680" w:type="dxa"/>
            <w:tcBorders>
              <w:bottom w:val="nil"/>
            </w:tcBorders>
          </w:tcPr>
          <w:p w:rsidR="00692915" w:rsidRDefault="00692915">
            <w:pPr>
              <w:spacing w:beforeLines="50" w:before="180"/>
              <w:ind w:left="284" w:firstLineChars="0" w:firstLine="0"/>
              <w:rPr>
                <w:rFonts w:hint="eastAsia"/>
                <w:color w:val="000000"/>
              </w:rPr>
            </w:pPr>
            <w:bookmarkStart w:id="234" w:name="_Toc132732215"/>
            <w:bookmarkStart w:id="235" w:name="_Toc132732214"/>
            <w:bookmarkStart w:id="236" w:name="_Toc132732238"/>
            <w:r>
              <w:rPr>
                <w:rFonts w:hint="eastAsia"/>
                <w:color w:val="000000"/>
              </w:rPr>
              <w:t>2003</w:t>
            </w:r>
            <w:r>
              <w:rPr>
                <w:rFonts w:hint="eastAsia"/>
                <w:color w:val="000000"/>
              </w:rPr>
              <w:t>年人口与健康调查发现：</w:t>
            </w:r>
          </w:p>
        </w:tc>
      </w:tr>
      <w:tr w:rsidR="00692915">
        <w:tblPrEx>
          <w:tblCellMar>
            <w:top w:w="0" w:type="dxa"/>
            <w:bottom w:w="0" w:type="dxa"/>
          </w:tblCellMar>
        </w:tblPrEx>
        <w:tc>
          <w:tcPr>
            <w:tcW w:w="7680" w:type="dxa"/>
            <w:tcBorders>
              <w:top w:val="nil"/>
              <w:bottom w:val="nil"/>
            </w:tcBorders>
          </w:tcPr>
          <w:p w:rsidR="00692915" w:rsidRDefault="00692915">
            <w:pPr>
              <w:ind w:left="284" w:firstLineChars="0" w:firstLine="0"/>
              <w:rPr>
                <w:rFonts w:hint="eastAsia"/>
                <w:color w:val="000000"/>
              </w:rPr>
            </w:pPr>
            <w:r>
              <w:rPr>
                <w:rFonts w:hint="eastAsia"/>
                <w:color w:val="000000"/>
              </w:rPr>
              <w:t>49%</w:t>
            </w:r>
            <w:r>
              <w:rPr>
                <w:rFonts w:hint="eastAsia"/>
                <w:color w:val="000000"/>
              </w:rPr>
              <w:t>的家庭报告说儿童或成人缺乏粮食；</w:t>
            </w:r>
          </w:p>
        </w:tc>
      </w:tr>
      <w:tr w:rsidR="00692915">
        <w:tblPrEx>
          <w:tblCellMar>
            <w:top w:w="0" w:type="dxa"/>
            <w:bottom w:w="0" w:type="dxa"/>
          </w:tblCellMar>
        </w:tblPrEx>
        <w:tc>
          <w:tcPr>
            <w:tcW w:w="7680" w:type="dxa"/>
            <w:tcBorders>
              <w:top w:val="nil"/>
              <w:bottom w:val="nil"/>
            </w:tcBorders>
          </w:tcPr>
          <w:p w:rsidR="00692915" w:rsidRDefault="00692915">
            <w:pPr>
              <w:ind w:left="284" w:firstLineChars="0" w:firstLine="0"/>
              <w:rPr>
                <w:rFonts w:hint="eastAsia"/>
                <w:color w:val="000000"/>
              </w:rPr>
            </w:pPr>
            <w:r>
              <w:rPr>
                <w:rFonts w:hint="eastAsia"/>
                <w:color w:val="000000"/>
              </w:rPr>
              <w:t>48%</w:t>
            </w:r>
            <w:r>
              <w:rPr>
                <w:rFonts w:hint="eastAsia"/>
                <w:color w:val="000000"/>
              </w:rPr>
              <w:t>的家庭报告说成年男性缺乏粮食；</w:t>
            </w:r>
          </w:p>
        </w:tc>
      </w:tr>
      <w:tr w:rsidR="00692915">
        <w:tblPrEx>
          <w:tblCellMar>
            <w:top w:w="0" w:type="dxa"/>
            <w:bottom w:w="0" w:type="dxa"/>
          </w:tblCellMar>
        </w:tblPrEx>
        <w:tc>
          <w:tcPr>
            <w:tcW w:w="7680" w:type="dxa"/>
            <w:tcBorders>
              <w:top w:val="nil"/>
              <w:bottom w:val="nil"/>
            </w:tcBorders>
          </w:tcPr>
          <w:p w:rsidR="00692915" w:rsidRDefault="00692915">
            <w:pPr>
              <w:ind w:left="284" w:firstLineChars="0" w:firstLine="0"/>
              <w:rPr>
                <w:rFonts w:hint="eastAsia"/>
                <w:color w:val="000000"/>
              </w:rPr>
            </w:pPr>
            <w:r>
              <w:rPr>
                <w:rFonts w:hint="eastAsia"/>
                <w:color w:val="000000"/>
              </w:rPr>
              <w:t>47%</w:t>
            </w:r>
            <w:r>
              <w:rPr>
                <w:rFonts w:hint="eastAsia"/>
                <w:color w:val="000000"/>
              </w:rPr>
              <w:t>的家庭报告说成年女性缺乏粮食；</w:t>
            </w:r>
          </w:p>
        </w:tc>
      </w:tr>
      <w:tr w:rsidR="00692915">
        <w:tblPrEx>
          <w:tblCellMar>
            <w:top w:w="0" w:type="dxa"/>
            <w:bottom w:w="0" w:type="dxa"/>
          </w:tblCellMar>
        </w:tblPrEx>
        <w:tc>
          <w:tcPr>
            <w:tcW w:w="7680" w:type="dxa"/>
            <w:tcBorders>
              <w:top w:val="nil"/>
              <w:bottom w:val="nil"/>
            </w:tcBorders>
          </w:tcPr>
          <w:p w:rsidR="00692915" w:rsidRDefault="00692915">
            <w:pPr>
              <w:ind w:left="284" w:firstLineChars="0" w:firstLine="0"/>
              <w:rPr>
                <w:rFonts w:hint="eastAsia"/>
                <w:color w:val="000000"/>
              </w:rPr>
            </w:pPr>
            <w:r>
              <w:rPr>
                <w:rFonts w:hint="eastAsia"/>
                <w:color w:val="000000"/>
              </w:rPr>
              <w:t>36%</w:t>
            </w:r>
            <w:r>
              <w:rPr>
                <w:rFonts w:hint="eastAsia"/>
                <w:color w:val="000000"/>
              </w:rPr>
              <w:t>的家庭报告说</w:t>
            </w:r>
            <w:r>
              <w:rPr>
                <w:rFonts w:hint="eastAsia"/>
                <w:color w:val="000000"/>
              </w:rPr>
              <w:t>6</w:t>
            </w:r>
            <w:r>
              <w:rPr>
                <w:rFonts w:hint="eastAsia"/>
                <w:color w:val="000000"/>
              </w:rPr>
              <w:t>岁及以上儿童缺乏粮食；</w:t>
            </w:r>
          </w:p>
        </w:tc>
      </w:tr>
      <w:tr w:rsidR="00692915">
        <w:tblPrEx>
          <w:tblCellMar>
            <w:top w:w="0" w:type="dxa"/>
            <w:bottom w:w="0" w:type="dxa"/>
          </w:tblCellMar>
        </w:tblPrEx>
        <w:tc>
          <w:tcPr>
            <w:tcW w:w="7680" w:type="dxa"/>
            <w:tcBorders>
              <w:top w:val="nil"/>
            </w:tcBorders>
          </w:tcPr>
          <w:p w:rsidR="00692915" w:rsidRDefault="00692915">
            <w:pPr>
              <w:spacing w:after="120"/>
              <w:ind w:left="284" w:firstLineChars="0" w:firstLine="0"/>
              <w:rPr>
                <w:rFonts w:hint="eastAsia"/>
                <w:color w:val="000000"/>
                <w:szCs w:val="24"/>
              </w:rPr>
            </w:pPr>
            <w:r>
              <w:rPr>
                <w:rFonts w:hint="eastAsia"/>
                <w:color w:val="000000"/>
              </w:rPr>
              <w:t>7%</w:t>
            </w:r>
            <w:r>
              <w:rPr>
                <w:rFonts w:hint="eastAsia"/>
                <w:color w:val="000000"/>
              </w:rPr>
              <w:t>的家庭报告说不足</w:t>
            </w:r>
            <w:r>
              <w:rPr>
                <w:rFonts w:hint="eastAsia"/>
                <w:color w:val="000000"/>
              </w:rPr>
              <w:t>6</w:t>
            </w:r>
            <w:r>
              <w:rPr>
                <w:rFonts w:hint="eastAsia"/>
                <w:color w:val="000000"/>
              </w:rPr>
              <w:t>岁的儿童缺乏粮食。</w:t>
            </w:r>
          </w:p>
        </w:tc>
      </w:tr>
      <w:bookmarkEnd w:id="236"/>
    </w:tbl>
    <w:p w:rsidR="00692915" w:rsidRDefault="00692915" w:rsidP="009A1C1B">
      <w:pPr>
        <w:ind w:firstLine="31680"/>
        <w:rPr>
          <w:rFonts w:hint="eastAsia"/>
          <w:bCs/>
          <w:color w:val="000000"/>
        </w:rPr>
      </w:pPr>
    </w:p>
    <w:p w:rsidR="00692915" w:rsidRDefault="00692915">
      <w:pPr>
        <w:pStyle w:val="Heading5"/>
        <w:ind w:firstLineChars="0" w:firstLine="0"/>
        <w:rPr>
          <w:rFonts w:eastAsia="KaiTi_GB2312" w:hint="eastAsia"/>
          <w:b w:val="0"/>
          <w:bCs/>
          <w:i w:val="0"/>
          <w:iCs/>
          <w:color w:val="000000"/>
          <w:lang w:eastAsia="zh-CN"/>
        </w:rPr>
      </w:pPr>
      <w:r>
        <w:rPr>
          <w:rFonts w:eastAsia="KaiTi_GB2312" w:hint="eastAsia"/>
          <w:b w:val="0"/>
          <w:bCs/>
          <w:i w:val="0"/>
          <w:iCs/>
          <w:color w:val="000000"/>
          <w:lang w:eastAsia="zh-CN"/>
        </w:rPr>
        <w:t>不足最低膳食摄入量的人口比例</w:t>
      </w:r>
    </w:p>
    <w:p w:rsidR="00692915" w:rsidRDefault="00692915" w:rsidP="009A1C1B">
      <w:pPr>
        <w:ind w:firstLine="31680"/>
        <w:rPr>
          <w:rFonts w:hint="eastAsia"/>
          <w:bCs/>
          <w:color w:val="000000"/>
        </w:rPr>
      </w:pPr>
      <w:r>
        <w:rPr>
          <w:rFonts w:hint="eastAsia"/>
          <w:bCs/>
          <w:color w:val="000000"/>
        </w:rPr>
        <w:t>在东帝汶，没有关于膳食摄入量的直接数据。但是</w:t>
      </w:r>
      <w:r>
        <w:rPr>
          <w:rFonts w:hint="eastAsia"/>
          <w:bCs/>
          <w:color w:val="000000"/>
        </w:rPr>
        <w:t>2003</w:t>
      </w:r>
      <w:r>
        <w:rPr>
          <w:rFonts w:hint="eastAsia"/>
          <w:bCs/>
          <w:color w:val="000000"/>
        </w:rPr>
        <w:t>年人口与健康调查有关营养的结果显示，有相当大一部分人的膳食摄入量经常不足常规的最低水平：</w:t>
      </w:r>
    </w:p>
    <w:p w:rsidR="00692915" w:rsidRDefault="00692915" w:rsidP="009A1C1B">
      <w:pPr>
        <w:numPr>
          <w:ilvl w:val="0"/>
          <w:numId w:val="7"/>
        </w:numPr>
        <w:tabs>
          <w:tab w:val="clear" w:pos="927"/>
          <w:tab w:val="num" w:pos="1040"/>
        </w:tabs>
        <w:ind w:leftChars="200" w:left="31680" w:hangingChars="200" w:firstLine="31680"/>
        <w:rPr>
          <w:bCs/>
          <w:color w:val="000000"/>
        </w:rPr>
      </w:pPr>
      <w:r>
        <w:rPr>
          <w:rFonts w:hint="eastAsia"/>
          <w:bCs/>
          <w:color w:val="000000"/>
        </w:rPr>
        <w:t>49%</w:t>
      </w:r>
      <w:r>
        <w:rPr>
          <w:rFonts w:hint="eastAsia"/>
          <w:bCs/>
          <w:color w:val="000000"/>
        </w:rPr>
        <w:t>的家庭报告说，头年的某个期间儿童或成人的粮食不足；</w:t>
      </w:r>
    </w:p>
    <w:p w:rsidR="00692915" w:rsidRDefault="00692915" w:rsidP="009A1C1B">
      <w:pPr>
        <w:numPr>
          <w:ilvl w:val="0"/>
          <w:numId w:val="7"/>
        </w:numPr>
        <w:tabs>
          <w:tab w:val="clear" w:pos="927"/>
          <w:tab w:val="num" w:pos="1040"/>
        </w:tabs>
        <w:ind w:leftChars="200" w:left="31680" w:hangingChars="200" w:firstLine="31680"/>
        <w:rPr>
          <w:bCs/>
          <w:color w:val="000000"/>
        </w:rPr>
      </w:pPr>
      <w:r>
        <w:rPr>
          <w:rFonts w:hint="eastAsia"/>
          <w:bCs/>
          <w:color w:val="000000"/>
        </w:rPr>
        <w:t>在非怀孕的妇女中，有</w:t>
      </w:r>
      <w:r>
        <w:rPr>
          <w:rFonts w:hint="eastAsia"/>
          <w:bCs/>
          <w:color w:val="000000"/>
        </w:rPr>
        <w:t>38%</w:t>
      </w:r>
      <w:r>
        <w:rPr>
          <w:rFonts w:hint="eastAsia"/>
          <w:bCs/>
          <w:color w:val="000000"/>
        </w:rPr>
        <w:t>的体重指数（</w:t>
      </w:r>
      <w:r>
        <w:rPr>
          <w:bCs/>
          <w:color w:val="000000"/>
        </w:rPr>
        <w:t>BMI</w:t>
      </w:r>
      <w:r>
        <w:rPr>
          <w:rFonts w:hint="eastAsia"/>
          <w:bCs/>
          <w:color w:val="000000"/>
        </w:rPr>
        <w:t>）低下。请注意，体重指数（</w:t>
      </w:r>
      <w:r>
        <w:rPr>
          <w:bCs/>
          <w:color w:val="000000"/>
        </w:rPr>
        <w:t>BMI</w:t>
      </w:r>
      <w:r>
        <w:rPr>
          <w:rFonts w:hint="eastAsia"/>
          <w:bCs/>
          <w:color w:val="000000"/>
        </w:rPr>
        <w:t>）是衡量身材和慢性能量不足症（</w:t>
      </w:r>
      <w:r>
        <w:rPr>
          <w:bCs/>
          <w:color w:val="000000"/>
        </w:rPr>
        <w:t>CED</w:t>
      </w:r>
      <w:r>
        <w:rPr>
          <w:rFonts w:hint="eastAsia"/>
          <w:bCs/>
          <w:color w:val="000000"/>
        </w:rPr>
        <w:t>）的一项指标。较年轻和较年长妇女的慢性能量不足症较严重，但在</w:t>
      </w:r>
      <w:r>
        <w:rPr>
          <w:rFonts w:hint="eastAsia"/>
          <w:bCs/>
          <w:color w:val="000000"/>
        </w:rPr>
        <w:t>45-49</w:t>
      </w:r>
      <w:r>
        <w:rPr>
          <w:rFonts w:hint="eastAsia"/>
          <w:bCs/>
          <w:color w:val="000000"/>
        </w:rPr>
        <w:t>岁的妇女、贫困家庭的妇女、没有受过教育的妇女以及来自西部农村、中部农村和高地的妇女中，这种情况最严重；</w:t>
      </w:r>
    </w:p>
    <w:p w:rsidR="00692915" w:rsidRDefault="00692915" w:rsidP="009A1C1B">
      <w:pPr>
        <w:numPr>
          <w:ilvl w:val="0"/>
          <w:numId w:val="7"/>
        </w:numPr>
        <w:tabs>
          <w:tab w:val="clear" w:pos="927"/>
          <w:tab w:val="num" w:pos="1040"/>
        </w:tabs>
        <w:ind w:leftChars="200" w:left="31680" w:hangingChars="200" w:firstLine="31680"/>
        <w:rPr>
          <w:bCs/>
          <w:color w:val="000000"/>
        </w:rPr>
      </w:pPr>
      <w:r>
        <w:rPr>
          <w:rFonts w:hint="eastAsia"/>
          <w:bCs/>
          <w:color w:val="000000"/>
        </w:rPr>
        <w:t>13%</w:t>
      </w:r>
      <w:r>
        <w:rPr>
          <w:rFonts w:hint="eastAsia"/>
          <w:bCs/>
          <w:color w:val="000000"/>
        </w:rPr>
        <w:t>的非怀孕妇女身材短小；</w:t>
      </w:r>
    </w:p>
    <w:p w:rsidR="00692915" w:rsidRDefault="00692915" w:rsidP="009A1C1B">
      <w:pPr>
        <w:numPr>
          <w:ilvl w:val="0"/>
          <w:numId w:val="7"/>
        </w:numPr>
        <w:tabs>
          <w:tab w:val="clear" w:pos="927"/>
          <w:tab w:val="num" w:pos="1040"/>
        </w:tabs>
        <w:spacing w:after="240"/>
        <w:ind w:leftChars="200" w:left="31680" w:hangingChars="200" w:firstLine="31680"/>
        <w:rPr>
          <w:bCs/>
          <w:color w:val="000000"/>
        </w:rPr>
      </w:pPr>
      <w:r>
        <w:rPr>
          <w:rFonts w:hint="eastAsia"/>
          <w:bCs/>
          <w:color w:val="000000"/>
        </w:rPr>
        <w:t>在</w:t>
      </w:r>
      <w:r>
        <w:rPr>
          <w:rFonts w:hint="eastAsia"/>
          <w:bCs/>
          <w:color w:val="000000"/>
        </w:rPr>
        <w:t>15-54</w:t>
      </w:r>
      <w:r>
        <w:rPr>
          <w:rFonts w:hint="eastAsia"/>
          <w:bCs/>
          <w:color w:val="000000"/>
        </w:rPr>
        <w:t>岁的已婚男性中，体重指数低下的占</w:t>
      </w:r>
      <w:r>
        <w:rPr>
          <w:rFonts w:hint="eastAsia"/>
          <w:bCs/>
          <w:color w:val="000000"/>
        </w:rPr>
        <w:t>26%</w:t>
      </w:r>
      <w:r>
        <w:rPr>
          <w:rFonts w:hint="eastAsia"/>
          <w:bCs/>
          <w:color w:val="000000"/>
        </w:rPr>
        <w:t>，尽管这一比例很高，但与育龄妇女相比，却低出很多。</w:t>
      </w:r>
    </w:p>
    <w:bookmarkEnd w:id="234"/>
    <w:bookmarkEnd w:id="235"/>
    <w:p w:rsidR="00692915" w:rsidRDefault="00692915">
      <w:pPr>
        <w:pStyle w:val="Heading5"/>
        <w:ind w:firstLineChars="0" w:firstLine="0"/>
        <w:rPr>
          <w:rFonts w:hint="eastAsia"/>
          <w:b w:val="0"/>
          <w:bCs/>
          <w:color w:val="000000"/>
          <w:lang w:eastAsia="zh-CN"/>
        </w:rPr>
      </w:pPr>
      <w:r>
        <w:rPr>
          <w:rFonts w:eastAsia="KaiTi_GB2312" w:hint="eastAsia"/>
          <w:b w:val="0"/>
          <w:bCs/>
          <w:i w:val="0"/>
          <w:iCs/>
          <w:color w:val="000000"/>
          <w:lang w:eastAsia="zh-CN"/>
        </w:rPr>
        <w:t>儿童营养状况</w:t>
      </w:r>
    </w:p>
    <w:p w:rsidR="00692915" w:rsidRDefault="00692915" w:rsidP="009A1C1B">
      <w:pPr>
        <w:ind w:firstLine="31680"/>
        <w:rPr>
          <w:rFonts w:hint="eastAsia"/>
          <w:bCs/>
          <w:color w:val="000000"/>
        </w:rPr>
      </w:pPr>
      <w:r>
        <w:rPr>
          <w:rFonts w:hint="eastAsia"/>
          <w:bCs/>
          <w:color w:val="000000"/>
        </w:rPr>
        <w:t>5</w:t>
      </w:r>
      <w:r>
        <w:rPr>
          <w:rFonts w:hint="eastAsia"/>
          <w:bCs/>
          <w:color w:val="000000"/>
        </w:rPr>
        <w:t>岁以下儿童营养不良提高了发病率和死亡率。对于年纪较长的儿童来说，如果其在三岁以下时的发育迟缓，那么其追赶性增长的可能性将很小。</w:t>
      </w:r>
    </w:p>
    <w:p w:rsidR="00692915" w:rsidRDefault="00692915" w:rsidP="009A1C1B">
      <w:pPr>
        <w:ind w:firstLine="31680"/>
        <w:rPr>
          <w:rFonts w:hint="eastAsia"/>
          <w:bCs/>
          <w:color w:val="000000"/>
        </w:rPr>
      </w:pPr>
      <w:r>
        <w:rPr>
          <w:rFonts w:hint="eastAsia"/>
          <w:bCs/>
          <w:color w:val="000000"/>
        </w:rPr>
        <w:t>体重不足的情况很普遍，但是女孩和男孩之间没有差异。母亲如果身材短小或体重指数低下，其子女更有可能体重不足。在西部农村地区，体重不足的情况最普遍。</w:t>
      </w:r>
    </w:p>
    <w:p w:rsidR="00692915" w:rsidRDefault="00692915" w:rsidP="009A1C1B">
      <w:pPr>
        <w:spacing w:after="240"/>
        <w:ind w:firstLine="31680"/>
        <w:rPr>
          <w:rFonts w:hint="eastAsia"/>
          <w:bCs/>
          <w:color w:val="000000"/>
        </w:rPr>
      </w:pPr>
      <w:r>
        <w:rPr>
          <w:rFonts w:hint="eastAsia"/>
          <w:bCs/>
          <w:color w:val="000000"/>
        </w:rPr>
        <w:t>男孩发育迟缓的情况略多于女孩。母亲如果身材短小或体重指数低下，其子女更有可能发育迟缓。根据报告情况，出生的婴儿，体重越轻，发育迟缓的情况就越普遍，这种情况在</w:t>
      </w:r>
      <w:r>
        <w:rPr>
          <w:rFonts w:hint="eastAsia"/>
          <w:bCs/>
          <w:color w:val="000000"/>
        </w:rPr>
        <w:t>12-17</w:t>
      </w:r>
      <w:r>
        <w:rPr>
          <w:rFonts w:hint="eastAsia"/>
          <w:bCs/>
          <w:color w:val="000000"/>
        </w:rPr>
        <w:t>个月的儿童中尤其明显，因为在这一年龄段，发育迟缓的问题会变得更加普遍，而且出生的重量可能仍然对营养状况构成影响。</w:t>
      </w:r>
    </w:p>
    <w:p w:rsidR="00692915" w:rsidRDefault="00692915">
      <w:pPr>
        <w:pStyle w:val="Heading5"/>
        <w:ind w:firstLineChars="0" w:firstLine="0"/>
        <w:rPr>
          <w:rFonts w:eastAsia="KaiTi_GB2312" w:hint="eastAsia"/>
          <w:b w:val="0"/>
          <w:bCs/>
          <w:i w:val="0"/>
          <w:iCs/>
          <w:color w:val="000000"/>
          <w:lang w:eastAsia="zh-CN"/>
        </w:rPr>
      </w:pPr>
      <w:r>
        <w:rPr>
          <w:rFonts w:eastAsia="KaiTi_GB2312" w:hint="eastAsia"/>
          <w:b w:val="0"/>
          <w:bCs/>
          <w:i w:val="0"/>
          <w:iCs/>
          <w:color w:val="000000"/>
          <w:lang w:eastAsia="zh-CN"/>
        </w:rPr>
        <w:t>儿童消瘦</w:t>
      </w:r>
    </w:p>
    <w:p w:rsidR="00692915" w:rsidRDefault="00692915" w:rsidP="009A1C1B">
      <w:pPr>
        <w:ind w:firstLine="31680"/>
        <w:rPr>
          <w:rFonts w:hint="eastAsia"/>
          <w:bCs/>
          <w:color w:val="000000"/>
        </w:rPr>
      </w:pPr>
      <w:r>
        <w:rPr>
          <w:rFonts w:hint="eastAsia"/>
          <w:bCs/>
          <w:color w:val="000000"/>
        </w:rPr>
        <w:t>如果儿童体重相对于身高来说偏轻，那么就为</w:t>
      </w:r>
      <w:r>
        <w:rPr>
          <w:rFonts w:eastAsia="KaiTi_GB2312" w:hint="eastAsia"/>
          <w:bCs/>
          <w:color w:val="000000"/>
        </w:rPr>
        <w:t>消瘦</w:t>
      </w:r>
      <w:r>
        <w:rPr>
          <w:rFonts w:hint="eastAsia"/>
          <w:bCs/>
          <w:color w:val="000000"/>
        </w:rPr>
        <w:t>。男孩消瘦的情况略多于女孩的情况。在</w:t>
      </w:r>
      <w:r>
        <w:rPr>
          <w:rFonts w:hint="eastAsia"/>
          <w:bCs/>
          <w:color w:val="000000"/>
        </w:rPr>
        <w:t>12-19</w:t>
      </w:r>
      <w:r>
        <w:rPr>
          <w:rFonts w:hint="eastAsia"/>
          <w:bCs/>
          <w:color w:val="000000"/>
        </w:rPr>
        <w:t>个月年龄组，消瘦达到高峰，在这个阶段，很多儿童开始断奶，面临着急性传染病方面的风险。在</w:t>
      </w:r>
      <w:r>
        <w:rPr>
          <w:rFonts w:hint="eastAsia"/>
          <w:bCs/>
          <w:color w:val="000000"/>
        </w:rPr>
        <w:t>5</w:t>
      </w:r>
      <w:r>
        <w:rPr>
          <w:rFonts w:hint="eastAsia"/>
          <w:bCs/>
          <w:color w:val="000000"/>
        </w:rPr>
        <w:t>岁以下的儿童中，有</w:t>
      </w:r>
      <w:r>
        <w:rPr>
          <w:rFonts w:hint="eastAsia"/>
          <w:bCs/>
          <w:color w:val="000000"/>
        </w:rPr>
        <w:t>12%</w:t>
      </w:r>
      <w:r>
        <w:rPr>
          <w:rFonts w:hint="eastAsia"/>
          <w:bCs/>
          <w:color w:val="000000"/>
        </w:rPr>
        <w:t>的消瘦，有将近</w:t>
      </w:r>
      <w:r>
        <w:rPr>
          <w:rFonts w:hint="eastAsia"/>
          <w:bCs/>
          <w:color w:val="000000"/>
        </w:rPr>
        <w:t>3%</w:t>
      </w:r>
      <w:r>
        <w:rPr>
          <w:rFonts w:hint="eastAsia"/>
          <w:bCs/>
          <w:color w:val="000000"/>
        </w:rPr>
        <w:t>的严重消瘦。母亲如果体重指数低下，那么其子女更有可能消瘦，母亲如果身材短小，那么其子女也更有可能消瘦。西部农村地区的消瘦情况最严重，但在城市地区消瘦情况也很普遍。</w:t>
      </w:r>
    </w:p>
    <w:p w:rsidR="00692915" w:rsidRDefault="00692915" w:rsidP="009A1C1B">
      <w:pPr>
        <w:ind w:firstLine="31680"/>
        <w:rPr>
          <w:rFonts w:hint="eastAsia"/>
          <w:color w:val="000000"/>
        </w:rPr>
      </w:pPr>
      <w:bookmarkStart w:id="237" w:name="_Toc132732300"/>
      <w:r>
        <w:rPr>
          <w:rFonts w:hint="eastAsia"/>
          <w:bCs/>
          <w:color w:val="000000"/>
        </w:rPr>
        <w:t>如果将</w:t>
      </w:r>
      <w:r>
        <w:rPr>
          <w:rFonts w:hint="eastAsia"/>
          <w:bCs/>
          <w:color w:val="000000"/>
        </w:rPr>
        <w:t>5</w:t>
      </w:r>
      <w:r>
        <w:rPr>
          <w:rFonts w:hint="eastAsia"/>
          <w:bCs/>
          <w:color w:val="000000"/>
        </w:rPr>
        <w:t>岁以下儿童的消瘦情况和发育迟缓情况进行比较，将有助于发现那些在发病率或死亡率方面面临最大风险的儿童。</w:t>
      </w:r>
    </w:p>
    <w:p w:rsidR="00692915" w:rsidRDefault="00692915">
      <w:pPr>
        <w:pStyle w:val="Heading2"/>
        <w:spacing w:before="120" w:after="0"/>
        <w:rPr>
          <w:rFonts w:hint="eastAsia"/>
          <w:color w:val="000000"/>
          <w:sz w:val="24"/>
        </w:rPr>
      </w:pPr>
      <w:r>
        <w:rPr>
          <w:rFonts w:hint="eastAsia"/>
          <w:color w:val="000000"/>
          <w:sz w:val="24"/>
        </w:rPr>
        <w:t>图</w:t>
      </w:r>
      <w:r>
        <w:rPr>
          <w:color w:val="000000"/>
          <w:sz w:val="24"/>
        </w:rPr>
        <w:t xml:space="preserve"> </w:t>
      </w:r>
      <w:r>
        <w:rPr>
          <w:noProof/>
          <w:color w:val="000000"/>
          <w:sz w:val="24"/>
        </w:rPr>
        <w:t>15</w:t>
      </w:r>
      <w:r>
        <w:rPr>
          <w:rFonts w:hint="eastAsia"/>
          <w:noProof/>
          <w:color w:val="000000"/>
          <w:sz w:val="24"/>
        </w:rPr>
        <w:br/>
      </w:r>
      <w:bookmarkEnd w:id="237"/>
      <w:r>
        <w:rPr>
          <w:rFonts w:hint="eastAsia"/>
          <w:color w:val="000000"/>
          <w:sz w:val="24"/>
        </w:rPr>
        <w:t xml:space="preserve"> 5</w:t>
      </w:r>
      <w:r>
        <w:rPr>
          <w:rFonts w:hint="eastAsia"/>
          <w:color w:val="000000"/>
          <w:sz w:val="24"/>
        </w:rPr>
        <w:t>岁以下儿童消瘦情况与发育迟缓情况的“</w:t>
      </w:r>
      <w:r>
        <w:rPr>
          <w:color w:val="000000"/>
          <w:sz w:val="24"/>
        </w:rPr>
        <w:br/>
      </w:r>
      <w:r>
        <w:rPr>
          <w:rFonts w:hint="eastAsia"/>
          <w:color w:val="000000"/>
          <w:sz w:val="24"/>
        </w:rPr>
        <w:t>沃特洛（</w:t>
      </w:r>
      <w:r>
        <w:rPr>
          <w:color w:val="000000"/>
          <w:sz w:val="24"/>
        </w:rPr>
        <w:t>Waterlow</w:t>
      </w:r>
      <w:r>
        <w:rPr>
          <w:rFonts w:hint="eastAsia"/>
          <w:color w:val="000000"/>
          <w:sz w:val="24"/>
        </w:rPr>
        <w:t>）”比较（</w:t>
      </w:r>
      <w:r>
        <w:rPr>
          <w:rFonts w:hint="eastAsia"/>
          <w:color w:val="000000"/>
          <w:sz w:val="24"/>
        </w:rPr>
        <w:t>%</w:t>
      </w:r>
      <w:r>
        <w:rPr>
          <w:rFonts w:hint="eastAsia"/>
          <w:color w:val="000000"/>
          <w:sz w:val="24"/>
        </w:rPr>
        <w:t>），</w:t>
      </w:r>
      <w:r>
        <w:rPr>
          <w:rFonts w:hint="eastAsia"/>
          <w:color w:val="000000"/>
          <w:sz w:val="24"/>
        </w:rPr>
        <w:t>2003</w:t>
      </w:r>
      <w:r>
        <w:rPr>
          <w:rFonts w:hint="eastAsia"/>
          <w:color w:val="000000"/>
          <w:sz w:val="24"/>
        </w:rPr>
        <w:t>年人口与健康调查</w:t>
      </w:r>
    </w:p>
    <w:p w:rsidR="00692915" w:rsidRDefault="00692915">
      <w:pPr>
        <w:ind w:firstLineChars="0" w:firstLine="0"/>
        <w:jc w:val="center"/>
        <w:rPr>
          <w:color w:val="000000"/>
        </w:rPr>
      </w:pPr>
      <w:r>
        <w:rPr>
          <w:i/>
          <w:noProof/>
          <w:snapToGrid/>
          <w:color w:val="000000"/>
          <w:sz w:val="20"/>
        </w:rPr>
        <w:pict>
          <v:shape id="_x0000_s2314" type="#_x0000_t202" style="position:absolute;left:0;text-align:left;margin-left:77.5pt;margin-top:192pt;width:351.5pt;height:24.45pt;z-index:65" o:regroupid="12" filled="f" fillcolor="#ff7f7f" stroked="f">
            <v:fill color2="#f7a5a5" angle="-90" type="gradient"/>
            <v:textbox>
              <w:txbxContent>
                <w:p w:rsidR="00692915" w:rsidRDefault="00692915">
                  <w:pPr>
                    <w:pStyle w:val="FootnoteText"/>
                    <w:ind w:firstLineChars="0" w:firstLine="0"/>
                    <w:jc w:val="left"/>
                    <w:rPr>
                      <w:rFonts w:eastAsia="SimSun"/>
                      <w:iCs/>
                      <w:sz w:val="18"/>
                    </w:rPr>
                  </w:pPr>
                  <w:r>
                    <w:rPr>
                      <w:rFonts w:eastAsia="SimSun" w:hint="eastAsia"/>
                      <w:iCs/>
                      <w:sz w:val="18"/>
                    </w:rPr>
                    <w:t>单纯消瘦</w:t>
                  </w:r>
                  <w:r>
                    <w:rPr>
                      <w:rFonts w:eastAsia="SimSun" w:hint="eastAsia"/>
                      <w:iCs/>
                      <w:sz w:val="18"/>
                    </w:rPr>
                    <w:t xml:space="preserve">         </w:t>
                  </w:r>
                  <w:r>
                    <w:rPr>
                      <w:rFonts w:eastAsia="SimSun" w:hint="eastAsia"/>
                      <w:iCs/>
                      <w:sz w:val="18"/>
                    </w:rPr>
                    <w:t>消瘦而且发育迟缓</w:t>
                  </w:r>
                  <w:r>
                    <w:rPr>
                      <w:rFonts w:eastAsia="SimSun" w:hint="eastAsia"/>
                      <w:iCs/>
                      <w:sz w:val="18"/>
                    </w:rPr>
                    <w:t xml:space="preserve">        </w:t>
                  </w:r>
                  <w:r>
                    <w:rPr>
                      <w:rFonts w:eastAsia="SimSun" w:hint="eastAsia"/>
                      <w:iCs/>
                      <w:sz w:val="18"/>
                    </w:rPr>
                    <w:t>单纯发育迟缓</w:t>
                  </w:r>
                  <w:r>
                    <w:rPr>
                      <w:rFonts w:eastAsia="SimSun" w:hint="eastAsia"/>
                      <w:iCs/>
                      <w:sz w:val="18"/>
                    </w:rPr>
                    <w:t xml:space="preserve">            </w:t>
                  </w:r>
                  <w:r>
                    <w:rPr>
                      <w:rFonts w:eastAsia="SimSun" w:hint="eastAsia"/>
                      <w:iCs/>
                      <w:sz w:val="18"/>
                    </w:rPr>
                    <w:t>正常</w:t>
                  </w:r>
                </w:p>
              </w:txbxContent>
            </v:textbox>
          </v:shape>
        </w:pict>
      </w:r>
      <w:r>
        <w:rPr>
          <w:i/>
          <w:noProof/>
          <w:snapToGrid/>
          <w:color w:val="000000"/>
          <w:sz w:val="20"/>
        </w:rPr>
        <w:pict>
          <v:shape id="_x0000_s2316" type="#_x0000_t202" style="position:absolute;left:0;text-align:left;margin-left:226.45pt;margin-top:49.9pt;width:48pt;height:16.3pt;z-index:67" o:regroupid="12" filled="f" stroked="f">
            <v:textbox inset=".5mm,.3mm,,.3mm">
              <w:txbxContent>
                <w:p w:rsidR="00692915" w:rsidRDefault="00692915">
                  <w:pPr>
                    <w:ind w:firstLineChars="0" w:firstLine="0"/>
                    <w:rPr>
                      <w:b/>
                      <w:bCs/>
                      <w:sz w:val="18"/>
                    </w:rPr>
                  </w:pPr>
                  <w:r>
                    <w:rPr>
                      <w:rFonts w:hint="eastAsia"/>
                      <w:iCs/>
                      <w:sz w:val="18"/>
                    </w:rPr>
                    <w:t>男孩</w:t>
                  </w:r>
                </w:p>
              </w:txbxContent>
            </v:textbox>
          </v:shape>
        </w:pict>
      </w:r>
      <w:r>
        <w:rPr>
          <w:i/>
          <w:noProof/>
          <w:snapToGrid/>
          <w:color w:val="000000"/>
          <w:sz w:val="20"/>
        </w:rPr>
        <w:pict>
          <v:shape id="_x0000_s2315" type="#_x0000_t202" style="position:absolute;left:0;text-align:left;margin-left:120pt;margin-top:49.6pt;width:48pt;height:16.3pt;z-index:66" o:regroupid="12" filled="f" stroked="f">
            <v:textbox inset=".5mm,.3mm,,.3mm">
              <w:txbxContent>
                <w:p w:rsidR="00692915" w:rsidRDefault="00692915">
                  <w:pPr>
                    <w:ind w:firstLineChars="0" w:firstLine="0"/>
                    <w:rPr>
                      <w:sz w:val="18"/>
                    </w:rPr>
                  </w:pPr>
                  <w:r>
                    <w:rPr>
                      <w:rFonts w:hint="eastAsia"/>
                      <w:iCs/>
                      <w:sz w:val="18"/>
                    </w:rPr>
                    <w:t>女孩</w:t>
                  </w:r>
                </w:p>
              </w:txbxContent>
            </v:textbox>
          </v:shape>
        </w:pict>
      </w:r>
      <w:r>
        <w:rPr>
          <w:i/>
          <w:noProof/>
          <w:snapToGrid/>
          <w:color w:val="000000"/>
          <w:sz w:val="20"/>
        </w:rPr>
        <w:pict>
          <v:shape id="_x0000_s2313" type="#_x0000_t202" style="position:absolute;left:0;text-align:left;margin-left:1in;margin-top:6.75pt;width:330pt;height:24.45pt;z-index:64" o:regroupid="12" filled="f" fillcolor="#ff5d5d" stroked="f">
            <v:fill color2="#ff7f7f" angle="-90" type="gradient"/>
            <v:textbox>
              <w:txbxContent>
                <w:p w:rsidR="00692915" w:rsidRDefault="00692915">
                  <w:pPr>
                    <w:ind w:firstLineChars="0" w:firstLine="0"/>
                    <w:jc w:val="center"/>
                    <w:rPr>
                      <w:rFonts w:eastAsia="SimHei"/>
                      <w:sz w:val="21"/>
                    </w:rPr>
                  </w:pPr>
                  <w:r>
                    <w:rPr>
                      <w:rFonts w:eastAsia="SimHei" w:hint="eastAsia"/>
                      <w:iCs/>
                      <w:sz w:val="21"/>
                    </w:rPr>
                    <w:t>在正常发育模式中女孩稍多于男孩</w:t>
                  </w:r>
                </w:p>
              </w:txbxContent>
            </v:textbox>
          </v:shape>
        </w:pict>
      </w:r>
      <w:bookmarkStart w:id="238" w:name="_MON_1261419831"/>
      <w:bookmarkStart w:id="239" w:name="_MON_1261422861"/>
      <w:bookmarkEnd w:id="238"/>
      <w:bookmarkEnd w:id="239"/>
      <w:r>
        <w:rPr>
          <w:color w:val="000000"/>
        </w:rPr>
        <w:object w:dxaOrig="8491" w:dyaOrig="4516">
          <v:shape id="_x0000_i1039" type="#_x0000_t75" style="width:424.5pt;height:225.75pt" o:ole="">
            <v:imagedata r:id="rId36" o:title=""/>
          </v:shape>
          <o:OLEObject Type="Embed" ProgID="Word.Picture.8" ShapeID="_x0000_i1039" DrawAspect="Content" ObjectID="_1395890548" r:id="rId37"/>
        </w:object>
      </w:r>
    </w:p>
    <w:p w:rsidR="00692915" w:rsidRDefault="00692915" w:rsidP="009A1C1B">
      <w:pPr>
        <w:spacing w:before="120" w:after="240"/>
        <w:ind w:firstLine="31680"/>
        <w:rPr>
          <w:rFonts w:hint="eastAsia"/>
          <w:iCs/>
          <w:color w:val="000000"/>
          <w:sz w:val="21"/>
        </w:rPr>
      </w:pPr>
      <w:r>
        <w:rPr>
          <w:rFonts w:eastAsia="KaiTi_GB2312" w:hint="eastAsia"/>
          <w:iCs/>
          <w:color w:val="000000"/>
          <w:sz w:val="21"/>
        </w:rPr>
        <w:t>资料来源</w:t>
      </w:r>
      <w:r>
        <w:rPr>
          <w:rFonts w:hint="eastAsia"/>
          <w:iCs/>
          <w:color w:val="000000"/>
          <w:sz w:val="21"/>
        </w:rPr>
        <w:t>：《</w:t>
      </w:r>
      <w:r>
        <w:rPr>
          <w:rFonts w:hint="eastAsia"/>
          <w:iCs/>
          <w:color w:val="000000"/>
          <w:sz w:val="21"/>
        </w:rPr>
        <w:t>2003</w:t>
      </w:r>
      <w:r>
        <w:rPr>
          <w:rFonts w:hint="eastAsia"/>
          <w:iCs/>
          <w:color w:val="000000"/>
          <w:sz w:val="21"/>
        </w:rPr>
        <w:t>年东帝汶人口与健康调查》，根据第</w:t>
      </w:r>
      <w:r>
        <w:rPr>
          <w:rFonts w:hint="eastAsia"/>
          <w:iCs/>
          <w:color w:val="000000"/>
          <w:sz w:val="21"/>
        </w:rPr>
        <w:t>13</w:t>
      </w:r>
      <w:r>
        <w:rPr>
          <w:rFonts w:hint="eastAsia"/>
          <w:iCs/>
          <w:color w:val="000000"/>
          <w:sz w:val="21"/>
        </w:rPr>
        <w:t>章表</w:t>
      </w:r>
      <w:r>
        <w:rPr>
          <w:iCs/>
          <w:color w:val="000000"/>
          <w:sz w:val="21"/>
        </w:rPr>
        <w:t>13.12</w:t>
      </w:r>
      <w:r>
        <w:rPr>
          <w:rFonts w:hint="eastAsia"/>
          <w:iCs/>
          <w:color w:val="000000"/>
          <w:sz w:val="21"/>
        </w:rPr>
        <w:t>改编。</w:t>
      </w:r>
    </w:p>
    <w:p w:rsidR="00692915" w:rsidRDefault="00692915" w:rsidP="009A1C1B">
      <w:pPr>
        <w:ind w:firstLine="31680"/>
        <w:rPr>
          <w:rFonts w:hint="eastAsia"/>
          <w:bCs/>
          <w:color w:val="000000"/>
        </w:rPr>
      </w:pPr>
      <w:r>
        <w:rPr>
          <w:rFonts w:hint="eastAsia"/>
          <w:bCs/>
          <w:color w:val="000000"/>
        </w:rPr>
        <w:t>单纯消瘦的男孩和女孩各占</w:t>
      </w:r>
      <w:r>
        <w:rPr>
          <w:rFonts w:hint="eastAsia"/>
          <w:bCs/>
          <w:color w:val="000000"/>
        </w:rPr>
        <w:t>8%</w:t>
      </w:r>
      <w:r>
        <w:rPr>
          <w:rFonts w:hint="eastAsia"/>
          <w:bCs/>
          <w:color w:val="000000"/>
        </w:rPr>
        <w:t>，他们很可能在最近有过急性疾病，在经过适当饮食调整之后，将会很快恢复。</w:t>
      </w:r>
    </w:p>
    <w:p w:rsidR="00692915" w:rsidRDefault="00692915" w:rsidP="009A1C1B">
      <w:pPr>
        <w:ind w:firstLine="31680"/>
        <w:rPr>
          <w:rFonts w:hint="eastAsia"/>
          <w:bCs/>
          <w:color w:val="000000"/>
        </w:rPr>
      </w:pPr>
      <w:r>
        <w:rPr>
          <w:rFonts w:hint="eastAsia"/>
          <w:bCs/>
          <w:color w:val="000000"/>
        </w:rPr>
        <w:t>在儿童中，</w:t>
      </w:r>
      <w:r>
        <w:rPr>
          <w:rFonts w:hint="eastAsia"/>
          <w:bCs/>
          <w:color w:val="000000"/>
        </w:rPr>
        <w:t>4%</w:t>
      </w:r>
      <w:r>
        <w:rPr>
          <w:rFonts w:hint="eastAsia"/>
          <w:bCs/>
          <w:color w:val="000000"/>
        </w:rPr>
        <w:t>既消瘦又发育迟缓的人群很容易在身体方面受到侵害，他们面临疾病和死亡的风险很大。</w:t>
      </w:r>
    </w:p>
    <w:p w:rsidR="00692915" w:rsidRDefault="00692915" w:rsidP="009A1C1B">
      <w:pPr>
        <w:ind w:firstLine="31680"/>
        <w:rPr>
          <w:rFonts w:hint="eastAsia"/>
          <w:bCs/>
          <w:color w:val="000000"/>
        </w:rPr>
      </w:pPr>
      <w:r>
        <w:rPr>
          <w:rFonts w:hint="eastAsia"/>
          <w:bCs/>
          <w:color w:val="000000"/>
        </w:rPr>
        <w:t>有</w:t>
      </w:r>
      <w:r>
        <w:rPr>
          <w:rFonts w:hint="eastAsia"/>
          <w:bCs/>
          <w:color w:val="000000"/>
        </w:rPr>
        <w:t>45%</w:t>
      </w:r>
      <w:r>
        <w:rPr>
          <w:rFonts w:hint="eastAsia"/>
          <w:bCs/>
          <w:color w:val="000000"/>
        </w:rPr>
        <w:t>的男孩和</w:t>
      </w:r>
      <w:r>
        <w:rPr>
          <w:rFonts w:hint="eastAsia"/>
          <w:bCs/>
          <w:color w:val="000000"/>
        </w:rPr>
        <w:t>43%</w:t>
      </w:r>
      <w:r>
        <w:rPr>
          <w:rFonts w:hint="eastAsia"/>
          <w:bCs/>
          <w:color w:val="000000"/>
        </w:rPr>
        <w:t>的女孩只是发育迟缓，这说明膳食不足所带来的长期影响，以及反复生病所带来的影响。</w:t>
      </w:r>
    </w:p>
    <w:p w:rsidR="00692915" w:rsidRDefault="00692915" w:rsidP="009A1C1B">
      <w:pPr>
        <w:ind w:firstLine="31680"/>
        <w:rPr>
          <w:rFonts w:hint="eastAsia"/>
          <w:bCs/>
          <w:color w:val="000000"/>
        </w:rPr>
      </w:pPr>
      <w:bookmarkStart w:id="240" w:name="_Toc132732222"/>
      <w:r>
        <w:rPr>
          <w:rFonts w:hint="eastAsia"/>
          <w:bCs/>
          <w:color w:val="000000"/>
        </w:rPr>
        <w:t>被列为“正常”的一组既不存在消瘦问题，也不存在发育迟缓问题，但也有可能没有得到完全发育。</w:t>
      </w:r>
    </w:p>
    <w:bookmarkEnd w:id="240"/>
    <w:p w:rsidR="00692915" w:rsidRDefault="00692915">
      <w:pPr>
        <w:pStyle w:val="Heading5"/>
        <w:ind w:firstLineChars="0" w:firstLine="0"/>
        <w:rPr>
          <w:rFonts w:ascii="KaiTi_GB2312" w:eastAsia="KaiTi_GB2312" w:hint="eastAsia"/>
          <w:b w:val="0"/>
          <w:bCs/>
          <w:i w:val="0"/>
          <w:iCs/>
          <w:color w:val="000000"/>
          <w:lang w:eastAsia="zh-CN"/>
        </w:rPr>
      </w:pPr>
      <w:r>
        <w:rPr>
          <w:rFonts w:ascii="KaiTi_GB2312" w:eastAsia="KaiTi_GB2312" w:hint="eastAsia"/>
          <w:b w:val="0"/>
          <w:bCs/>
          <w:i w:val="0"/>
          <w:iCs/>
          <w:color w:val="000000"/>
          <w:lang w:eastAsia="zh-CN"/>
        </w:rPr>
        <w:t>感染艾滋病毒/艾滋病的比率</w:t>
      </w:r>
    </w:p>
    <w:p w:rsidR="00692915" w:rsidRDefault="00692915" w:rsidP="009A1C1B">
      <w:pPr>
        <w:spacing w:after="240"/>
        <w:ind w:firstLine="31680"/>
        <w:rPr>
          <w:rFonts w:hint="eastAsia"/>
          <w:bCs/>
          <w:color w:val="000000"/>
        </w:rPr>
      </w:pPr>
      <w:bookmarkStart w:id="241" w:name="_Toc131956486"/>
      <w:bookmarkStart w:id="242" w:name="_Toc132732223"/>
      <w:r>
        <w:rPr>
          <w:rFonts w:hint="eastAsia"/>
          <w:bCs/>
          <w:color w:val="000000"/>
        </w:rPr>
        <w:t>关于东帝汶的艾滋病毒和艾滋病感染率，没有这方面的准确信息，但根据估计，可能为</w:t>
      </w:r>
      <w:r>
        <w:rPr>
          <w:bCs/>
          <w:color w:val="000000"/>
        </w:rPr>
        <w:t>0.01</w:t>
      </w:r>
      <w:r>
        <w:rPr>
          <w:rFonts w:hint="eastAsia"/>
          <w:bCs/>
          <w:color w:val="000000"/>
        </w:rPr>
        <w:t>-</w:t>
      </w:r>
      <w:r>
        <w:rPr>
          <w:bCs/>
          <w:color w:val="000000"/>
        </w:rPr>
        <w:t xml:space="preserve"> 0.35 %</w:t>
      </w:r>
      <w:r>
        <w:rPr>
          <w:rFonts w:hint="eastAsia"/>
          <w:bCs/>
          <w:color w:val="000000"/>
        </w:rPr>
        <w:t>。</w:t>
      </w:r>
      <w:r>
        <w:rPr>
          <w:rStyle w:val="FootnoteReference"/>
          <w:bCs/>
          <w:color w:val="000000"/>
        </w:rPr>
        <w:footnoteReference w:id="400"/>
      </w:r>
      <w:r>
        <w:rPr>
          <w:rFonts w:hint="eastAsia"/>
          <w:bCs/>
          <w:color w:val="000000"/>
        </w:rPr>
        <w:t>到</w:t>
      </w:r>
      <w:r>
        <w:rPr>
          <w:rFonts w:hint="eastAsia"/>
          <w:bCs/>
          <w:color w:val="000000"/>
        </w:rPr>
        <w:t>2005</w:t>
      </w:r>
      <w:r>
        <w:rPr>
          <w:rFonts w:hint="eastAsia"/>
          <w:bCs/>
          <w:color w:val="000000"/>
        </w:rPr>
        <w:t>年为止，报告的艾滋病毒</w:t>
      </w:r>
      <w:r>
        <w:rPr>
          <w:rFonts w:hint="eastAsia"/>
          <w:bCs/>
          <w:color w:val="000000"/>
        </w:rPr>
        <w:t>/</w:t>
      </w:r>
      <w:r>
        <w:rPr>
          <w:rFonts w:hint="eastAsia"/>
          <w:bCs/>
          <w:color w:val="000000"/>
        </w:rPr>
        <w:t>艾滋病病例为</w:t>
      </w:r>
      <w:r>
        <w:rPr>
          <w:rFonts w:hint="eastAsia"/>
          <w:bCs/>
          <w:color w:val="000000"/>
        </w:rPr>
        <w:t>26</w:t>
      </w:r>
      <w:r>
        <w:rPr>
          <w:rFonts w:hint="eastAsia"/>
          <w:bCs/>
          <w:color w:val="000000"/>
        </w:rPr>
        <w:t>例。</w:t>
      </w:r>
      <w:r>
        <w:rPr>
          <w:rStyle w:val="FootnoteReference"/>
          <w:bCs/>
          <w:color w:val="000000"/>
        </w:rPr>
        <w:footnoteReference w:id="401"/>
      </w:r>
    </w:p>
    <w:bookmarkEnd w:id="241"/>
    <w:bookmarkEnd w:id="242"/>
    <w:p w:rsidR="00692915" w:rsidRDefault="00692915">
      <w:pPr>
        <w:pStyle w:val="Heading5"/>
        <w:ind w:firstLineChars="0" w:firstLine="0"/>
        <w:rPr>
          <w:rFonts w:ascii="KaiTi_GB2312" w:eastAsia="KaiTi_GB2312" w:hint="eastAsia"/>
          <w:b w:val="0"/>
          <w:bCs/>
          <w:i w:val="0"/>
          <w:iCs/>
          <w:color w:val="000000"/>
          <w:lang w:eastAsia="zh-CN"/>
        </w:rPr>
      </w:pPr>
      <w:r>
        <w:rPr>
          <w:rFonts w:ascii="KaiTi_GB2312" w:eastAsia="KaiTi_GB2312" w:hint="eastAsia"/>
          <w:b w:val="0"/>
          <w:bCs/>
          <w:i w:val="0"/>
          <w:iCs/>
          <w:color w:val="000000"/>
          <w:lang w:eastAsia="zh-CN"/>
        </w:rPr>
        <w:t>出生时预期寿命</w:t>
      </w:r>
    </w:p>
    <w:p w:rsidR="00692915" w:rsidRDefault="00692915" w:rsidP="009A1C1B">
      <w:pPr>
        <w:spacing w:after="240"/>
        <w:ind w:firstLine="31680"/>
        <w:rPr>
          <w:rFonts w:hint="eastAsia"/>
          <w:color w:val="000000"/>
        </w:rPr>
      </w:pPr>
      <w:r>
        <w:rPr>
          <w:rFonts w:hint="eastAsia"/>
          <w:color w:val="000000"/>
        </w:rPr>
        <w:t>2002</w:t>
      </w:r>
      <w:r>
        <w:rPr>
          <w:rFonts w:hint="eastAsia"/>
          <w:color w:val="000000"/>
        </w:rPr>
        <w:t>年</w:t>
      </w:r>
      <w:r>
        <w:rPr>
          <w:rFonts w:hint="eastAsia"/>
          <w:color w:val="000000"/>
        </w:rPr>
        <w:t>6</w:t>
      </w:r>
      <w:r>
        <w:rPr>
          <w:rFonts w:hint="eastAsia"/>
          <w:color w:val="000000"/>
        </w:rPr>
        <w:t>月，出生在东帝汶的男性平均预期寿命为</w:t>
      </w:r>
      <w:r>
        <w:rPr>
          <w:color w:val="000000"/>
        </w:rPr>
        <w:t>54.4</w:t>
      </w:r>
      <w:r>
        <w:rPr>
          <w:rFonts w:hint="eastAsia"/>
          <w:color w:val="000000"/>
        </w:rPr>
        <w:t>岁，女性为</w:t>
      </w:r>
      <w:r>
        <w:rPr>
          <w:color w:val="000000"/>
        </w:rPr>
        <w:t>56.6</w:t>
      </w:r>
      <w:r>
        <w:rPr>
          <w:rFonts w:hint="eastAsia"/>
          <w:color w:val="000000"/>
        </w:rPr>
        <w:t>岁。</w:t>
      </w:r>
    </w:p>
    <w:p w:rsidR="00692915" w:rsidRDefault="00692915">
      <w:pPr>
        <w:pStyle w:val="Heading2"/>
        <w:spacing w:after="0"/>
        <w:ind w:firstLine="601"/>
        <w:rPr>
          <w:rFonts w:hint="eastAsia"/>
          <w:color w:val="000000"/>
          <w:sz w:val="24"/>
        </w:rPr>
      </w:pPr>
      <w:r>
        <w:rPr>
          <w:rFonts w:hint="eastAsia"/>
          <w:color w:val="000000"/>
          <w:sz w:val="24"/>
        </w:rPr>
        <w:t>图</w:t>
      </w:r>
      <w:r>
        <w:rPr>
          <w:color w:val="000000"/>
          <w:sz w:val="24"/>
        </w:rPr>
        <w:t xml:space="preserve"> </w:t>
      </w:r>
      <w:r>
        <w:rPr>
          <w:noProof/>
          <w:color w:val="000000"/>
          <w:sz w:val="24"/>
        </w:rPr>
        <w:t>16</w:t>
      </w:r>
      <w:r>
        <w:rPr>
          <w:rFonts w:hint="eastAsia"/>
          <w:noProof/>
          <w:color w:val="000000"/>
          <w:sz w:val="24"/>
        </w:rPr>
        <w:br/>
      </w:r>
      <w:r>
        <w:rPr>
          <w:rFonts w:hint="eastAsia"/>
          <w:color w:val="000000"/>
          <w:sz w:val="24"/>
        </w:rPr>
        <w:t>2004</w:t>
      </w:r>
      <w:r>
        <w:rPr>
          <w:rFonts w:hint="eastAsia"/>
          <w:color w:val="000000"/>
          <w:sz w:val="24"/>
        </w:rPr>
        <w:t>年人口普查：</w:t>
      </w:r>
      <w:r>
        <w:rPr>
          <w:color w:val="000000"/>
          <w:sz w:val="24"/>
        </w:rPr>
        <w:t xml:space="preserve"> 2002</w:t>
      </w:r>
      <w:r>
        <w:rPr>
          <w:rFonts w:hint="eastAsia"/>
          <w:color w:val="000000"/>
          <w:sz w:val="24"/>
        </w:rPr>
        <w:t>年</w:t>
      </w:r>
      <w:r>
        <w:rPr>
          <w:rFonts w:hint="eastAsia"/>
          <w:color w:val="000000"/>
          <w:sz w:val="24"/>
        </w:rPr>
        <w:t>6</w:t>
      </w:r>
      <w:r>
        <w:rPr>
          <w:rFonts w:hint="eastAsia"/>
          <w:color w:val="000000"/>
          <w:sz w:val="24"/>
        </w:rPr>
        <w:t>月，按地区和性别分列的</w:t>
      </w:r>
      <w:r>
        <w:rPr>
          <w:color w:val="000000"/>
          <w:sz w:val="24"/>
        </w:rPr>
        <w:br/>
      </w:r>
      <w:r>
        <w:rPr>
          <w:rFonts w:hint="eastAsia"/>
          <w:color w:val="000000"/>
          <w:sz w:val="24"/>
        </w:rPr>
        <w:t>出生时平均预期寿命</w:t>
      </w:r>
    </w:p>
    <w:p w:rsidR="00692915" w:rsidRDefault="00692915" w:rsidP="009A1C1B">
      <w:pPr>
        <w:ind w:firstLine="31680"/>
        <w:jc w:val="center"/>
        <w:rPr>
          <w:bCs/>
          <w:i/>
          <w:iCs/>
          <w:color w:val="000000"/>
          <w:szCs w:val="24"/>
        </w:rPr>
      </w:pPr>
      <w:r>
        <w:rPr>
          <w:noProof/>
          <w:snapToGrid/>
          <w:color w:val="000000"/>
          <w:sz w:val="20"/>
        </w:rPr>
        <w:pict>
          <v:shape id="_x0000_s2323" type="#_x0000_t202" style="position:absolute;left:0;text-align:left;margin-left:72.2pt;margin-top:192.9pt;width:379.3pt;height:54pt;z-index:73" o:regroupid="13" filled="f" fillcolor="#f69898" stroked="f">
            <v:textbox style="layout-flow:vertical;mso-layout-flow-alt:bottom-to-top;mso-next-textbox:#_x0000_s2323" inset=".5mm,.3mm,.5mm,.3mm">
              <w:txbxContent>
                <w:p w:rsidR="00692915" w:rsidRDefault="00692915" w:rsidP="009A1C1B">
                  <w:pPr>
                    <w:spacing w:line="0" w:lineRule="atLeast"/>
                    <w:ind w:firstLine="31680"/>
                    <w:jc w:val="right"/>
                    <w:rPr>
                      <w:rFonts w:ascii="SimSun" w:hAnsi="SimSun" w:hint="eastAsia"/>
                      <w:iCs/>
                      <w:sz w:val="13"/>
                      <w:szCs w:val="30"/>
                    </w:rPr>
                  </w:pPr>
                </w:p>
                <w:p w:rsidR="00692915" w:rsidRDefault="00692915" w:rsidP="009A1C1B">
                  <w:pPr>
                    <w:spacing w:line="0" w:lineRule="atLeast"/>
                    <w:ind w:firstLine="31680"/>
                    <w:jc w:val="right"/>
                    <w:rPr>
                      <w:rFonts w:ascii="SimSun" w:hAnsi="SimSun" w:hint="eastAsia"/>
                      <w:iCs/>
                      <w:sz w:val="13"/>
                      <w:szCs w:val="30"/>
                    </w:rPr>
                  </w:pPr>
                  <w:r>
                    <w:rPr>
                      <w:rFonts w:ascii="SimSun" w:hAnsi="SimSun" w:hint="eastAsia"/>
                      <w:iCs/>
                      <w:sz w:val="13"/>
                      <w:szCs w:val="30"/>
                    </w:rPr>
                    <w:t>帝力</w:t>
                  </w:r>
                </w:p>
                <w:p w:rsidR="00692915" w:rsidRDefault="00692915" w:rsidP="009A1C1B">
                  <w:pPr>
                    <w:spacing w:line="0" w:lineRule="atLeast"/>
                    <w:ind w:firstLine="31680"/>
                    <w:jc w:val="right"/>
                    <w:rPr>
                      <w:rFonts w:ascii="SimSun" w:hAnsi="SimSun" w:hint="eastAsia"/>
                      <w:iCs/>
                      <w:sz w:val="13"/>
                      <w:szCs w:val="30"/>
                    </w:rPr>
                  </w:pPr>
                </w:p>
                <w:p w:rsidR="00692915" w:rsidRDefault="00692915" w:rsidP="009A1C1B">
                  <w:pPr>
                    <w:spacing w:line="0" w:lineRule="atLeast"/>
                    <w:ind w:firstLine="31680"/>
                    <w:jc w:val="right"/>
                    <w:rPr>
                      <w:rFonts w:ascii="SimSun" w:hAnsi="SimSun" w:hint="eastAsia"/>
                      <w:iCs/>
                      <w:sz w:val="13"/>
                      <w:szCs w:val="30"/>
                    </w:rPr>
                  </w:pPr>
                </w:p>
                <w:p w:rsidR="00692915" w:rsidRDefault="00692915" w:rsidP="009A1C1B">
                  <w:pPr>
                    <w:spacing w:line="0" w:lineRule="atLeast"/>
                    <w:ind w:firstLine="31680"/>
                    <w:jc w:val="right"/>
                    <w:rPr>
                      <w:rFonts w:ascii="SimSun" w:hAnsi="SimSun" w:hint="eastAsia"/>
                      <w:iCs/>
                      <w:sz w:val="13"/>
                      <w:szCs w:val="30"/>
                    </w:rPr>
                  </w:pPr>
                  <w:r>
                    <w:rPr>
                      <w:rFonts w:ascii="SimSun" w:hAnsi="SimSun" w:hint="eastAsia"/>
                      <w:iCs/>
                      <w:sz w:val="13"/>
                      <w:szCs w:val="30"/>
                    </w:rPr>
                    <w:t>马努法希</w:t>
                  </w:r>
                </w:p>
                <w:p w:rsidR="00692915" w:rsidRDefault="00692915" w:rsidP="009A1C1B">
                  <w:pPr>
                    <w:spacing w:line="0" w:lineRule="atLeast"/>
                    <w:ind w:firstLine="31680"/>
                    <w:jc w:val="right"/>
                    <w:rPr>
                      <w:rFonts w:ascii="SimSun" w:hAnsi="SimSun" w:hint="eastAsia"/>
                      <w:iCs/>
                      <w:sz w:val="13"/>
                      <w:szCs w:val="30"/>
                    </w:rPr>
                  </w:pPr>
                </w:p>
                <w:p w:rsidR="00692915" w:rsidRDefault="00692915" w:rsidP="009A1C1B">
                  <w:pPr>
                    <w:spacing w:line="0" w:lineRule="atLeast"/>
                    <w:ind w:firstLine="31680"/>
                    <w:jc w:val="right"/>
                    <w:rPr>
                      <w:rFonts w:ascii="SimSun" w:hAnsi="SimSun" w:hint="eastAsia"/>
                      <w:iCs/>
                      <w:sz w:val="13"/>
                      <w:szCs w:val="30"/>
                    </w:rPr>
                  </w:pPr>
                </w:p>
                <w:p w:rsidR="00692915" w:rsidRDefault="00692915" w:rsidP="009A1C1B">
                  <w:pPr>
                    <w:spacing w:line="0" w:lineRule="atLeast"/>
                    <w:ind w:firstLine="31680"/>
                    <w:jc w:val="right"/>
                    <w:rPr>
                      <w:rFonts w:ascii="SimSun" w:hAnsi="SimSun" w:hint="eastAsia"/>
                      <w:iCs/>
                      <w:sz w:val="13"/>
                      <w:szCs w:val="30"/>
                    </w:rPr>
                  </w:pPr>
                  <w:r>
                    <w:rPr>
                      <w:rFonts w:ascii="SimSun" w:hAnsi="SimSun" w:hint="eastAsia"/>
                      <w:iCs/>
                      <w:sz w:val="13"/>
                      <w:szCs w:val="30"/>
                    </w:rPr>
                    <w:t>劳滕</w:t>
                  </w:r>
                </w:p>
                <w:p w:rsidR="00692915" w:rsidRDefault="00692915" w:rsidP="009A1C1B">
                  <w:pPr>
                    <w:spacing w:line="0" w:lineRule="atLeast"/>
                    <w:ind w:firstLine="31680"/>
                    <w:jc w:val="right"/>
                    <w:rPr>
                      <w:rFonts w:ascii="SimSun" w:hAnsi="SimSun" w:hint="eastAsia"/>
                      <w:iCs/>
                      <w:sz w:val="13"/>
                      <w:szCs w:val="30"/>
                    </w:rPr>
                  </w:pPr>
                </w:p>
                <w:p w:rsidR="00692915" w:rsidRDefault="00692915" w:rsidP="009A1C1B">
                  <w:pPr>
                    <w:spacing w:line="0" w:lineRule="atLeast"/>
                    <w:ind w:firstLine="31680"/>
                    <w:jc w:val="right"/>
                    <w:rPr>
                      <w:rFonts w:ascii="SimSun" w:hAnsi="SimSun" w:hint="eastAsia"/>
                      <w:iCs/>
                      <w:sz w:val="13"/>
                      <w:szCs w:val="30"/>
                    </w:rPr>
                  </w:pPr>
                </w:p>
                <w:p w:rsidR="00692915" w:rsidRDefault="00692915" w:rsidP="009A1C1B">
                  <w:pPr>
                    <w:spacing w:line="0" w:lineRule="atLeast"/>
                    <w:ind w:firstLine="31680"/>
                    <w:jc w:val="right"/>
                    <w:rPr>
                      <w:rFonts w:ascii="SimSun" w:hAnsi="SimSun" w:hint="eastAsia"/>
                      <w:iCs/>
                      <w:sz w:val="13"/>
                      <w:szCs w:val="30"/>
                    </w:rPr>
                  </w:pPr>
                  <w:r>
                    <w:rPr>
                      <w:rFonts w:ascii="SimSun" w:hAnsi="SimSun" w:hint="eastAsia"/>
                      <w:iCs/>
                      <w:sz w:val="13"/>
                      <w:szCs w:val="30"/>
                    </w:rPr>
                    <w:t>利基萨</w:t>
                  </w:r>
                </w:p>
                <w:p w:rsidR="00692915" w:rsidRDefault="00692915" w:rsidP="009A1C1B">
                  <w:pPr>
                    <w:spacing w:line="0" w:lineRule="atLeast"/>
                    <w:ind w:firstLine="31680"/>
                    <w:jc w:val="right"/>
                    <w:rPr>
                      <w:rFonts w:ascii="SimSun" w:hAnsi="SimSun" w:hint="eastAsia"/>
                      <w:iCs/>
                      <w:sz w:val="13"/>
                      <w:szCs w:val="30"/>
                    </w:rPr>
                  </w:pPr>
                </w:p>
                <w:p w:rsidR="00692915" w:rsidRDefault="00692915" w:rsidP="009A1C1B">
                  <w:pPr>
                    <w:spacing w:line="0" w:lineRule="atLeast"/>
                    <w:ind w:firstLine="31680"/>
                    <w:jc w:val="right"/>
                    <w:rPr>
                      <w:rFonts w:ascii="SimSun" w:hAnsi="SimSun" w:hint="eastAsia"/>
                      <w:iCs/>
                      <w:sz w:val="13"/>
                      <w:szCs w:val="30"/>
                    </w:rPr>
                  </w:pPr>
                </w:p>
                <w:p w:rsidR="00692915" w:rsidRDefault="00692915" w:rsidP="009A1C1B">
                  <w:pPr>
                    <w:spacing w:line="0" w:lineRule="atLeast"/>
                    <w:ind w:firstLine="31680"/>
                    <w:jc w:val="right"/>
                    <w:rPr>
                      <w:rFonts w:ascii="SimSun" w:hAnsi="SimSun" w:hint="eastAsia"/>
                      <w:iCs/>
                      <w:sz w:val="13"/>
                      <w:szCs w:val="30"/>
                    </w:rPr>
                  </w:pPr>
                  <w:r>
                    <w:rPr>
                      <w:rFonts w:ascii="SimSun" w:hAnsi="SimSun" w:hint="eastAsia"/>
                      <w:iCs/>
                      <w:sz w:val="13"/>
                      <w:szCs w:val="30"/>
                    </w:rPr>
                    <w:t>马纳图托</w:t>
                  </w:r>
                </w:p>
                <w:p w:rsidR="00692915" w:rsidRDefault="00692915" w:rsidP="009A1C1B">
                  <w:pPr>
                    <w:spacing w:line="0" w:lineRule="atLeast"/>
                    <w:ind w:firstLine="31680"/>
                    <w:jc w:val="right"/>
                    <w:rPr>
                      <w:rFonts w:ascii="SimSun" w:hAnsi="SimSun" w:hint="eastAsia"/>
                      <w:iCs/>
                      <w:sz w:val="13"/>
                      <w:szCs w:val="30"/>
                    </w:rPr>
                  </w:pPr>
                </w:p>
                <w:p w:rsidR="00692915" w:rsidRDefault="00692915" w:rsidP="009A1C1B">
                  <w:pPr>
                    <w:spacing w:line="0" w:lineRule="atLeast"/>
                    <w:ind w:firstLine="31680"/>
                    <w:jc w:val="right"/>
                    <w:rPr>
                      <w:rFonts w:ascii="SimSun" w:hAnsi="SimSun" w:hint="eastAsia"/>
                      <w:iCs/>
                      <w:sz w:val="13"/>
                      <w:szCs w:val="30"/>
                    </w:rPr>
                  </w:pPr>
                </w:p>
                <w:p w:rsidR="00692915" w:rsidRDefault="00692915" w:rsidP="009A1C1B">
                  <w:pPr>
                    <w:spacing w:line="0" w:lineRule="atLeast"/>
                    <w:ind w:firstLine="31680"/>
                    <w:jc w:val="right"/>
                    <w:rPr>
                      <w:rFonts w:ascii="SimSun" w:hAnsi="SimSun" w:hint="eastAsia"/>
                      <w:iCs/>
                      <w:sz w:val="13"/>
                      <w:szCs w:val="30"/>
                    </w:rPr>
                  </w:pPr>
                  <w:r>
                    <w:rPr>
                      <w:rFonts w:ascii="SimSun" w:hAnsi="SimSun" w:hint="eastAsia"/>
                      <w:iCs/>
                      <w:sz w:val="13"/>
                      <w:szCs w:val="30"/>
                    </w:rPr>
                    <w:t>阿伊莱乌</w:t>
                  </w:r>
                </w:p>
                <w:p w:rsidR="00692915" w:rsidRDefault="00692915" w:rsidP="009A1C1B">
                  <w:pPr>
                    <w:spacing w:line="0" w:lineRule="atLeast"/>
                    <w:ind w:firstLine="31680"/>
                    <w:jc w:val="right"/>
                    <w:rPr>
                      <w:rFonts w:ascii="SimSun" w:hAnsi="SimSun" w:hint="eastAsia"/>
                      <w:iCs/>
                      <w:sz w:val="13"/>
                      <w:szCs w:val="30"/>
                    </w:rPr>
                  </w:pPr>
                </w:p>
                <w:p w:rsidR="00692915" w:rsidRDefault="00692915" w:rsidP="009A1C1B">
                  <w:pPr>
                    <w:spacing w:line="0" w:lineRule="atLeast"/>
                    <w:ind w:firstLine="31680"/>
                    <w:jc w:val="right"/>
                    <w:rPr>
                      <w:rFonts w:ascii="SimSun" w:hAnsi="SimSun" w:hint="eastAsia"/>
                      <w:iCs/>
                      <w:sz w:val="13"/>
                      <w:szCs w:val="30"/>
                    </w:rPr>
                  </w:pPr>
                </w:p>
                <w:p w:rsidR="00692915" w:rsidRDefault="00692915" w:rsidP="009A1C1B">
                  <w:pPr>
                    <w:spacing w:line="0" w:lineRule="atLeast"/>
                    <w:ind w:firstLine="31680"/>
                    <w:jc w:val="right"/>
                    <w:rPr>
                      <w:rFonts w:ascii="SimSun" w:hAnsi="SimSun" w:hint="eastAsia"/>
                      <w:iCs/>
                      <w:sz w:val="13"/>
                      <w:szCs w:val="30"/>
                    </w:rPr>
                  </w:pPr>
                  <w:r>
                    <w:rPr>
                      <w:rFonts w:ascii="SimSun" w:hAnsi="SimSun" w:hint="eastAsia"/>
                      <w:iCs/>
                      <w:sz w:val="13"/>
                      <w:szCs w:val="30"/>
                    </w:rPr>
                    <w:t>埃尔梅拉</w:t>
                  </w:r>
                </w:p>
                <w:p w:rsidR="00692915" w:rsidRDefault="00692915" w:rsidP="009A1C1B">
                  <w:pPr>
                    <w:spacing w:line="0" w:lineRule="atLeast"/>
                    <w:ind w:firstLine="31680"/>
                    <w:jc w:val="right"/>
                    <w:rPr>
                      <w:rFonts w:ascii="SimSun" w:hAnsi="SimSun" w:hint="eastAsia"/>
                      <w:iCs/>
                      <w:sz w:val="13"/>
                      <w:szCs w:val="30"/>
                    </w:rPr>
                  </w:pPr>
                </w:p>
                <w:p w:rsidR="00692915" w:rsidRDefault="00692915" w:rsidP="009A1C1B">
                  <w:pPr>
                    <w:spacing w:line="0" w:lineRule="atLeast"/>
                    <w:ind w:firstLine="31680"/>
                    <w:jc w:val="right"/>
                    <w:rPr>
                      <w:rFonts w:ascii="SimSun" w:hAnsi="SimSun" w:hint="eastAsia"/>
                      <w:iCs/>
                      <w:sz w:val="13"/>
                      <w:szCs w:val="30"/>
                    </w:rPr>
                  </w:pPr>
                </w:p>
                <w:p w:rsidR="00692915" w:rsidRDefault="00692915" w:rsidP="009A1C1B">
                  <w:pPr>
                    <w:spacing w:line="0" w:lineRule="atLeast"/>
                    <w:ind w:firstLine="31680"/>
                    <w:jc w:val="right"/>
                    <w:rPr>
                      <w:rFonts w:ascii="SimSun" w:hAnsi="SimSun" w:hint="eastAsia"/>
                      <w:iCs/>
                      <w:sz w:val="13"/>
                      <w:szCs w:val="30"/>
                    </w:rPr>
                  </w:pPr>
                  <w:r>
                    <w:rPr>
                      <w:rFonts w:ascii="SimSun" w:hAnsi="SimSun" w:hint="eastAsia"/>
                      <w:iCs/>
                      <w:sz w:val="13"/>
                      <w:szCs w:val="30"/>
                    </w:rPr>
                    <w:t>科瓦利马</w:t>
                  </w:r>
                </w:p>
                <w:p w:rsidR="00692915" w:rsidRDefault="00692915" w:rsidP="009A1C1B">
                  <w:pPr>
                    <w:spacing w:line="0" w:lineRule="atLeast"/>
                    <w:ind w:firstLine="31680"/>
                    <w:jc w:val="right"/>
                    <w:rPr>
                      <w:rFonts w:ascii="SimSun" w:hAnsi="SimSun" w:hint="eastAsia"/>
                      <w:iCs/>
                      <w:sz w:val="13"/>
                      <w:szCs w:val="30"/>
                    </w:rPr>
                  </w:pPr>
                </w:p>
                <w:p w:rsidR="00692915" w:rsidRDefault="00692915" w:rsidP="009A1C1B">
                  <w:pPr>
                    <w:spacing w:line="0" w:lineRule="atLeast"/>
                    <w:ind w:firstLine="31680"/>
                    <w:jc w:val="right"/>
                    <w:rPr>
                      <w:rFonts w:ascii="SimSun" w:hAnsi="SimSun" w:hint="eastAsia"/>
                      <w:iCs/>
                      <w:sz w:val="13"/>
                      <w:szCs w:val="30"/>
                    </w:rPr>
                  </w:pPr>
                </w:p>
                <w:p w:rsidR="00692915" w:rsidRDefault="00692915" w:rsidP="009A1C1B">
                  <w:pPr>
                    <w:spacing w:line="0" w:lineRule="atLeast"/>
                    <w:ind w:firstLine="31680"/>
                    <w:jc w:val="right"/>
                    <w:rPr>
                      <w:rFonts w:ascii="SimSun" w:hAnsi="SimSun" w:hint="eastAsia"/>
                      <w:iCs/>
                      <w:sz w:val="13"/>
                      <w:szCs w:val="30"/>
                    </w:rPr>
                  </w:pPr>
                  <w:r>
                    <w:rPr>
                      <w:rFonts w:ascii="SimSun" w:hAnsi="SimSun" w:hint="eastAsia"/>
                      <w:iCs/>
                      <w:sz w:val="13"/>
                      <w:szCs w:val="30"/>
                    </w:rPr>
                    <w:t>包考</w:t>
                  </w:r>
                </w:p>
                <w:p w:rsidR="00692915" w:rsidRDefault="00692915" w:rsidP="009A1C1B">
                  <w:pPr>
                    <w:spacing w:line="0" w:lineRule="atLeast"/>
                    <w:ind w:firstLine="31680"/>
                    <w:jc w:val="right"/>
                    <w:rPr>
                      <w:rFonts w:ascii="SimSun" w:hAnsi="SimSun" w:hint="eastAsia"/>
                      <w:iCs/>
                      <w:sz w:val="13"/>
                      <w:szCs w:val="30"/>
                    </w:rPr>
                  </w:pPr>
                </w:p>
                <w:p w:rsidR="00692915" w:rsidRDefault="00692915" w:rsidP="009A1C1B">
                  <w:pPr>
                    <w:spacing w:line="0" w:lineRule="atLeast"/>
                    <w:ind w:firstLine="31680"/>
                    <w:jc w:val="right"/>
                    <w:rPr>
                      <w:rFonts w:ascii="SimSun" w:hAnsi="SimSun" w:hint="eastAsia"/>
                      <w:iCs/>
                      <w:sz w:val="13"/>
                      <w:szCs w:val="30"/>
                    </w:rPr>
                  </w:pPr>
                  <w:r>
                    <w:rPr>
                      <w:rFonts w:ascii="SimSun" w:hAnsi="SimSun" w:hint="eastAsia"/>
                      <w:iCs/>
                      <w:sz w:val="13"/>
                      <w:szCs w:val="30"/>
                    </w:rPr>
                    <w:t>欧库西</w:t>
                  </w:r>
                </w:p>
                <w:p w:rsidR="00692915" w:rsidRDefault="00692915" w:rsidP="009A1C1B">
                  <w:pPr>
                    <w:spacing w:line="0" w:lineRule="atLeast"/>
                    <w:ind w:firstLine="31680"/>
                    <w:jc w:val="right"/>
                    <w:rPr>
                      <w:rFonts w:ascii="SimSun" w:hAnsi="SimSun" w:hint="eastAsia"/>
                      <w:iCs/>
                      <w:sz w:val="13"/>
                      <w:szCs w:val="30"/>
                    </w:rPr>
                  </w:pPr>
                </w:p>
                <w:p w:rsidR="00692915" w:rsidRDefault="00692915" w:rsidP="009A1C1B">
                  <w:pPr>
                    <w:spacing w:line="0" w:lineRule="atLeast"/>
                    <w:ind w:firstLine="31680"/>
                    <w:jc w:val="right"/>
                    <w:rPr>
                      <w:rFonts w:ascii="SimSun" w:hAnsi="SimSun" w:hint="eastAsia"/>
                      <w:iCs/>
                      <w:sz w:val="13"/>
                      <w:szCs w:val="30"/>
                    </w:rPr>
                  </w:pPr>
                </w:p>
                <w:p w:rsidR="00692915" w:rsidRDefault="00692915" w:rsidP="009A1C1B">
                  <w:pPr>
                    <w:spacing w:line="0" w:lineRule="atLeast"/>
                    <w:ind w:firstLine="31680"/>
                    <w:jc w:val="right"/>
                    <w:rPr>
                      <w:rFonts w:ascii="SimSun" w:hAnsi="SimSun" w:hint="eastAsia"/>
                      <w:iCs/>
                      <w:sz w:val="13"/>
                      <w:szCs w:val="30"/>
                    </w:rPr>
                  </w:pPr>
                  <w:r>
                    <w:rPr>
                      <w:rFonts w:ascii="SimSun" w:hAnsi="SimSun" w:hint="eastAsia"/>
                      <w:iCs/>
                      <w:sz w:val="13"/>
                      <w:szCs w:val="30"/>
                    </w:rPr>
                    <w:t>维克克</w:t>
                  </w:r>
                </w:p>
                <w:p w:rsidR="00692915" w:rsidRDefault="00692915" w:rsidP="009A1C1B">
                  <w:pPr>
                    <w:spacing w:line="0" w:lineRule="atLeast"/>
                    <w:ind w:firstLine="31680"/>
                    <w:jc w:val="right"/>
                    <w:rPr>
                      <w:rFonts w:ascii="SimSun" w:hAnsi="SimSun" w:hint="eastAsia"/>
                      <w:iCs/>
                      <w:sz w:val="13"/>
                      <w:szCs w:val="30"/>
                    </w:rPr>
                  </w:pPr>
                </w:p>
                <w:p w:rsidR="00692915" w:rsidRDefault="00692915" w:rsidP="009A1C1B">
                  <w:pPr>
                    <w:spacing w:line="0" w:lineRule="atLeast"/>
                    <w:ind w:firstLine="31680"/>
                    <w:jc w:val="right"/>
                    <w:rPr>
                      <w:rFonts w:ascii="SimSun" w:hAnsi="SimSun" w:hint="eastAsia"/>
                      <w:iCs/>
                      <w:sz w:val="13"/>
                      <w:szCs w:val="30"/>
                    </w:rPr>
                  </w:pPr>
                  <w:r>
                    <w:rPr>
                      <w:rFonts w:ascii="SimSun" w:hAnsi="SimSun" w:hint="eastAsia"/>
                      <w:iCs/>
                      <w:sz w:val="13"/>
                      <w:szCs w:val="30"/>
                    </w:rPr>
                    <w:t xml:space="preserve"> </w:t>
                  </w:r>
                </w:p>
                <w:p w:rsidR="00692915" w:rsidRDefault="00692915" w:rsidP="009A1C1B">
                  <w:pPr>
                    <w:spacing w:line="0" w:lineRule="atLeast"/>
                    <w:ind w:firstLine="31680"/>
                    <w:jc w:val="right"/>
                    <w:rPr>
                      <w:rFonts w:ascii="SimSun" w:hAnsi="SimSun" w:hint="eastAsia"/>
                      <w:iCs/>
                      <w:sz w:val="13"/>
                      <w:szCs w:val="30"/>
                    </w:rPr>
                  </w:pPr>
                  <w:r>
                    <w:rPr>
                      <w:rFonts w:ascii="SimSun" w:hAnsi="SimSun" w:hint="eastAsia"/>
                      <w:iCs/>
                      <w:sz w:val="13"/>
                      <w:szCs w:val="30"/>
                    </w:rPr>
                    <w:t>波波纳罗</w:t>
                  </w:r>
                </w:p>
                <w:p w:rsidR="00692915" w:rsidRDefault="00692915" w:rsidP="009A1C1B">
                  <w:pPr>
                    <w:spacing w:line="0" w:lineRule="atLeast"/>
                    <w:ind w:firstLine="31680"/>
                    <w:jc w:val="right"/>
                    <w:rPr>
                      <w:rFonts w:ascii="SimSun" w:hAnsi="SimSun" w:hint="eastAsia"/>
                      <w:iCs/>
                      <w:sz w:val="13"/>
                      <w:szCs w:val="30"/>
                    </w:rPr>
                  </w:pPr>
                </w:p>
                <w:p w:rsidR="00692915" w:rsidRDefault="00692915" w:rsidP="009A1C1B">
                  <w:pPr>
                    <w:spacing w:line="0" w:lineRule="atLeast"/>
                    <w:ind w:firstLine="31680"/>
                    <w:jc w:val="right"/>
                    <w:rPr>
                      <w:rFonts w:ascii="SimSun" w:hAnsi="SimSun" w:hint="eastAsia"/>
                      <w:iCs/>
                      <w:sz w:val="13"/>
                      <w:szCs w:val="30"/>
                    </w:rPr>
                  </w:pPr>
                </w:p>
                <w:p w:rsidR="00692915" w:rsidRDefault="00692915" w:rsidP="009A1C1B">
                  <w:pPr>
                    <w:spacing w:line="0" w:lineRule="atLeast"/>
                    <w:ind w:firstLine="31680"/>
                    <w:jc w:val="right"/>
                    <w:rPr>
                      <w:rFonts w:ascii="SimSun" w:hAnsi="SimSun" w:hint="eastAsia"/>
                      <w:iCs/>
                      <w:sz w:val="13"/>
                      <w:szCs w:val="30"/>
                    </w:rPr>
                  </w:pPr>
                  <w:r>
                    <w:rPr>
                      <w:rFonts w:ascii="SimSun" w:hAnsi="SimSun" w:hint="eastAsia"/>
                      <w:iCs/>
                      <w:sz w:val="13"/>
                      <w:szCs w:val="30"/>
                    </w:rPr>
                    <w:t>艾纳鲁</w:t>
                  </w:r>
                </w:p>
                <w:p w:rsidR="00692915" w:rsidRDefault="00692915" w:rsidP="009A1C1B">
                  <w:pPr>
                    <w:spacing w:line="0" w:lineRule="atLeast"/>
                    <w:ind w:firstLine="31680"/>
                    <w:jc w:val="right"/>
                    <w:rPr>
                      <w:rFonts w:ascii="SimSun" w:hAnsi="SimSun" w:hint="eastAsia"/>
                      <w:iCs/>
                      <w:sz w:val="13"/>
                      <w:szCs w:val="30"/>
                    </w:rPr>
                  </w:pPr>
                </w:p>
                <w:p w:rsidR="00692915" w:rsidRDefault="00692915" w:rsidP="009A1C1B">
                  <w:pPr>
                    <w:spacing w:line="0" w:lineRule="atLeast"/>
                    <w:ind w:firstLine="31680"/>
                    <w:jc w:val="right"/>
                    <w:rPr>
                      <w:rFonts w:ascii="SimSun" w:hAnsi="SimSun" w:hint="eastAsia"/>
                      <w:iCs/>
                      <w:sz w:val="13"/>
                      <w:szCs w:val="30"/>
                    </w:rPr>
                  </w:pPr>
                </w:p>
                <w:p w:rsidR="00692915" w:rsidRDefault="00692915" w:rsidP="009A1C1B">
                  <w:pPr>
                    <w:spacing w:line="0" w:lineRule="atLeast"/>
                    <w:ind w:firstLine="31680"/>
                    <w:jc w:val="right"/>
                    <w:rPr>
                      <w:sz w:val="13"/>
                    </w:rPr>
                  </w:pPr>
                  <w:r>
                    <w:rPr>
                      <w:rFonts w:ascii="SimSun" w:hAnsi="SimSun" w:hint="eastAsia"/>
                      <w:iCs/>
                      <w:sz w:val="13"/>
                      <w:szCs w:val="30"/>
                    </w:rPr>
                    <w:t>总计</w:t>
                  </w:r>
                </w:p>
              </w:txbxContent>
            </v:textbox>
          </v:shape>
        </w:pict>
      </w:r>
      <w:r>
        <w:rPr>
          <w:noProof/>
          <w:snapToGrid/>
          <w:color w:val="000000"/>
          <w:sz w:val="20"/>
        </w:rPr>
        <w:pict>
          <v:shape id="_x0000_s2319" type="#_x0000_t202" style="position:absolute;left:0;text-align:left;margin-left:335.6pt;margin-top:41.2pt;width:28.6pt;height:11.05pt;z-index:69" o:regroupid="13" filled="f" stroked="f">
            <v:textbox style="mso-next-textbox:#_x0000_s2319" inset="0,0,0,0">
              <w:txbxContent>
                <w:p w:rsidR="00692915" w:rsidRDefault="00692915">
                  <w:pPr>
                    <w:ind w:firstLineChars="0" w:firstLine="0"/>
                    <w:rPr>
                      <w:sz w:val="13"/>
                    </w:rPr>
                  </w:pPr>
                  <w:r>
                    <w:rPr>
                      <w:rFonts w:hint="eastAsia"/>
                      <w:iCs/>
                      <w:sz w:val="13"/>
                    </w:rPr>
                    <w:t>女性</w:t>
                  </w:r>
                </w:p>
              </w:txbxContent>
            </v:textbox>
          </v:shape>
        </w:pict>
      </w:r>
      <w:r>
        <w:rPr>
          <w:noProof/>
          <w:snapToGrid/>
          <w:color w:val="000000"/>
          <w:sz w:val="20"/>
        </w:rPr>
        <w:pict>
          <v:shape id="_x0000_s2321" type="#_x0000_t202" style="position:absolute;left:0;text-align:left;margin-left:368.35pt;margin-top:41.7pt;width:28.6pt;height:11.05pt;z-index:71" o:regroupid="13" filled="f" stroked="f">
            <v:textbox style="mso-next-textbox:#_x0000_s2321" inset="0,0,0,0">
              <w:txbxContent>
                <w:p w:rsidR="00692915" w:rsidRDefault="00692915">
                  <w:pPr>
                    <w:ind w:firstLineChars="0" w:firstLine="0"/>
                    <w:rPr>
                      <w:b/>
                      <w:bCs/>
                      <w:sz w:val="15"/>
                    </w:rPr>
                  </w:pPr>
                  <w:r>
                    <w:rPr>
                      <w:rFonts w:hint="eastAsia"/>
                      <w:iCs/>
                      <w:sz w:val="13"/>
                    </w:rPr>
                    <w:t>男性</w:t>
                  </w:r>
                </w:p>
              </w:txbxContent>
            </v:textbox>
          </v:shape>
        </w:pict>
      </w:r>
      <w:r>
        <w:rPr>
          <w:noProof/>
          <w:snapToGrid/>
          <w:color w:val="000000"/>
          <w:sz w:val="20"/>
        </w:rPr>
        <w:pict>
          <v:shape id="_x0000_s2322" type="#_x0000_t202" style="position:absolute;left:0;text-align:left;margin-left:403.35pt;margin-top:41.7pt;width:23.15pt;height:10.05pt;z-index:72" o:regroupid="13" filled="f" stroked="f">
            <v:textbox style="mso-next-textbox:#_x0000_s2322" inset="0,0,0,0">
              <w:txbxContent>
                <w:p w:rsidR="00692915" w:rsidRDefault="00692915">
                  <w:pPr>
                    <w:ind w:firstLineChars="0" w:firstLine="0"/>
                    <w:rPr>
                      <w:b/>
                      <w:bCs/>
                      <w:sz w:val="15"/>
                    </w:rPr>
                  </w:pPr>
                  <w:r>
                    <w:rPr>
                      <w:rFonts w:hint="eastAsia"/>
                      <w:iCs/>
                      <w:sz w:val="13"/>
                    </w:rPr>
                    <w:t>总计</w:t>
                  </w:r>
                </w:p>
              </w:txbxContent>
            </v:textbox>
          </v:shape>
        </w:pict>
      </w:r>
      <w:r>
        <w:rPr>
          <w:noProof/>
          <w:snapToGrid/>
          <w:color w:val="000000"/>
          <w:sz w:val="20"/>
        </w:rPr>
        <w:pict>
          <v:shape id="_x0000_s2324" type="#_x0000_t202" style="position:absolute;left:0;text-align:left;margin-left:30pt;margin-top:193.4pt;width:24pt;height:16.3pt;z-index:74" o:regroupid="13" filled="f" fillcolor="#f69898" stroked="f">
            <v:textbox style="mso-next-textbox:#_x0000_s2324">
              <w:txbxContent>
                <w:p w:rsidR="00692915" w:rsidRDefault="00692915" w:rsidP="009A1C1B">
                  <w:pPr>
                    <w:ind w:firstLine="31680"/>
                    <w:rPr>
                      <w:rFonts w:hint="eastAsia"/>
                      <w:b/>
                      <w:bCs/>
                      <w:sz w:val="15"/>
                    </w:rPr>
                  </w:pPr>
                  <w:r>
                    <w:rPr>
                      <w:rFonts w:hint="eastAsia"/>
                      <w:b/>
                      <w:bCs/>
                      <w:sz w:val="15"/>
                    </w:rPr>
                    <w:t>岁</w:t>
                  </w:r>
                </w:p>
              </w:txbxContent>
            </v:textbox>
          </v:shape>
        </w:pict>
      </w:r>
      <w:r>
        <w:rPr>
          <w:noProof/>
          <w:snapToGrid/>
          <w:color w:val="000000"/>
          <w:sz w:val="20"/>
        </w:rPr>
        <w:pict>
          <v:shape id="_x0000_s2320" type="#_x0000_t202" style="position:absolute;left:0;text-align:left;margin-left:366pt;margin-top:40.2pt;width:18pt;height:12.7pt;z-index:70" o:regroupid="13" filled="f" stroked="f">
            <v:textbox style="mso-next-textbox:#_x0000_s2320" inset="0,0,0,0">
              <w:txbxContent>
                <w:p w:rsidR="00692915" w:rsidRDefault="00692915" w:rsidP="009A1C1B">
                  <w:pPr>
                    <w:ind w:firstLineChars="100" w:firstLine="31680"/>
                    <w:rPr>
                      <w:b/>
                      <w:bCs/>
                      <w:sz w:val="15"/>
                    </w:rPr>
                  </w:pPr>
                </w:p>
              </w:txbxContent>
            </v:textbox>
          </v:shape>
        </w:pict>
      </w:r>
      <w:r>
        <w:rPr>
          <w:noProof/>
          <w:snapToGrid/>
          <w:color w:val="000000"/>
          <w:sz w:val="20"/>
        </w:rPr>
        <w:pict>
          <v:shape id="_x0000_s2318" type="#_x0000_t202" style="position:absolute;left:0;text-align:left;margin-left:102pt;margin-top:5.95pt;width:264pt;height:16.3pt;z-index:68" o:regroupid="13" filled="f" fillcolor="#f59191" stroked="f">
            <v:fill color2="#ff6161" angle="-90" type="gradient"/>
            <v:textbox style="mso-next-textbox:#_x0000_s2318" inset=",0,,0">
              <w:txbxContent>
                <w:p w:rsidR="00692915" w:rsidRDefault="00692915">
                  <w:pPr>
                    <w:ind w:firstLineChars="0" w:firstLine="0"/>
                    <w:jc w:val="center"/>
                    <w:rPr>
                      <w:rFonts w:ascii="SimHei" w:eastAsia="SimHei"/>
                      <w:sz w:val="21"/>
                    </w:rPr>
                  </w:pPr>
                  <w:r>
                    <w:rPr>
                      <w:rFonts w:ascii="SimHei" w:eastAsia="SimHei" w:hint="eastAsia"/>
                      <w:iCs/>
                      <w:sz w:val="21"/>
                    </w:rPr>
                    <w:t>2002年出生时平均预期寿命为55.6岁</w:t>
                  </w:r>
                </w:p>
              </w:txbxContent>
            </v:textbox>
          </v:shape>
        </w:pict>
      </w:r>
      <w:bookmarkStart w:id="243" w:name="_MON_1261420122"/>
      <w:bookmarkStart w:id="244" w:name="_MON_1261422862"/>
      <w:bookmarkEnd w:id="243"/>
      <w:bookmarkEnd w:id="244"/>
      <w:r>
        <w:rPr>
          <w:bCs/>
          <w:color w:val="000000"/>
          <w:szCs w:val="24"/>
        </w:rPr>
        <w:object w:dxaOrig="8446" w:dyaOrig="4666">
          <v:shape id="_x0000_i1040" type="#_x0000_t75" style="width:422.25pt;height:233.25pt" o:ole="">
            <v:imagedata r:id="rId38" o:title=""/>
          </v:shape>
          <o:OLEObject Type="Embed" ProgID="Word.Picture.8" ShapeID="_x0000_i1040" DrawAspect="Content" ObjectID="_1395890549" r:id="rId39"/>
        </w:object>
      </w:r>
    </w:p>
    <w:p w:rsidR="00692915" w:rsidRDefault="00692915" w:rsidP="009A1C1B">
      <w:pPr>
        <w:spacing w:after="240"/>
        <w:ind w:firstLine="31680"/>
        <w:rPr>
          <w:rFonts w:hint="eastAsia"/>
          <w:bCs/>
          <w:i/>
          <w:iCs/>
          <w:color w:val="000000"/>
          <w:sz w:val="21"/>
        </w:rPr>
      </w:pPr>
      <w:r>
        <w:rPr>
          <w:rFonts w:eastAsia="KaiTi_GB2312"/>
          <w:iCs/>
          <w:color w:val="000000"/>
          <w:sz w:val="21"/>
        </w:rPr>
        <w:t>资料来源</w:t>
      </w:r>
      <w:r>
        <w:rPr>
          <w:iCs/>
          <w:color w:val="000000"/>
          <w:sz w:val="21"/>
        </w:rPr>
        <w:t>：</w:t>
      </w:r>
      <w:r>
        <w:rPr>
          <w:rFonts w:hint="eastAsia"/>
          <w:iCs/>
          <w:color w:val="000000"/>
          <w:sz w:val="21"/>
        </w:rPr>
        <w:t>《</w:t>
      </w:r>
      <w:r>
        <w:rPr>
          <w:iCs/>
          <w:color w:val="000000"/>
          <w:sz w:val="21"/>
        </w:rPr>
        <w:t>2004</w:t>
      </w:r>
      <w:r>
        <w:rPr>
          <w:iCs/>
          <w:color w:val="000000"/>
          <w:sz w:val="21"/>
        </w:rPr>
        <w:t>年东帝汶人口与住房普查</w:t>
      </w:r>
      <w:r>
        <w:rPr>
          <w:rFonts w:hint="eastAsia"/>
          <w:iCs/>
          <w:color w:val="000000"/>
          <w:sz w:val="21"/>
        </w:rPr>
        <w:t>，</w:t>
      </w:r>
      <w:r>
        <w:rPr>
          <w:rFonts w:hint="eastAsia"/>
          <w:color w:val="000000"/>
          <w:sz w:val="21"/>
        </w:rPr>
        <w:t>2005</w:t>
      </w:r>
      <w:r>
        <w:rPr>
          <w:rFonts w:hint="eastAsia"/>
          <w:color w:val="000000"/>
          <w:sz w:val="21"/>
        </w:rPr>
        <w:t>年</w:t>
      </w:r>
      <w:r>
        <w:rPr>
          <w:rFonts w:hint="eastAsia"/>
          <w:color w:val="000000"/>
          <w:sz w:val="21"/>
        </w:rPr>
        <w:t>11</w:t>
      </w:r>
      <w:r>
        <w:rPr>
          <w:rFonts w:hint="eastAsia"/>
          <w:color w:val="000000"/>
          <w:sz w:val="21"/>
        </w:rPr>
        <w:t>月主要指标、表、图和地图摘要》：第</w:t>
      </w:r>
      <w:r>
        <w:rPr>
          <w:rFonts w:hint="eastAsia"/>
          <w:color w:val="000000"/>
          <w:sz w:val="21"/>
        </w:rPr>
        <w:t>9</w:t>
      </w:r>
      <w:r>
        <w:rPr>
          <w:rFonts w:hint="eastAsia"/>
          <w:color w:val="000000"/>
          <w:sz w:val="21"/>
        </w:rPr>
        <w:t>页表</w:t>
      </w:r>
      <w:r>
        <w:rPr>
          <w:rFonts w:hint="eastAsia"/>
          <w:color w:val="000000"/>
          <w:sz w:val="21"/>
        </w:rPr>
        <w:t>1</w:t>
      </w:r>
      <w:r>
        <w:rPr>
          <w:rFonts w:hint="eastAsia"/>
          <w:color w:val="000000"/>
          <w:sz w:val="21"/>
        </w:rPr>
        <w:t>（表</w:t>
      </w:r>
      <w:r>
        <w:rPr>
          <w:rFonts w:hint="eastAsia"/>
          <w:iCs/>
          <w:color w:val="000000"/>
          <w:sz w:val="21"/>
        </w:rPr>
        <w:t>一</w:t>
      </w:r>
      <w:r>
        <w:rPr>
          <w:iCs/>
          <w:color w:val="000000"/>
          <w:sz w:val="21"/>
        </w:rPr>
        <w:t>.2</w:t>
      </w:r>
      <w:r>
        <w:rPr>
          <w:rFonts w:hint="eastAsia"/>
          <w:iCs/>
          <w:color w:val="000000"/>
          <w:sz w:val="21"/>
        </w:rPr>
        <w:t>，附件一</w:t>
      </w:r>
      <w:r>
        <w:rPr>
          <w:rFonts w:hint="eastAsia"/>
          <w:color w:val="000000"/>
          <w:sz w:val="21"/>
        </w:rPr>
        <w:t>）。</w:t>
      </w:r>
      <w:r>
        <w:rPr>
          <w:rFonts w:hint="eastAsia"/>
          <w:iCs/>
          <w:color w:val="000000"/>
          <w:sz w:val="21"/>
        </w:rPr>
        <w:t xml:space="preserve"> </w:t>
      </w:r>
    </w:p>
    <w:p w:rsidR="00692915" w:rsidRDefault="00692915" w:rsidP="009A1C1B">
      <w:pPr>
        <w:spacing w:after="200"/>
        <w:ind w:firstLine="31680"/>
        <w:rPr>
          <w:rFonts w:hint="eastAsia"/>
          <w:bCs/>
          <w:color w:val="000000"/>
        </w:rPr>
      </w:pPr>
      <w:r>
        <w:rPr>
          <w:rFonts w:hint="eastAsia"/>
          <w:bCs/>
          <w:color w:val="000000"/>
        </w:rPr>
        <w:t>各地区的预期寿命存在很大差异。</w:t>
      </w:r>
      <w:r>
        <w:rPr>
          <w:rFonts w:hint="eastAsia"/>
          <w:bCs/>
          <w:color w:val="000000"/>
        </w:rPr>
        <w:t>2002</w:t>
      </w:r>
      <w:r>
        <w:rPr>
          <w:rFonts w:hint="eastAsia"/>
          <w:bCs/>
          <w:color w:val="000000"/>
        </w:rPr>
        <w:t>年，在预期寿命方面，出生在帝力地区的女性和男性要比全国平均水平高</w:t>
      </w:r>
      <w:r>
        <w:rPr>
          <w:rFonts w:hint="eastAsia"/>
          <w:bCs/>
          <w:color w:val="000000"/>
        </w:rPr>
        <w:t>8</w:t>
      </w:r>
      <w:r>
        <w:rPr>
          <w:rFonts w:hint="eastAsia"/>
          <w:bCs/>
          <w:color w:val="000000"/>
        </w:rPr>
        <w:t>岁。</w:t>
      </w:r>
    </w:p>
    <w:p w:rsidR="00692915" w:rsidRDefault="00692915" w:rsidP="009A1C1B">
      <w:pPr>
        <w:spacing w:after="200"/>
        <w:ind w:firstLine="31680"/>
        <w:rPr>
          <w:rFonts w:hint="eastAsia"/>
          <w:bCs/>
          <w:color w:val="000000"/>
        </w:rPr>
      </w:pPr>
      <w:r>
        <w:rPr>
          <w:rFonts w:hint="eastAsia"/>
          <w:bCs/>
          <w:color w:val="000000"/>
        </w:rPr>
        <w:t>艾纳鲁和欧库西男性的预期寿命最低，这两个地区的预期寿命要比全国平均水平低</w:t>
      </w:r>
      <w:r>
        <w:rPr>
          <w:rFonts w:hint="eastAsia"/>
          <w:bCs/>
          <w:color w:val="000000"/>
        </w:rPr>
        <w:t>5</w:t>
      </w:r>
      <w:r>
        <w:rPr>
          <w:rFonts w:hint="eastAsia"/>
          <w:bCs/>
          <w:color w:val="000000"/>
        </w:rPr>
        <w:t>岁多一点。全国的男性平均预期寿命要比帝力的男性预期寿命低</w:t>
      </w:r>
      <w:r>
        <w:rPr>
          <w:rFonts w:hint="eastAsia"/>
          <w:bCs/>
          <w:color w:val="000000"/>
        </w:rPr>
        <w:t>13</w:t>
      </w:r>
      <w:r>
        <w:rPr>
          <w:rFonts w:hint="eastAsia"/>
          <w:bCs/>
          <w:color w:val="000000"/>
        </w:rPr>
        <w:t>岁以上。</w:t>
      </w:r>
    </w:p>
    <w:p w:rsidR="00692915" w:rsidRDefault="00692915" w:rsidP="009A1C1B">
      <w:pPr>
        <w:spacing w:after="200"/>
        <w:ind w:firstLine="31680"/>
        <w:rPr>
          <w:rFonts w:hint="eastAsia"/>
          <w:bCs/>
          <w:color w:val="000000"/>
        </w:rPr>
      </w:pPr>
      <w:r>
        <w:rPr>
          <w:rFonts w:hint="eastAsia"/>
          <w:bCs/>
          <w:color w:val="000000"/>
        </w:rPr>
        <w:t>艾纳鲁和</w:t>
      </w:r>
      <w:r>
        <w:rPr>
          <w:bCs/>
          <w:color w:val="000000"/>
        </w:rPr>
        <w:t>波波纳罗</w:t>
      </w:r>
      <w:r>
        <w:rPr>
          <w:rFonts w:hint="eastAsia"/>
          <w:bCs/>
          <w:color w:val="000000"/>
        </w:rPr>
        <w:t>女性的预期寿命最低，分别为</w:t>
      </w:r>
      <w:r>
        <w:rPr>
          <w:bCs/>
          <w:color w:val="000000"/>
        </w:rPr>
        <w:t xml:space="preserve">51.4 </w:t>
      </w:r>
      <w:r>
        <w:rPr>
          <w:rFonts w:hint="eastAsia"/>
          <w:bCs/>
          <w:color w:val="000000"/>
        </w:rPr>
        <w:t>岁和</w:t>
      </w:r>
      <w:r>
        <w:rPr>
          <w:bCs/>
          <w:color w:val="000000"/>
        </w:rPr>
        <w:t>51.9</w:t>
      </w:r>
      <w:r>
        <w:rPr>
          <w:rFonts w:hint="eastAsia"/>
          <w:bCs/>
          <w:color w:val="000000"/>
        </w:rPr>
        <w:t>岁，这分别比全国平均水平低</w:t>
      </w:r>
      <w:r>
        <w:rPr>
          <w:bCs/>
          <w:color w:val="000000"/>
        </w:rPr>
        <w:t>4.7</w:t>
      </w:r>
      <w:r>
        <w:rPr>
          <w:rFonts w:hint="eastAsia"/>
          <w:bCs/>
          <w:color w:val="000000"/>
        </w:rPr>
        <w:t>岁和</w:t>
      </w:r>
      <w:r>
        <w:rPr>
          <w:bCs/>
          <w:color w:val="000000"/>
        </w:rPr>
        <w:t>5.2</w:t>
      </w:r>
      <w:r>
        <w:rPr>
          <w:rFonts w:hint="eastAsia"/>
          <w:bCs/>
          <w:color w:val="000000"/>
        </w:rPr>
        <w:t>岁，比帝力地区女性的预期寿命低</w:t>
      </w:r>
      <w:r>
        <w:rPr>
          <w:rFonts w:hint="eastAsia"/>
          <w:bCs/>
          <w:color w:val="000000"/>
        </w:rPr>
        <w:t>13</w:t>
      </w:r>
      <w:r>
        <w:rPr>
          <w:rFonts w:hint="eastAsia"/>
          <w:bCs/>
          <w:color w:val="000000"/>
        </w:rPr>
        <w:t>岁左右。</w:t>
      </w:r>
    </w:p>
    <w:p w:rsidR="00692915" w:rsidRDefault="00692915" w:rsidP="009A1C1B">
      <w:pPr>
        <w:spacing w:after="200"/>
        <w:ind w:firstLine="31680"/>
        <w:rPr>
          <w:rFonts w:hint="eastAsia"/>
          <w:bCs/>
          <w:color w:val="000000"/>
        </w:rPr>
      </w:pPr>
      <w:r>
        <w:rPr>
          <w:rFonts w:hint="eastAsia"/>
          <w:bCs/>
          <w:color w:val="000000"/>
        </w:rPr>
        <w:t>在欧库西和利基萨两个地区，男性和女性的预期寿命差异最大，女性寿命更长一些。但在阿伊莱乌，男性的出生时预期寿命实际上要长一些。</w:t>
      </w:r>
    </w:p>
    <w:p w:rsidR="00692915" w:rsidRDefault="00692915">
      <w:pPr>
        <w:pStyle w:val="Heading5"/>
        <w:spacing w:after="200"/>
        <w:ind w:firstLineChars="0" w:firstLine="0"/>
        <w:rPr>
          <w:rFonts w:hint="eastAsia"/>
          <w:b w:val="0"/>
          <w:bCs/>
          <w:color w:val="000000"/>
          <w:lang w:eastAsia="zh-CN"/>
        </w:rPr>
      </w:pPr>
      <w:r>
        <w:rPr>
          <w:rFonts w:eastAsia="KaiTi_GB2312" w:hint="eastAsia"/>
          <w:b w:val="0"/>
          <w:bCs/>
          <w:i w:val="0"/>
          <w:iCs/>
          <w:color w:val="000000"/>
          <w:lang w:eastAsia="zh-CN"/>
        </w:rPr>
        <w:t>单亲家庭</w:t>
      </w:r>
    </w:p>
    <w:p w:rsidR="00692915" w:rsidRDefault="00692915" w:rsidP="009A1C1B">
      <w:pPr>
        <w:spacing w:after="200"/>
        <w:ind w:firstLine="31680"/>
        <w:rPr>
          <w:rFonts w:hint="eastAsia"/>
          <w:bCs/>
          <w:color w:val="000000"/>
        </w:rPr>
      </w:pPr>
      <w:r>
        <w:rPr>
          <w:rFonts w:hint="eastAsia"/>
          <w:bCs/>
          <w:color w:val="000000"/>
        </w:rPr>
        <w:t>在目前模式的人口普查数据中，无法获得单亲家庭的数据，但可以获得寡居、离婚或分居人士的家庭数据。</w:t>
      </w:r>
    </w:p>
    <w:p w:rsidR="00692915" w:rsidRDefault="00692915" w:rsidP="009A1C1B">
      <w:pPr>
        <w:spacing w:after="200"/>
        <w:ind w:firstLine="31680"/>
        <w:rPr>
          <w:rFonts w:hint="eastAsia"/>
          <w:bCs/>
          <w:color w:val="000000"/>
        </w:rPr>
      </w:pPr>
      <w:r>
        <w:rPr>
          <w:rFonts w:hint="eastAsia"/>
          <w:bCs/>
          <w:color w:val="000000"/>
        </w:rPr>
        <w:t>在东帝汶，绝大多数寡居、离婚或分居的人员都为妇女：妇女在寡居者中占</w:t>
      </w:r>
      <w:r>
        <w:rPr>
          <w:rFonts w:hint="eastAsia"/>
          <w:bCs/>
          <w:color w:val="000000"/>
        </w:rPr>
        <w:t>72%</w:t>
      </w:r>
      <w:r>
        <w:rPr>
          <w:rFonts w:hint="eastAsia"/>
          <w:bCs/>
          <w:color w:val="000000"/>
        </w:rPr>
        <w:t>，在离婚者中占</w:t>
      </w:r>
      <w:r>
        <w:rPr>
          <w:rFonts w:hint="eastAsia"/>
          <w:bCs/>
          <w:color w:val="000000"/>
        </w:rPr>
        <w:t>70%</w:t>
      </w:r>
      <w:r>
        <w:rPr>
          <w:rFonts w:hint="eastAsia"/>
          <w:bCs/>
          <w:color w:val="000000"/>
        </w:rPr>
        <w:t>，在分居者中占</w:t>
      </w:r>
      <w:r>
        <w:rPr>
          <w:rFonts w:hint="eastAsia"/>
          <w:bCs/>
          <w:color w:val="000000"/>
        </w:rPr>
        <w:t>72%</w:t>
      </w:r>
      <w:r>
        <w:rPr>
          <w:rFonts w:hint="eastAsia"/>
          <w:bCs/>
          <w:color w:val="000000"/>
        </w:rPr>
        <w:t>。</w:t>
      </w:r>
    </w:p>
    <w:p w:rsidR="00692915" w:rsidRDefault="00692915">
      <w:pPr>
        <w:pStyle w:val="Heading5"/>
        <w:spacing w:after="200"/>
        <w:ind w:firstLineChars="0" w:firstLine="0"/>
        <w:rPr>
          <w:rFonts w:eastAsia="KaiTi_GB2312" w:hint="eastAsia"/>
          <w:b w:val="0"/>
          <w:bCs/>
          <w:i w:val="0"/>
          <w:iCs/>
          <w:color w:val="000000"/>
          <w:lang w:eastAsia="zh-CN"/>
        </w:rPr>
      </w:pPr>
      <w:r>
        <w:rPr>
          <w:rFonts w:eastAsia="KaiTi_GB2312" w:hint="eastAsia"/>
          <w:b w:val="0"/>
          <w:bCs/>
          <w:i w:val="0"/>
          <w:iCs/>
          <w:color w:val="000000"/>
          <w:lang w:eastAsia="zh-CN"/>
        </w:rPr>
        <w:t>女户主</w:t>
      </w:r>
    </w:p>
    <w:p w:rsidR="00692915" w:rsidRDefault="00692915" w:rsidP="009A1C1B">
      <w:pPr>
        <w:spacing w:after="200"/>
        <w:ind w:firstLine="31680"/>
        <w:rPr>
          <w:rFonts w:hint="eastAsia"/>
          <w:color w:val="000000"/>
        </w:rPr>
      </w:pPr>
      <w:r>
        <w:rPr>
          <w:rFonts w:hint="eastAsia"/>
          <w:bCs/>
          <w:color w:val="000000"/>
        </w:rPr>
        <w:t>2004</w:t>
      </w:r>
      <w:r>
        <w:rPr>
          <w:rFonts w:hint="eastAsia"/>
          <w:bCs/>
          <w:color w:val="000000"/>
        </w:rPr>
        <w:t>年人口普查的结果显示，在所有私人住户中，有</w:t>
      </w:r>
      <w:r>
        <w:rPr>
          <w:rFonts w:hint="eastAsia"/>
          <w:bCs/>
          <w:color w:val="000000"/>
        </w:rPr>
        <w:t>19%</w:t>
      </w:r>
      <w:r>
        <w:rPr>
          <w:rFonts w:hint="eastAsia"/>
          <w:bCs/>
          <w:color w:val="000000"/>
        </w:rPr>
        <w:t>住户的户主为女性，这些住户的人口占私人住户人口的</w:t>
      </w:r>
      <w:r>
        <w:rPr>
          <w:rFonts w:hint="eastAsia"/>
          <w:bCs/>
          <w:color w:val="000000"/>
        </w:rPr>
        <w:t>14%</w:t>
      </w:r>
      <w:r>
        <w:rPr>
          <w:rFonts w:hint="eastAsia"/>
          <w:bCs/>
          <w:color w:val="000000"/>
        </w:rPr>
        <w:t>。因此，女户主的住户少于男户主的住户。</w:t>
      </w:r>
    </w:p>
    <w:p w:rsidR="00692915" w:rsidRDefault="00692915" w:rsidP="009A1C1B">
      <w:pPr>
        <w:spacing w:after="200"/>
        <w:ind w:firstLine="31680"/>
        <w:rPr>
          <w:rFonts w:hint="eastAsia"/>
          <w:bCs/>
          <w:color w:val="000000"/>
        </w:rPr>
      </w:pPr>
      <w:r>
        <w:rPr>
          <w:rFonts w:hint="eastAsia"/>
          <w:bCs/>
          <w:color w:val="000000"/>
        </w:rPr>
        <w:t>图</w:t>
      </w:r>
      <w:r>
        <w:rPr>
          <w:rFonts w:hint="eastAsia"/>
          <w:bCs/>
          <w:color w:val="000000"/>
        </w:rPr>
        <w:t>17</w:t>
      </w:r>
      <w:r>
        <w:rPr>
          <w:rFonts w:hint="eastAsia"/>
          <w:bCs/>
          <w:color w:val="000000"/>
        </w:rPr>
        <w:t>显示了其中的部分原因：男户主往往集中在较年轻和较年长的年龄组中：在</w:t>
      </w:r>
      <w:r>
        <w:rPr>
          <w:rFonts w:hint="eastAsia"/>
          <w:bCs/>
          <w:color w:val="000000"/>
        </w:rPr>
        <w:t>25</w:t>
      </w:r>
      <w:r>
        <w:rPr>
          <w:rFonts w:hint="eastAsia"/>
          <w:bCs/>
          <w:color w:val="000000"/>
        </w:rPr>
        <w:t>岁以下的户主中，有</w:t>
      </w:r>
      <w:r>
        <w:rPr>
          <w:rFonts w:hint="eastAsia"/>
          <w:bCs/>
          <w:color w:val="000000"/>
        </w:rPr>
        <w:t>30%</w:t>
      </w:r>
      <w:r>
        <w:rPr>
          <w:rFonts w:hint="eastAsia"/>
          <w:bCs/>
          <w:color w:val="000000"/>
        </w:rPr>
        <w:t>为女性，而在</w:t>
      </w:r>
      <w:r>
        <w:rPr>
          <w:rFonts w:hint="eastAsia"/>
          <w:bCs/>
          <w:color w:val="000000"/>
        </w:rPr>
        <w:t>64</w:t>
      </w:r>
      <w:r>
        <w:rPr>
          <w:rFonts w:hint="eastAsia"/>
          <w:bCs/>
          <w:color w:val="000000"/>
        </w:rPr>
        <w:t>岁以上的户主中，有</w:t>
      </w:r>
      <w:r>
        <w:rPr>
          <w:rFonts w:hint="eastAsia"/>
          <w:bCs/>
          <w:color w:val="000000"/>
        </w:rPr>
        <w:t>42%</w:t>
      </w:r>
      <w:r>
        <w:rPr>
          <w:rFonts w:hint="eastAsia"/>
          <w:bCs/>
          <w:color w:val="000000"/>
        </w:rPr>
        <w:t>为女性。</w:t>
      </w:r>
    </w:p>
    <w:p w:rsidR="00692915" w:rsidRDefault="00692915">
      <w:pPr>
        <w:pStyle w:val="Heading2"/>
        <w:spacing w:after="0" w:line="288" w:lineRule="auto"/>
        <w:rPr>
          <w:rFonts w:hint="eastAsia"/>
          <w:color w:val="000000"/>
          <w:sz w:val="24"/>
        </w:rPr>
      </w:pPr>
      <w:r>
        <w:rPr>
          <w:rFonts w:hint="eastAsia"/>
          <w:color w:val="000000"/>
          <w:sz w:val="24"/>
        </w:rPr>
        <w:t>图</w:t>
      </w:r>
      <w:r>
        <w:rPr>
          <w:noProof/>
          <w:color w:val="000000"/>
          <w:sz w:val="24"/>
        </w:rPr>
        <w:t>17</w:t>
      </w:r>
      <w:r>
        <w:rPr>
          <w:rFonts w:hint="eastAsia"/>
          <w:noProof/>
          <w:color w:val="000000"/>
          <w:sz w:val="24"/>
        </w:rPr>
        <w:br/>
      </w:r>
      <w:r>
        <w:rPr>
          <w:rFonts w:hint="eastAsia"/>
          <w:color w:val="000000"/>
          <w:sz w:val="24"/>
        </w:rPr>
        <w:t>女户主住户在私人住户中所占的比率，以及女户主住户的人口在</w:t>
      </w:r>
      <w:r>
        <w:rPr>
          <w:color w:val="000000"/>
          <w:sz w:val="24"/>
        </w:rPr>
        <w:br/>
      </w:r>
      <w:r>
        <w:rPr>
          <w:rFonts w:hint="eastAsia"/>
          <w:color w:val="000000"/>
          <w:sz w:val="24"/>
        </w:rPr>
        <w:t>私人住户总人口中所占的比率，</w:t>
      </w:r>
      <w:r>
        <w:rPr>
          <w:rFonts w:hint="eastAsia"/>
          <w:color w:val="000000"/>
          <w:sz w:val="24"/>
        </w:rPr>
        <w:t>2004</w:t>
      </w:r>
      <w:r>
        <w:rPr>
          <w:rFonts w:hint="eastAsia"/>
          <w:color w:val="000000"/>
          <w:sz w:val="24"/>
        </w:rPr>
        <w:t>年人口普查</w:t>
      </w:r>
    </w:p>
    <w:p w:rsidR="00692915" w:rsidRDefault="00692915" w:rsidP="009A1C1B">
      <w:pPr>
        <w:ind w:firstLine="31680"/>
        <w:jc w:val="center"/>
        <w:rPr>
          <w:color w:val="000000"/>
        </w:rPr>
      </w:pPr>
      <w:r>
        <w:rPr>
          <w:noProof/>
          <w:snapToGrid/>
          <w:color w:val="000000"/>
          <w:sz w:val="20"/>
        </w:rPr>
        <w:pict>
          <v:shape id="_x0000_s2326" type="#_x0000_t202" style="position:absolute;left:0;text-align:left;margin-left:55.5pt;margin-top:8.35pt;width:370.5pt;height:23.6pt;z-index:75" o:regroupid="14" filled="f" fillcolor="#f59191" stroked="f">
            <v:fill color2="#ff5d5d" angle="-90" type="gradient"/>
            <v:textbox style="mso-next-textbox:#_x0000_s2326" inset=".5mm,0,.5mm,0">
              <w:txbxContent>
                <w:p w:rsidR="00692915" w:rsidRDefault="00692915">
                  <w:pPr>
                    <w:pStyle w:val="FootnoteText"/>
                    <w:spacing w:line="0" w:lineRule="atLeast"/>
                    <w:ind w:firstLineChars="0" w:firstLine="0"/>
                    <w:jc w:val="center"/>
                    <w:rPr>
                      <w:rFonts w:ascii="SimHei" w:eastAsia="SimHei"/>
                      <w:sz w:val="21"/>
                    </w:rPr>
                  </w:pPr>
                  <w:r>
                    <w:rPr>
                      <w:rFonts w:ascii="SimHei" w:eastAsia="SimHei" w:hint="eastAsia"/>
                      <w:sz w:val="21"/>
                    </w:rPr>
                    <w:t>14%的人口生活在女户主住户（FHH）中，女户主住户占私人住户的19%</w:t>
                  </w:r>
                </w:p>
              </w:txbxContent>
            </v:textbox>
          </v:shape>
        </w:pict>
      </w:r>
      <w:r>
        <w:rPr>
          <w:noProof/>
          <w:snapToGrid/>
          <w:color w:val="000000"/>
          <w:sz w:val="20"/>
        </w:rPr>
        <w:pict>
          <v:shape id="_x0000_s2328" type="#_x0000_t202" style="position:absolute;left:0;text-align:left;margin-left:159pt;margin-top:224pt;width:36pt;height:9.7pt;z-index:77" o:regroupid="14" filled="f" fillcolor="#f69898" stroked="f">
            <v:textbox inset=",0,,0">
              <w:txbxContent>
                <w:p w:rsidR="00692915" w:rsidRDefault="00692915">
                  <w:pPr>
                    <w:ind w:firstLineChars="0" w:firstLine="0"/>
                    <w:rPr>
                      <w:sz w:val="13"/>
                    </w:rPr>
                  </w:pPr>
                  <w:r>
                    <w:rPr>
                      <w:rFonts w:hint="eastAsia"/>
                      <w:sz w:val="13"/>
                    </w:rPr>
                    <w:t>女性</w:t>
                  </w:r>
                </w:p>
              </w:txbxContent>
            </v:textbox>
          </v:shape>
        </w:pict>
      </w:r>
      <w:r>
        <w:rPr>
          <w:noProof/>
          <w:snapToGrid/>
          <w:color w:val="000000"/>
          <w:sz w:val="20"/>
        </w:rPr>
        <w:pict>
          <v:shape id="_x0000_s2329" type="#_x0000_t202" style="position:absolute;left:0;text-align:left;margin-left:328pt;margin-top:223.75pt;width:36pt;height:9.7pt;z-index:78" o:regroupid="14" filled="f" fillcolor="#f69898" stroked="f">
            <v:textbox inset=",0,,0">
              <w:txbxContent>
                <w:p w:rsidR="00692915" w:rsidRDefault="00692915">
                  <w:pPr>
                    <w:ind w:firstLineChars="0" w:firstLine="0"/>
                    <w:rPr>
                      <w:b/>
                      <w:bCs/>
                      <w:sz w:val="13"/>
                    </w:rPr>
                  </w:pPr>
                  <w:r>
                    <w:rPr>
                      <w:rFonts w:hint="eastAsia"/>
                      <w:sz w:val="13"/>
                    </w:rPr>
                    <w:t>男性</w:t>
                  </w:r>
                </w:p>
              </w:txbxContent>
            </v:textbox>
          </v:shape>
        </w:pict>
      </w:r>
      <w:r>
        <w:rPr>
          <w:noProof/>
          <w:snapToGrid/>
          <w:color w:val="000000"/>
          <w:sz w:val="20"/>
        </w:rPr>
        <w:pict>
          <v:shape id="_x0000_s2327" type="#_x0000_t202" style="position:absolute;left:0;text-align:left;margin-left:115.05pt;margin-top:54.9pt;width:175.95pt;height:19.15pt;z-index:76" o:regroupid="14" filled="f" stroked="f">
            <v:textbox style="mso-next-textbox:#_x0000_s2327" inset=".5mm,0,.5mm,0">
              <w:txbxContent>
                <w:p w:rsidR="00692915" w:rsidRDefault="00692915" w:rsidP="009A1C1B">
                  <w:pPr>
                    <w:spacing w:line="0" w:lineRule="atLeast"/>
                    <w:ind w:firstLine="31680"/>
                    <w:rPr>
                      <w:rFonts w:hint="eastAsia"/>
                      <w:sz w:val="13"/>
                    </w:rPr>
                  </w:pPr>
                  <w:r>
                    <w:rPr>
                      <w:rFonts w:hint="eastAsia"/>
                      <w:sz w:val="13"/>
                    </w:rPr>
                    <w:t>户主性别</w:t>
                  </w:r>
                </w:p>
                <w:p w:rsidR="00692915" w:rsidRDefault="00692915" w:rsidP="009A1C1B">
                  <w:pPr>
                    <w:spacing w:line="0" w:lineRule="atLeast"/>
                    <w:ind w:firstLine="31680"/>
                    <w:rPr>
                      <w:sz w:val="13"/>
                    </w:rPr>
                  </w:pPr>
                  <w:r>
                    <w:rPr>
                      <w:rFonts w:hint="eastAsia"/>
                      <w:sz w:val="13"/>
                    </w:rPr>
                    <w:t>按户主性别分列的生活在住户中的人口</w:t>
                  </w:r>
                </w:p>
              </w:txbxContent>
            </v:textbox>
          </v:shape>
        </w:pict>
      </w:r>
      <w:bookmarkStart w:id="245" w:name="_MON_1261421215"/>
      <w:bookmarkStart w:id="246" w:name="_MON_1261422864"/>
      <w:bookmarkStart w:id="247" w:name="_MON_1261909037"/>
      <w:bookmarkStart w:id="248" w:name="_MON_1261910651"/>
      <w:bookmarkEnd w:id="245"/>
      <w:bookmarkEnd w:id="246"/>
      <w:bookmarkEnd w:id="247"/>
      <w:bookmarkEnd w:id="248"/>
      <w:r>
        <w:rPr>
          <w:color w:val="000000"/>
        </w:rPr>
        <w:object w:dxaOrig="7726" w:dyaOrig="4726">
          <v:shape id="_x0000_i1041" type="#_x0000_t75" style="width:386.25pt;height:236.25pt" o:ole="">
            <v:imagedata r:id="rId40" o:title=""/>
          </v:shape>
          <o:OLEObject Type="Embed" ProgID="Word.Picture.8" ShapeID="_x0000_i1041" DrawAspect="Content" ObjectID="_1395890550" r:id="rId41"/>
        </w:object>
      </w:r>
    </w:p>
    <w:p w:rsidR="00692915" w:rsidRDefault="00692915" w:rsidP="009A1C1B">
      <w:pPr>
        <w:tabs>
          <w:tab w:val="left" w:pos="1418"/>
        </w:tabs>
        <w:spacing w:afterLines="50" w:after="180"/>
        <w:ind w:firstLine="31680"/>
        <w:rPr>
          <w:rFonts w:hint="eastAsia"/>
          <w:color w:val="000000"/>
          <w:sz w:val="21"/>
        </w:rPr>
      </w:pPr>
      <w:r>
        <w:rPr>
          <w:rFonts w:eastAsia="KaiTi_GB2312" w:hint="eastAsia"/>
          <w:color w:val="000000"/>
          <w:sz w:val="21"/>
        </w:rPr>
        <w:t>资料来源</w:t>
      </w:r>
      <w:r>
        <w:rPr>
          <w:rFonts w:hint="eastAsia"/>
          <w:color w:val="000000"/>
          <w:sz w:val="21"/>
        </w:rPr>
        <w:t>：《</w:t>
      </w:r>
      <w:r>
        <w:rPr>
          <w:rFonts w:hint="eastAsia"/>
          <w:color w:val="000000"/>
          <w:sz w:val="21"/>
        </w:rPr>
        <w:t>2004</w:t>
      </w:r>
      <w:r>
        <w:rPr>
          <w:rFonts w:hint="eastAsia"/>
          <w:color w:val="000000"/>
          <w:sz w:val="21"/>
        </w:rPr>
        <w:t>年东帝汶人口与住房普查》，表一。</w:t>
      </w:r>
    </w:p>
    <w:p w:rsidR="00692915" w:rsidRDefault="00692915">
      <w:pPr>
        <w:pStyle w:val="Heading2"/>
        <w:spacing w:after="0"/>
        <w:rPr>
          <w:rFonts w:hint="eastAsia"/>
          <w:color w:val="000000"/>
          <w:sz w:val="24"/>
        </w:rPr>
      </w:pPr>
      <w:r>
        <w:rPr>
          <w:rFonts w:hint="eastAsia"/>
          <w:color w:val="000000"/>
          <w:sz w:val="24"/>
        </w:rPr>
        <w:t>图</w:t>
      </w:r>
      <w:r>
        <w:rPr>
          <w:color w:val="000000"/>
          <w:sz w:val="24"/>
        </w:rPr>
        <w:t xml:space="preserve"> 1</w:t>
      </w:r>
      <w:r>
        <w:rPr>
          <w:noProof/>
          <w:color w:val="000000"/>
          <w:sz w:val="24"/>
        </w:rPr>
        <w:t>8</w:t>
      </w:r>
      <w:r>
        <w:rPr>
          <w:rFonts w:hint="eastAsia"/>
          <w:noProof/>
          <w:color w:val="000000"/>
          <w:sz w:val="24"/>
        </w:rPr>
        <w:br/>
      </w:r>
      <w:r>
        <w:rPr>
          <w:rFonts w:hint="eastAsia"/>
          <w:color w:val="000000"/>
          <w:sz w:val="24"/>
        </w:rPr>
        <w:t>按性别和户主婚姻状况分列的私人住户，</w:t>
      </w:r>
      <w:r>
        <w:rPr>
          <w:rFonts w:hint="eastAsia"/>
          <w:color w:val="000000"/>
          <w:sz w:val="24"/>
        </w:rPr>
        <w:t>2004</w:t>
      </w:r>
      <w:r>
        <w:rPr>
          <w:rFonts w:hint="eastAsia"/>
          <w:color w:val="000000"/>
          <w:sz w:val="24"/>
        </w:rPr>
        <w:t>年人口普查</w:t>
      </w:r>
    </w:p>
    <w:p w:rsidR="00692915" w:rsidRDefault="00692915" w:rsidP="009A1C1B">
      <w:pPr>
        <w:ind w:firstLine="31680"/>
        <w:jc w:val="center"/>
        <w:rPr>
          <w:color w:val="000000"/>
        </w:rPr>
      </w:pPr>
      <w:r>
        <w:rPr>
          <w:noProof/>
          <w:snapToGrid/>
          <w:color w:val="000000"/>
          <w:sz w:val="20"/>
        </w:rPr>
        <w:pict>
          <v:shape id="_x0000_s2304" type="#_x0000_t202" style="position:absolute;left:0;text-align:left;margin-left:217.65pt;margin-top:48.9pt;width:198.35pt;height:16.3pt;z-index:57" o:regroupid="15" filled="f" stroked="f">
            <v:textbox>
              <w:txbxContent>
                <w:p w:rsidR="00692915" w:rsidRDefault="00692915" w:rsidP="009A1C1B">
                  <w:pPr>
                    <w:spacing w:line="240" w:lineRule="auto"/>
                    <w:ind w:firstLine="31680"/>
                    <w:rPr>
                      <w:spacing w:val="0"/>
                      <w:sz w:val="15"/>
                    </w:rPr>
                  </w:pPr>
                  <w:r>
                    <w:rPr>
                      <w:rFonts w:hint="eastAsia"/>
                      <w:spacing w:val="0"/>
                      <w:sz w:val="13"/>
                    </w:rPr>
                    <w:t>男户主</w:t>
                  </w:r>
                  <w:r>
                    <w:rPr>
                      <w:rFonts w:hint="eastAsia"/>
                      <w:spacing w:val="0"/>
                      <w:sz w:val="15"/>
                    </w:rPr>
                    <w:t xml:space="preserve">        </w:t>
                  </w:r>
                  <w:r>
                    <w:rPr>
                      <w:rFonts w:hint="eastAsia"/>
                      <w:spacing w:val="0"/>
                      <w:sz w:val="13"/>
                    </w:rPr>
                    <w:t>户主</w:t>
                  </w:r>
                  <w:r>
                    <w:rPr>
                      <w:rFonts w:hint="eastAsia"/>
                      <w:spacing w:val="0"/>
                      <w:sz w:val="15"/>
                    </w:rPr>
                    <w:t xml:space="preserve">             </w:t>
                  </w:r>
                  <w:r>
                    <w:rPr>
                      <w:rFonts w:hint="eastAsia"/>
                      <w:spacing w:val="0"/>
                      <w:sz w:val="13"/>
                    </w:rPr>
                    <w:t>住户总数</w:t>
                  </w:r>
                </w:p>
              </w:txbxContent>
            </v:textbox>
          </v:shape>
        </w:pict>
      </w:r>
      <w:r>
        <w:rPr>
          <w:noProof/>
          <w:snapToGrid/>
          <w:color w:val="000000"/>
          <w:sz w:val="20"/>
        </w:rPr>
        <w:pict>
          <v:shape id="_x0000_s2305" type="#_x0000_t202" style="position:absolute;left:0;text-align:left;margin-left:48.9pt;margin-top:215.65pt;width:366pt;height:12.4pt;z-index:58" o:regroupid="15" filled="f" fillcolor="#fbb" stroked="f">
            <v:textbox inset=",0,,0">
              <w:txbxContent>
                <w:p w:rsidR="00692915" w:rsidRDefault="00692915">
                  <w:pPr>
                    <w:ind w:firstLineChars="0" w:firstLine="0"/>
                    <w:jc w:val="left"/>
                    <w:rPr>
                      <w:sz w:val="13"/>
                    </w:rPr>
                  </w:pPr>
                  <w:r>
                    <w:rPr>
                      <w:rFonts w:hint="eastAsia"/>
                      <w:sz w:val="13"/>
                    </w:rPr>
                    <w:t>百分比</w:t>
                  </w:r>
                  <w:r>
                    <w:rPr>
                      <w:rFonts w:hint="eastAsia"/>
                      <w:sz w:val="13"/>
                    </w:rPr>
                    <w:t xml:space="preserve">      </w:t>
                  </w:r>
                  <w:r>
                    <w:rPr>
                      <w:rFonts w:hint="eastAsia"/>
                      <w:sz w:val="13"/>
                    </w:rPr>
                    <w:t>单身</w:t>
                  </w:r>
                  <w:r>
                    <w:rPr>
                      <w:rFonts w:hint="eastAsia"/>
                      <w:sz w:val="13"/>
                    </w:rPr>
                    <w:t xml:space="preserve">            </w:t>
                  </w:r>
                  <w:r>
                    <w:rPr>
                      <w:rFonts w:hint="eastAsia"/>
                      <w:sz w:val="13"/>
                    </w:rPr>
                    <w:t>已婚</w:t>
                  </w:r>
                  <w:r>
                    <w:rPr>
                      <w:rFonts w:hint="eastAsia"/>
                      <w:sz w:val="13"/>
                    </w:rPr>
                    <w:t xml:space="preserve">             </w:t>
                  </w:r>
                  <w:r>
                    <w:rPr>
                      <w:rFonts w:hint="eastAsia"/>
                      <w:sz w:val="13"/>
                    </w:rPr>
                    <w:t>寡居</w:t>
                  </w:r>
                  <w:r>
                    <w:rPr>
                      <w:rFonts w:hint="eastAsia"/>
                      <w:sz w:val="13"/>
                    </w:rPr>
                    <w:t xml:space="preserve">             </w:t>
                  </w:r>
                  <w:r>
                    <w:rPr>
                      <w:rFonts w:hint="eastAsia"/>
                      <w:sz w:val="13"/>
                    </w:rPr>
                    <w:t>离婚</w:t>
                  </w:r>
                  <w:r>
                    <w:rPr>
                      <w:rFonts w:hint="eastAsia"/>
                      <w:sz w:val="13"/>
                    </w:rPr>
                    <w:t xml:space="preserve">            </w:t>
                  </w:r>
                  <w:r>
                    <w:rPr>
                      <w:rFonts w:hint="eastAsia"/>
                      <w:sz w:val="13"/>
                    </w:rPr>
                    <w:t>分居</w:t>
                  </w:r>
                </w:p>
              </w:txbxContent>
            </v:textbox>
          </v:shape>
        </w:pict>
      </w:r>
      <w:r>
        <w:rPr>
          <w:noProof/>
          <w:snapToGrid/>
          <w:color w:val="000000"/>
          <w:sz w:val="20"/>
        </w:rPr>
        <w:pict>
          <v:rect id="_x0000_s2303" style="position:absolute;left:0;text-align:left;margin-left:336.5pt;margin-top:50.55pt;width:59.5pt;height:16.3pt;z-index:56" o:regroupid="15" filled="f" stroked="f"/>
        </w:pict>
      </w:r>
      <w:r>
        <w:rPr>
          <w:noProof/>
          <w:snapToGrid/>
          <w:color w:val="000000"/>
          <w:sz w:val="20"/>
        </w:rPr>
        <w:pict>
          <v:rect id="_x0000_s2302" style="position:absolute;left:0;text-align:left;margin-left:276pt;margin-top:50.55pt;width:53.45pt;height:16.3pt;z-index:55" o:regroupid="15" filled="f" stroked="f"/>
        </w:pict>
      </w:r>
      <w:r>
        <w:rPr>
          <w:noProof/>
          <w:snapToGrid/>
          <w:color w:val="000000"/>
          <w:sz w:val="20"/>
        </w:rPr>
        <w:pict>
          <v:rect id="_x0000_s2301" style="position:absolute;left:0;text-align:left;margin-left:225.8pt;margin-top:50.55pt;width:36pt;height:16.3pt;z-index:54" o:regroupid="15" filled="f" stroked="f"/>
        </w:pict>
      </w:r>
      <w:r>
        <w:rPr>
          <w:noProof/>
          <w:snapToGrid/>
          <w:color w:val="000000"/>
          <w:sz w:val="20"/>
        </w:rPr>
        <w:pict>
          <v:shape id="_x0000_s2300" type="#_x0000_t202" style="position:absolute;left:0;text-align:left;margin-left:48pt;margin-top:4.4pt;width:372pt;height:24.45pt;z-index:53" o:regroupid="15" filled="f" fillcolor="#ff5d5d" stroked="f">
            <v:fill color2="#fbb" angle="-90" focus="100%" type="gradient"/>
            <v:textbox>
              <w:txbxContent>
                <w:p w:rsidR="00692915" w:rsidRDefault="00692915" w:rsidP="009A1C1B">
                  <w:pPr>
                    <w:ind w:firstLine="31680"/>
                    <w:jc w:val="center"/>
                    <w:rPr>
                      <w:rFonts w:eastAsia="SimHei"/>
                      <w:sz w:val="21"/>
                    </w:rPr>
                  </w:pPr>
                  <w:r>
                    <w:rPr>
                      <w:rFonts w:eastAsia="SimHei" w:hint="eastAsia"/>
                      <w:sz w:val="21"/>
                    </w:rPr>
                    <w:t>女户主和男户主的婚姻状况类似，只是女户主寡居的较多</w:t>
                  </w:r>
                </w:p>
              </w:txbxContent>
            </v:textbox>
          </v:shape>
        </w:pict>
      </w:r>
      <w:bookmarkStart w:id="249" w:name="_MON_1261421388"/>
      <w:bookmarkStart w:id="250" w:name="_MON_1261422865"/>
      <w:bookmarkEnd w:id="249"/>
      <w:bookmarkEnd w:id="250"/>
      <w:r>
        <w:rPr>
          <w:color w:val="000000"/>
        </w:rPr>
        <w:object w:dxaOrig="7671" w:dyaOrig="4571">
          <v:shape id="_x0000_i1042" type="#_x0000_t75" style="width:383.25pt;height:228.75pt" o:ole="">
            <v:imagedata r:id="rId42" o:title=""/>
          </v:shape>
          <o:OLEObject Type="Embed" ProgID="Word.Picture.8" ShapeID="_x0000_i1042" DrawAspect="Content" ObjectID="_1395890551" r:id="rId43"/>
        </w:object>
      </w:r>
    </w:p>
    <w:p w:rsidR="00692915" w:rsidRDefault="00692915" w:rsidP="009A1C1B">
      <w:pPr>
        <w:tabs>
          <w:tab w:val="left" w:pos="1418"/>
        </w:tabs>
        <w:ind w:firstLine="31680"/>
        <w:rPr>
          <w:rFonts w:hint="eastAsia"/>
          <w:color w:val="000000"/>
          <w:sz w:val="21"/>
        </w:rPr>
      </w:pPr>
      <w:bookmarkStart w:id="251" w:name="_Toc132732226"/>
      <w:r>
        <w:rPr>
          <w:rFonts w:eastAsia="KaiTi_GB2312" w:hint="eastAsia"/>
          <w:color w:val="000000"/>
          <w:sz w:val="21"/>
        </w:rPr>
        <w:t>资料来源</w:t>
      </w:r>
      <w:r>
        <w:rPr>
          <w:rFonts w:hint="eastAsia"/>
          <w:color w:val="000000"/>
          <w:sz w:val="21"/>
        </w:rPr>
        <w:t>：《</w:t>
      </w:r>
      <w:r>
        <w:rPr>
          <w:rFonts w:hint="eastAsia"/>
          <w:color w:val="000000"/>
          <w:sz w:val="21"/>
        </w:rPr>
        <w:t>2004</w:t>
      </w:r>
      <w:r>
        <w:rPr>
          <w:rFonts w:hint="eastAsia"/>
          <w:color w:val="000000"/>
          <w:sz w:val="21"/>
        </w:rPr>
        <w:t>年东帝汶人口与住房普查》，表一。</w:t>
      </w:r>
    </w:p>
    <w:bookmarkEnd w:id="251"/>
    <w:p w:rsidR="00692915" w:rsidRDefault="00692915" w:rsidP="009A1C1B">
      <w:pPr>
        <w:pStyle w:val="Heading6"/>
        <w:spacing w:before="120"/>
        <w:ind w:firstLineChars="82" w:firstLine="31680"/>
        <w:rPr>
          <w:rFonts w:hint="eastAsia"/>
          <w:color w:val="000000"/>
          <w:sz w:val="26"/>
          <w:lang w:eastAsia="zh-CN"/>
        </w:rPr>
      </w:pPr>
      <w:r>
        <w:rPr>
          <w:rFonts w:hint="eastAsia"/>
          <w:color w:val="000000"/>
          <w:kern w:val="32"/>
          <w:sz w:val="26"/>
          <w:lang w:eastAsia="zh-CN"/>
        </w:rPr>
        <w:t>社会、经济与文化统计</w:t>
      </w:r>
    </w:p>
    <w:p w:rsidR="00692915" w:rsidRDefault="00692915" w:rsidP="009A1C1B">
      <w:pPr>
        <w:pStyle w:val="Heading5"/>
        <w:ind w:firstLineChars="82" w:firstLine="31680"/>
        <w:rPr>
          <w:rFonts w:hint="eastAsia"/>
          <w:b w:val="0"/>
          <w:bCs/>
          <w:color w:val="000000"/>
          <w:lang w:eastAsia="zh-CN"/>
        </w:rPr>
      </w:pPr>
      <w:r>
        <w:rPr>
          <w:rFonts w:eastAsia="KaiTi_GB2312" w:hint="eastAsia"/>
          <w:b w:val="0"/>
          <w:bCs/>
          <w:i w:val="0"/>
          <w:iCs/>
          <w:color w:val="000000"/>
          <w:lang w:eastAsia="zh-CN"/>
        </w:rPr>
        <w:t>国内生产总值</w:t>
      </w:r>
    </w:p>
    <w:p w:rsidR="00692915" w:rsidRDefault="00692915" w:rsidP="009A1C1B">
      <w:pPr>
        <w:ind w:firstLine="31680"/>
        <w:rPr>
          <w:rFonts w:hint="eastAsia"/>
          <w:bCs/>
          <w:color w:val="000000"/>
        </w:rPr>
      </w:pPr>
      <w:r>
        <w:rPr>
          <w:rFonts w:hint="eastAsia"/>
          <w:bCs/>
          <w:color w:val="000000"/>
        </w:rPr>
        <w:t>东帝汶的自然资源包括：黄金、石油、天然气、锰和大理石。尽管绝大多数人口都以农业为主，但</w:t>
      </w:r>
      <w:r>
        <w:rPr>
          <w:rFonts w:hint="eastAsia"/>
          <w:bCs/>
          <w:color w:val="000000"/>
        </w:rPr>
        <w:t>2001</w:t>
      </w:r>
      <w:r>
        <w:rPr>
          <w:rFonts w:hint="eastAsia"/>
          <w:bCs/>
          <w:color w:val="000000"/>
        </w:rPr>
        <w:t>年耕种的土地只有</w:t>
      </w:r>
      <w:r>
        <w:rPr>
          <w:bCs/>
          <w:color w:val="000000"/>
        </w:rPr>
        <w:t>4.7 %</w:t>
      </w:r>
      <w:r>
        <w:rPr>
          <w:rFonts w:hint="eastAsia"/>
          <w:bCs/>
          <w:color w:val="000000"/>
        </w:rPr>
        <w:t>，多年生作物用地只有</w:t>
      </w:r>
      <w:r>
        <w:rPr>
          <w:bCs/>
          <w:color w:val="000000"/>
        </w:rPr>
        <w:t>0.7 %</w:t>
      </w:r>
      <w:r>
        <w:rPr>
          <w:rFonts w:hint="eastAsia"/>
          <w:bCs/>
          <w:color w:val="000000"/>
        </w:rPr>
        <w:t>。</w:t>
      </w:r>
    </w:p>
    <w:p w:rsidR="00692915" w:rsidRDefault="00692915" w:rsidP="009A1C1B">
      <w:pPr>
        <w:spacing w:after="240"/>
        <w:ind w:firstLine="31680"/>
        <w:rPr>
          <w:rFonts w:hint="eastAsia"/>
          <w:bCs/>
          <w:color w:val="000000"/>
        </w:rPr>
      </w:pPr>
      <w:r>
        <w:rPr>
          <w:rFonts w:hint="eastAsia"/>
          <w:bCs/>
          <w:color w:val="000000"/>
        </w:rPr>
        <w:t>国民产值是指一个经济体在一年期间内的产出值。国民产值又称国民产出，表示一个国家中企业生产的所有商品与服务的市场价值（图</w:t>
      </w:r>
      <w:r>
        <w:rPr>
          <w:rFonts w:hint="eastAsia"/>
          <w:bCs/>
          <w:color w:val="000000"/>
        </w:rPr>
        <w:t>19</w:t>
      </w:r>
      <w:r>
        <w:rPr>
          <w:rFonts w:hint="eastAsia"/>
          <w:bCs/>
          <w:color w:val="000000"/>
        </w:rPr>
        <w:t>）。</w:t>
      </w:r>
    </w:p>
    <w:p w:rsidR="00692915" w:rsidRDefault="00692915">
      <w:pPr>
        <w:pStyle w:val="Heading2"/>
        <w:spacing w:after="0"/>
        <w:rPr>
          <w:rFonts w:hint="eastAsia"/>
          <w:color w:val="000000"/>
          <w:sz w:val="24"/>
        </w:rPr>
      </w:pPr>
      <w:bookmarkStart w:id="252" w:name="_Toc132732318"/>
      <w:r>
        <w:rPr>
          <w:rFonts w:hint="eastAsia"/>
          <w:color w:val="000000"/>
          <w:sz w:val="24"/>
        </w:rPr>
        <w:t>图</w:t>
      </w:r>
      <w:r>
        <w:rPr>
          <w:color w:val="000000"/>
          <w:sz w:val="24"/>
        </w:rPr>
        <w:t>19</w:t>
      </w:r>
      <w:r>
        <w:rPr>
          <w:rFonts w:hint="eastAsia"/>
          <w:color w:val="000000"/>
          <w:sz w:val="24"/>
        </w:rPr>
        <w:br/>
      </w:r>
      <w:bookmarkEnd w:id="252"/>
      <w:r>
        <w:rPr>
          <w:rFonts w:hint="eastAsia"/>
          <w:color w:val="000000"/>
          <w:sz w:val="24"/>
        </w:rPr>
        <w:t>按产业来源分列以当前市场价格衡量的国内生产总值（百万美元）</w:t>
      </w:r>
    </w:p>
    <w:p w:rsidR="00692915" w:rsidRDefault="00692915">
      <w:pPr>
        <w:ind w:firstLineChars="0" w:firstLine="0"/>
        <w:jc w:val="center"/>
        <w:rPr>
          <w:rFonts w:hint="eastAsia"/>
          <w:color w:val="000000"/>
        </w:rPr>
      </w:pPr>
      <w:r>
        <w:rPr>
          <w:iCs/>
          <w:noProof/>
          <w:snapToGrid/>
          <w:color w:val="000000"/>
          <w:sz w:val="20"/>
        </w:rPr>
        <w:pict>
          <v:group id="_x0000_s2439" style="position:absolute;left:0;text-align:left;margin-left:48.4pt;margin-top:8pt;width:374.25pt;height:260.5pt;z-index:79" coordorigin="2669,7093" coordsize="7485,5210">
            <v:shape id="_x0000_s2331" type="#_x0000_t202" style="position:absolute;left:3021;top:7093;width:6960;height:489" o:regroupid="16" filled="f" fillcolor="#f69898" stroked="f">
              <v:textbox>
                <w:txbxContent>
                  <w:p w:rsidR="00692915" w:rsidRDefault="00692915">
                    <w:pPr>
                      <w:ind w:firstLineChars="0" w:firstLine="0"/>
                      <w:jc w:val="center"/>
                      <w:rPr>
                        <w:rFonts w:eastAsia="SimHei"/>
                      </w:rPr>
                    </w:pPr>
                    <w:r>
                      <w:rPr>
                        <w:rFonts w:eastAsia="SimHei" w:hint="eastAsia"/>
                        <w:iCs/>
                        <w:sz w:val="21"/>
                      </w:rPr>
                      <w:t>农业继续是国内经济的支柱</w:t>
                    </w:r>
                  </w:p>
                </w:txbxContent>
              </v:textbox>
            </v:shape>
            <v:shape id="_x0000_s2332" type="#_x0000_t202" style="position:absolute;left:6081;top:7851;width:1200;height:274" o:regroupid="16" filled="f" stroked="f">
              <v:textbox inset=",0,,0">
                <w:txbxContent>
                  <w:p w:rsidR="00692915" w:rsidRDefault="00692915">
                    <w:pPr>
                      <w:pStyle w:val="FootnoteText"/>
                      <w:ind w:firstLineChars="0" w:firstLine="0"/>
                      <w:rPr>
                        <w:b/>
                        <w:bCs/>
                        <w:sz w:val="15"/>
                      </w:rPr>
                    </w:pPr>
                    <w:r>
                      <w:rPr>
                        <w:rFonts w:eastAsia="SimSun" w:hint="eastAsia"/>
                        <w:iCs/>
                        <w:sz w:val="15"/>
                      </w:rPr>
                      <w:t>制造业</w:t>
                    </w:r>
                  </w:p>
                </w:txbxContent>
              </v:textbox>
            </v:shape>
            <v:shape id="_x0000_s2333" type="#_x0000_t202" style="position:absolute;left:5991;top:8325;width:1394;height:439" o:regroupid="16" filled="f" stroked="f">
              <v:textbox inset=",0,,0">
                <w:txbxContent>
                  <w:p w:rsidR="00692915" w:rsidRDefault="00692915">
                    <w:pPr>
                      <w:pStyle w:val="FootnoteText"/>
                      <w:ind w:firstLineChars="0" w:firstLine="0"/>
                      <w:rPr>
                        <w:b/>
                        <w:bCs/>
                        <w:sz w:val="15"/>
                      </w:rPr>
                    </w:pPr>
                    <w:r>
                      <w:rPr>
                        <w:rFonts w:eastAsia="SimSun" w:hint="eastAsia"/>
                        <w:iCs/>
                        <w:sz w:val="15"/>
                      </w:rPr>
                      <w:t>交通运输</w:t>
                    </w:r>
                  </w:p>
                </w:txbxContent>
              </v:textbox>
            </v:shape>
            <v:shape id="_x0000_s2334" type="#_x0000_t202" style="position:absolute;left:8260;top:8177;width:1560;height:375" o:regroupid="16" filled="f" stroked="f">
              <v:textbox inset=",0,,0">
                <w:txbxContent>
                  <w:p w:rsidR="00692915" w:rsidRDefault="00692915">
                    <w:pPr>
                      <w:pStyle w:val="FootnoteText"/>
                      <w:ind w:firstLineChars="0" w:firstLine="0"/>
                      <w:rPr>
                        <w:rFonts w:eastAsia="SimSun"/>
                        <w:b/>
                        <w:bCs/>
                        <w:sz w:val="15"/>
                      </w:rPr>
                    </w:pPr>
                    <w:r>
                      <w:rPr>
                        <w:rFonts w:eastAsia="SimSun" w:hint="eastAsia"/>
                        <w:iCs/>
                        <w:sz w:val="15"/>
                      </w:rPr>
                      <w:t>金融、银行与商业</w:t>
                    </w:r>
                  </w:p>
                </w:txbxContent>
              </v:textbox>
            </v:shape>
            <v:shape id="_x0000_s2335" type="#_x0000_t202" style="position:absolute;left:3661;top:9289;width:1161;height:286" o:regroupid="16" filled="f" stroked="f">
              <v:textbox inset=",0,,0">
                <w:txbxContent>
                  <w:p w:rsidR="00692915" w:rsidRDefault="00692915">
                    <w:pPr>
                      <w:pStyle w:val="FootnoteText"/>
                      <w:ind w:firstLineChars="0" w:firstLine="0"/>
                      <w:rPr>
                        <w:b/>
                        <w:bCs/>
                        <w:sz w:val="15"/>
                      </w:rPr>
                    </w:pPr>
                    <w:r>
                      <w:rPr>
                        <w:rFonts w:eastAsia="SimSun" w:hint="eastAsia"/>
                        <w:iCs/>
                        <w:sz w:val="15"/>
                      </w:rPr>
                      <w:t>建筑业</w:t>
                    </w:r>
                  </w:p>
                </w:txbxContent>
              </v:textbox>
            </v:shape>
            <v:shape id="_x0000_s2336" type="#_x0000_t202" style="position:absolute;left:7591;top:8780;width:1540;height:375" o:regroupid="16" filled="f" stroked="f">
              <v:textbox inset=",0,,0">
                <w:txbxContent>
                  <w:p w:rsidR="00692915" w:rsidRDefault="00692915">
                    <w:pPr>
                      <w:pStyle w:val="FootnoteText"/>
                      <w:ind w:firstLineChars="0" w:firstLine="0"/>
                      <w:rPr>
                        <w:sz w:val="15"/>
                      </w:rPr>
                    </w:pPr>
                    <w:r>
                      <w:rPr>
                        <w:rFonts w:eastAsia="SimSun" w:hint="eastAsia"/>
                        <w:iCs/>
                        <w:sz w:val="15"/>
                      </w:rPr>
                      <w:t>贸易、饭店与餐饮</w:t>
                    </w:r>
                  </w:p>
                </w:txbxContent>
              </v:textbox>
            </v:shape>
            <v:shape id="_x0000_s2337" type="#_x0000_t202" style="position:absolute;left:5781;top:9794;width:1381;height:585" o:regroupid="16" filled="f" stroked="f">
              <v:textbox inset=",0,,0">
                <w:txbxContent>
                  <w:p w:rsidR="00692915" w:rsidRDefault="00692915">
                    <w:pPr>
                      <w:pStyle w:val="FootnoteText"/>
                      <w:ind w:firstLineChars="0" w:firstLine="0"/>
                      <w:rPr>
                        <w:sz w:val="15"/>
                      </w:rPr>
                    </w:pPr>
                    <w:r>
                      <w:rPr>
                        <w:rFonts w:eastAsia="SimSun"/>
                        <w:iCs/>
                        <w:sz w:val="15"/>
                      </w:rPr>
                      <w:br/>
                    </w:r>
                    <w:r>
                      <w:rPr>
                        <w:rFonts w:eastAsia="SimSun" w:hint="eastAsia"/>
                        <w:iCs/>
                        <w:sz w:val="15"/>
                      </w:rPr>
                      <w:t>公共管理与国防</w:t>
                    </w:r>
                  </w:p>
                </w:txbxContent>
              </v:textbox>
            </v:shape>
            <v:shape id="_x0000_s2338" type="#_x0000_t202" style="position:absolute;left:5707;top:11207;width:1595;height:428" o:regroupid="16" filled="f" stroked="f">
              <v:textbox inset=",0,,0">
                <w:txbxContent>
                  <w:p w:rsidR="00692915" w:rsidRDefault="00692915">
                    <w:pPr>
                      <w:pStyle w:val="FootnoteText"/>
                      <w:ind w:firstLineChars="0" w:firstLine="0"/>
                      <w:rPr>
                        <w:sz w:val="15"/>
                      </w:rPr>
                    </w:pPr>
                    <w:r>
                      <w:rPr>
                        <w:rFonts w:eastAsia="SimSun" w:hint="eastAsia"/>
                        <w:iCs/>
                        <w:sz w:val="15"/>
                      </w:rPr>
                      <w:t>农业、林业与渔业</w:t>
                    </w:r>
                  </w:p>
                </w:txbxContent>
              </v:textbox>
            </v:shape>
            <v:shape id="_x0000_s2339" type="#_x0000_t202" style="position:absolute;left:2669;top:12015;width:2056;height:274" o:regroupid="16" filled="f" fillcolor="#f69898" stroked="f">
              <v:textbox style="mso-next-textbox:#_x0000_s2339" inset=",1mm,,0">
                <w:txbxContent>
                  <w:p w:rsidR="00692915" w:rsidRDefault="00692915">
                    <w:pPr>
                      <w:pStyle w:val="FootnoteText"/>
                      <w:ind w:firstLineChars="0" w:firstLine="0"/>
                      <w:rPr>
                        <w:rFonts w:eastAsia="SimSun"/>
                        <w:sz w:val="13"/>
                      </w:rPr>
                    </w:pPr>
                    <w:r>
                      <w:rPr>
                        <w:rFonts w:eastAsia="SimSun" w:hint="eastAsia"/>
                        <w:iCs/>
                        <w:sz w:val="13"/>
                      </w:rPr>
                      <w:t>采掘业</w:t>
                    </w:r>
                  </w:p>
                </w:txbxContent>
              </v:textbox>
            </v:shape>
            <v:shape id="_x0000_s2340" type="#_x0000_t202" style="position:absolute;left:4933;top:12029;width:2056;height:274" o:regroupid="16" filled="f" fillcolor="#f69898" stroked="f">
              <v:textbox style="mso-next-textbox:#_x0000_s2340" inset=",1mm,,0">
                <w:txbxContent>
                  <w:p w:rsidR="00692915" w:rsidRDefault="00692915">
                    <w:pPr>
                      <w:pStyle w:val="FootnoteText"/>
                      <w:ind w:firstLineChars="0" w:firstLine="0"/>
                      <w:rPr>
                        <w:b/>
                        <w:bCs/>
                        <w:sz w:val="15"/>
                      </w:rPr>
                    </w:pPr>
                    <w:r>
                      <w:rPr>
                        <w:rFonts w:eastAsia="SimSun" w:hint="eastAsia"/>
                        <w:iCs/>
                        <w:sz w:val="13"/>
                      </w:rPr>
                      <w:t>电力、煤气与水</w:t>
                    </w:r>
                  </w:p>
                </w:txbxContent>
              </v:textbox>
            </v:shape>
            <v:shape id="_x0000_s2341" type="#_x0000_t202" style="position:absolute;left:7274;top:12022;width:2880;height:274" o:regroupid="16" filled="f" fillcolor="#f69898" stroked="f">
              <v:textbox style="mso-next-textbox:#_x0000_s2341" inset=",1mm,,0">
                <w:txbxContent>
                  <w:p w:rsidR="00692915" w:rsidRDefault="00692915">
                    <w:pPr>
                      <w:pStyle w:val="FootnoteText"/>
                      <w:ind w:firstLineChars="0" w:firstLine="0"/>
                      <w:rPr>
                        <w:b/>
                        <w:bCs/>
                        <w:sz w:val="15"/>
                      </w:rPr>
                    </w:pPr>
                    <w:r>
                      <w:rPr>
                        <w:rFonts w:eastAsia="SimSun" w:hint="eastAsia"/>
                        <w:iCs/>
                        <w:sz w:val="13"/>
                      </w:rPr>
                      <w:t>个人及团体服务</w:t>
                    </w:r>
                  </w:p>
                </w:txbxContent>
              </v:textbox>
            </v:shape>
          </v:group>
        </w:pict>
      </w:r>
      <w:bookmarkStart w:id="253" w:name="_MON_1261421846"/>
      <w:bookmarkEnd w:id="253"/>
      <w:r>
        <w:rPr>
          <w:color w:val="000000"/>
        </w:rPr>
        <w:object w:dxaOrig="8086" w:dyaOrig="5461">
          <v:shape id="_x0000_i1043" type="#_x0000_t75" style="width:404.25pt;height:273pt" o:ole="">
            <v:imagedata r:id="rId44" o:title=""/>
          </v:shape>
          <o:OLEObject Type="Embed" ProgID="Word.Picture.8" ShapeID="_x0000_i1043" DrawAspect="Content" ObjectID="_1395890552" r:id="rId45"/>
        </w:object>
      </w:r>
    </w:p>
    <w:p w:rsidR="00692915" w:rsidRDefault="00692915" w:rsidP="009A1C1B">
      <w:pPr>
        <w:ind w:firstLine="31680"/>
        <w:rPr>
          <w:rFonts w:hint="eastAsia"/>
          <w:bCs/>
          <w:color w:val="000000"/>
          <w:sz w:val="21"/>
        </w:rPr>
      </w:pPr>
      <w:r>
        <w:rPr>
          <w:rFonts w:eastAsia="KaiTi_GB2312" w:hint="eastAsia"/>
          <w:iCs/>
          <w:color w:val="000000"/>
          <w:sz w:val="21"/>
        </w:rPr>
        <w:t>资料来源</w:t>
      </w:r>
      <w:r>
        <w:rPr>
          <w:rFonts w:hint="eastAsia"/>
          <w:iCs/>
          <w:color w:val="000000"/>
          <w:sz w:val="21"/>
        </w:rPr>
        <w:t>：《</w:t>
      </w:r>
      <w:r>
        <w:rPr>
          <w:rFonts w:hint="eastAsia"/>
          <w:iCs/>
          <w:color w:val="000000"/>
          <w:sz w:val="21"/>
        </w:rPr>
        <w:t>2006</w:t>
      </w:r>
      <w:r>
        <w:rPr>
          <w:rFonts w:hint="eastAsia"/>
          <w:iCs/>
          <w:color w:val="000000"/>
          <w:sz w:val="21"/>
        </w:rPr>
        <w:t>年东帝汶人类发展报告》，附件九</w:t>
      </w:r>
      <w:r>
        <w:rPr>
          <w:rFonts w:hint="eastAsia"/>
          <w:iCs/>
          <w:color w:val="000000"/>
          <w:sz w:val="21"/>
        </w:rPr>
        <w:t>3</w:t>
      </w:r>
      <w:r>
        <w:rPr>
          <w:rFonts w:hint="eastAsia"/>
          <w:iCs/>
          <w:color w:val="000000"/>
          <w:sz w:val="21"/>
        </w:rPr>
        <w:t>，第</w:t>
      </w:r>
      <w:r>
        <w:rPr>
          <w:rFonts w:hint="eastAsia"/>
          <w:iCs/>
          <w:color w:val="000000"/>
          <w:sz w:val="21"/>
        </w:rPr>
        <w:t>82</w:t>
      </w:r>
      <w:r>
        <w:rPr>
          <w:rFonts w:hint="eastAsia"/>
          <w:iCs/>
          <w:color w:val="000000"/>
          <w:sz w:val="21"/>
        </w:rPr>
        <w:t>页。</w:t>
      </w:r>
      <w:r>
        <w:rPr>
          <w:iCs/>
          <w:color w:val="000000"/>
          <w:sz w:val="21"/>
        </w:rPr>
        <w:br/>
      </w:r>
    </w:p>
    <w:p w:rsidR="00692915" w:rsidRDefault="00692915" w:rsidP="009A1C1B">
      <w:pPr>
        <w:ind w:firstLine="31680"/>
        <w:rPr>
          <w:rFonts w:hint="eastAsia"/>
          <w:bCs/>
          <w:color w:val="000000"/>
        </w:rPr>
      </w:pPr>
      <w:r>
        <w:rPr>
          <w:rFonts w:hint="eastAsia"/>
          <w:bCs/>
          <w:color w:val="000000"/>
        </w:rPr>
        <w:t>在东帝汶的国民产值中，农业仍然占有很大的份额（五分之一），预计每年将增长</w:t>
      </w:r>
      <w:r>
        <w:rPr>
          <w:rFonts w:hint="eastAsia"/>
          <w:bCs/>
          <w:color w:val="000000"/>
        </w:rPr>
        <w:t>6%</w:t>
      </w:r>
      <w:r>
        <w:rPr>
          <w:rFonts w:hint="eastAsia"/>
          <w:bCs/>
          <w:color w:val="000000"/>
        </w:rPr>
        <w:t>左右（图</w:t>
      </w:r>
      <w:r>
        <w:rPr>
          <w:rFonts w:hint="eastAsia"/>
          <w:bCs/>
          <w:color w:val="000000"/>
        </w:rPr>
        <w:t>19</w:t>
      </w:r>
      <w:r>
        <w:rPr>
          <w:rFonts w:hint="eastAsia"/>
          <w:bCs/>
          <w:color w:val="000000"/>
        </w:rPr>
        <w:t>）。</w:t>
      </w:r>
    </w:p>
    <w:p w:rsidR="00692915" w:rsidRDefault="00692915" w:rsidP="009A1C1B">
      <w:pPr>
        <w:ind w:firstLine="31680"/>
        <w:rPr>
          <w:rFonts w:hint="eastAsia"/>
          <w:bCs/>
          <w:color w:val="000000"/>
        </w:rPr>
      </w:pPr>
      <w:r>
        <w:rPr>
          <w:rFonts w:hint="eastAsia"/>
          <w:bCs/>
          <w:color w:val="000000"/>
        </w:rPr>
        <w:t>大多数贫困人口都从事农业生产，农业雇用了</w:t>
      </w:r>
      <w:r>
        <w:rPr>
          <w:rFonts w:hint="eastAsia"/>
          <w:bCs/>
          <w:color w:val="000000"/>
        </w:rPr>
        <w:t>75%</w:t>
      </w:r>
      <w:r>
        <w:rPr>
          <w:rFonts w:hint="eastAsia"/>
          <w:bCs/>
          <w:color w:val="000000"/>
        </w:rPr>
        <w:t>左右的劳动力。但农业仍然主要以生计为导向。只有</w:t>
      </w:r>
      <w:r>
        <w:rPr>
          <w:rFonts w:hint="eastAsia"/>
          <w:bCs/>
          <w:color w:val="000000"/>
        </w:rPr>
        <w:t>3%</w:t>
      </w:r>
      <w:r>
        <w:rPr>
          <w:rFonts w:hint="eastAsia"/>
          <w:bCs/>
          <w:color w:val="000000"/>
        </w:rPr>
        <w:t>的农民进行了外部投入，例如化肥、农药、肥料或改进种子的品种。</w:t>
      </w:r>
    </w:p>
    <w:p w:rsidR="00692915" w:rsidRDefault="00692915" w:rsidP="009A1C1B">
      <w:pPr>
        <w:ind w:firstLine="31680"/>
        <w:rPr>
          <w:rFonts w:hint="eastAsia"/>
          <w:bCs/>
          <w:color w:val="000000"/>
        </w:rPr>
      </w:pPr>
      <w:r>
        <w:rPr>
          <w:rFonts w:hint="eastAsia"/>
          <w:bCs/>
          <w:color w:val="000000"/>
        </w:rPr>
        <w:t>农业发展在国民产值中具有重要意义，因此是国家发展的首要问题。但政府的职能将是集中关注基础设施和社会服务，鼓励私人部门提供经济服务。</w:t>
      </w:r>
      <w:r>
        <w:rPr>
          <w:rStyle w:val="FootnoteReference"/>
          <w:bCs/>
          <w:color w:val="000000"/>
        </w:rPr>
        <w:footnoteReference w:id="402"/>
      </w:r>
    </w:p>
    <w:p w:rsidR="00692915" w:rsidRDefault="00692915" w:rsidP="009A1C1B">
      <w:pPr>
        <w:ind w:firstLine="31680"/>
        <w:rPr>
          <w:rFonts w:hint="eastAsia"/>
          <w:bCs/>
          <w:color w:val="000000"/>
        </w:rPr>
      </w:pPr>
      <w:r>
        <w:rPr>
          <w:rFonts w:hint="eastAsia"/>
          <w:bCs/>
          <w:color w:val="000000"/>
        </w:rPr>
        <w:t>妨碍农业发展的主要障碍包括：农民技能水平低下，缺乏投入和机械；灌溉有限；基础设施薄弱；运输成本高；信息有限；土地权缺乏保障；缺乏多元化等。</w:t>
      </w:r>
    </w:p>
    <w:p w:rsidR="00692915" w:rsidRDefault="00692915">
      <w:pPr>
        <w:pStyle w:val="Heading2"/>
        <w:spacing w:before="240" w:after="0"/>
        <w:ind w:firstLine="601"/>
        <w:rPr>
          <w:rFonts w:hint="eastAsia"/>
          <w:i/>
          <w:color w:val="000000"/>
          <w:sz w:val="24"/>
        </w:rPr>
      </w:pPr>
      <w:r>
        <w:rPr>
          <w:rFonts w:hint="eastAsia"/>
          <w:color w:val="000000"/>
          <w:sz w:val="24"/>
        </w:rPr>
        <w:t>图</w:t>
      </w:r>
      <w:r>
        <w:rPr>
          <w:color w:val="000000"/>
          <w:sz w:val="24"/>
        </w:rPr>
        <w:t xml:space="preserve"> 20</w:t>
      </w:r>
      <w:r>
        <w:rPr>
          <w:rFonts w:hint="eastAsia"/>
          <w:color w:val="000000"/>
          <w:sz w:val="24"/>
        </w:rPr>
        <w:br/>
      </w:r>
      <w:r>
        <w:rPr>
          <w:color w:val="000000"/>
          <w:sz w:val="24"/>
        </w:rPr>
        <w:t>1999</w:t>
      </w:r>
      <w:r>
        <w:rPr>
          <w:rFonts w:hint="eastAsia"/>
          <w:color w:val="000000"/>
          <w:sz w:val="24"/>
        </w:rPr>
        <w:t>-</w:t>
      </w:r>
      <w:r>
        <w:rPr>
          <w:color w:val="000000"/>
          <w:sz w:val="24"/>
        </w:rPr>
        <w:t>2004</w:t>
      </w:r>
      <w:r>
        <w:rPr>
          <w:rFonts w:hint="eastAsia"/>
          <w:color w:val="000000"/>
          <w:sz w:val="24"/>
        </w:rPr>
        <w:t>年，不同产业在按照当前价格衡量的国内生产总值中</w:t>
      </w:r>
      <w:r>
        <w:rPr>
          <w:color w:val="000000"/>
          <w:sz w:val="24"/>
        </w:rPr>
        <w:br/>
      </w:r>
      <w:r>
        <w:rPr>
          <w:rFonts w:hint="eastAsia"/>
          <w:color w:val="000000"/>
          <w:sz w:val="24"/>
        </w:rPr>
        <w:t>所占的份额（在国内生产总值中所占的百分比）</w:t>
      </w:r>
    </w:p>
    <w:p w:rsidR="00692915" w:rsidRDefault="00692915" w:rsidP="009A1C1B">
      <w:pPr>
        <w:ind w:firstLine="31680"/>
        <w:jc w:val="center"/>
        <w:rPr>
          <w:rFonts w:hint="eastAsia"/>
          <w:color w:val="000000"/>
        </w:rPr>
      </w:pPr>
      <w:r>
        <w:rPr>
          <w:noProof/>
          <w:snapToGrid/>
          <w:color w:val="000000"/>
          <w:sz w:val="20"/>
        </w:rPr>
        <w:pict>
          <v:shape id="_x0000_s2353" type="#_x0000_t202" style="position:absolute;left:0;text-align:left;margin-left:289.1pt;margin-top:261.05pt;width:153.4pt;height:16.3pt;z-index:90" o:regroupid="17" filled="f" fillcolor="#ff6161" stroked="f">
            <v:textbox style="mso-next-textbox:#_x0000_s2353" inset=",1mm,,0">
              <w:txbxContent>
                <w:p w:rsidR="00692915" w:rsidRDefault="00692915">
                  <w:pPr>
                    <w:pStyle w:val="FootnoteText"/>
                    <w:ind w:firstLineChars="0" w:firstLine="0"/>
                    <w:rPr>
                      <w:rFonts w:eastAsia="SimSun"/>
                      <w:sz w:val="13"/>
                    </w:rPr>
                  </w:pPr>
                  <w:r>
                    <w:rPr>
                      <w:rFonts w:eastAsia="SimSun" w:hint="eastAsia"/>
                      <w:iCs/>
                      <w:sz w:val="13"/>
                    </w:rPr>
                    <w:t>个人及团体服务</w:t>
                  </w:r>
                </w:p>
              </w:txbxContent>
            </v:textbox>
          </v:shape>
        </w:pict>
      </w:r>
      <w:r>
        <w:rPr>
          <w:noProof/>
          <w:snapToGrid/>
          <w:color w:val="000000"/>
          <w:sz w:val="20"/>
        </w:rPr>
        <w:pict>
          <v:shape id="_x0000_s2352" type="#_x0000_t202" style="position:absolute;left:0;text-align:left;margin-left:166.5pt;margin-top:261.05pt;width:108pt;height:16.3pt;z-index:89" o:regroupid="17" filled="f" fillcolor="#ff6161" stroked="f">
            <v:textbox style="mso-next-textbox:#_x0000_s2352" inset=",1mm,,0">
              <w:txbxContent>
                <w:p w:rsidR="00692915" w:rsidRDefault="00692915">
                  <w:pPr>
                    <w:pStyle w:val="FootnoteText"/>
                    <w:ind w:firstLineChars="0" w:firstLine="0"/>
                    <w:rPr>
                      <w:b/>
                      <w:bCs/>
                      <w:sz w:val="15"/>
                    </w:rPr>
                  </w:pPr>
                  <w:r>
                    <w:rPr>
                      <w:rFonts w:eastAsia="SimSun" w:hint="eastAsia"/>
                      <w:iCs/>
                      <w:sz w:val="13"/>
                    </w:rPr>
                    <w:t>电力、煤气与水</w:t>
                  </w:r>
                </w:p>
              </w:txbxContent>
            </v:textbox>
          </v:shape>
        </w:pict>
      </w:r>
      <w:r>
        <w:rPr>
          <w:noProof/>
          <w:snapToGrid/>
          <w:color w:val="000000"/>
          <w:sz w:val="20"/>
        </w:rPr>
        <w:pict>
          <v:shape id="_x0000_s2351" type="#_x0000_t202" style="position:absolute;left:0;text-align:left;margin-left:46.5pt;margin-top:261.35pt;width:108pt;height:11.8pt;z-index:88" o:regroupid="17" filled="f" fillcolor="#ff6161" stroked="f">
            <v:textbox style="mso-next-textbox:#_x0000_s2351" inset=",1mm,,0">
              <w:txbxContent>
                <w:p w:rsidR="00692915" w:rsidRDefault="00692915">
                  <w:pPr>
                    <w:pStyle w:val="FootnoteText"/>
                    <w:ind w:firstLineChars="0" w:firstLine="0"/>
                    <w:rPr>
                      <w:b/>
                      <w:bCs/>
                      <w:sz w:val="15"/>
                    </w:rPr>
                  </w:pPr>
                  <w:r>
                    <w:rPr>
                      <w:rFonts w:eastAsia="SimSun" w:hint="eastAsia"/>
                      <w:iCs/>
                      <w:sz w:val="13"/>
                    </w:rPr>
                    <w:t>采掘业</w:t>
                  </w:r>
                </w:p>
              </w:txbxContent>
            </v:textbox>
          </v:shape>
        </w:pict>
      </w:r>
      <w:r>
        <w:rPr>
          <w:noProof/>
          <w:snapToGrid/>
          <w:color w:val="000000"/>
          <w:sz w:val="20"/>
        </w:rPr>
        <w:pict>
          <v:shape id="_x0000_s2354" type="#_x0000_t202" style="position:absolute;left:0;text-align:left;margin-left:47pt;margin-top:101.25pt;width:18pt;height:63pt;z-index:91" o:regroupid="17" filled="f" fillcolor="#f59191" stroked="f">
            <v:textbox style="layout-flow:vertical;mso-layout-flow-alt:bottom-to-top;mso-next-textbox:#_x0000_s2354" inset=".5mm,0,.5mm,0">
              <w:txbxContent>
                <w:p w:rsidR="00692915" w:rsidRDefault="00692915">
                  <w:pPr>
                    <w:spacing w:line="240" w:lineRule="exact"/>
                    <w:ind w:firstLineChars="0" w:firstLine="0"/>
                    <w:jc w:val="center"/>
                    <w:rPr>
                      <w:sz w:val="13"/>
                    </w:rPr>
                  </w:pPr>
                  <w:r>
                    <w:rPr>
                      <w:rFonts w:hint="eastAsia"/>
                      <w:sz w:val="13"/>
                    </w:rPr>
                    <w:t>百分比</w:t>
                  </w:r>
                </w:p>
              </w:txbxContent>
            </v:textbox>
          </v:shape>
        </w:pict>
      </w:r>
      <w:r>
        <w:rPr>
          <w:noProof/>
          <w:snapToGrid/>
          <w:color w:val="000000"/>
          <w:sz w:val="20"/>
        </w:rPr>
        <w:pict>
          <v:shape id="_x0000_s2347" type="#_x0000_t202" style="position:absolute;left:0;text-align:left;margin-left:143.6pt;margin-top:106.25pt;width:58.05pt;height:14.3pt;z-index:84" o:regroupid="17" filled="f" stroked="f">
            <v:textbox style="mso-next-textbox:#_x0000_s2347" inset=",0,,0">
              <w:txbxContent>
                <w:p w:rsidR="00692915" w:rsidRDefault="00692915" w:rsidP="009A1C1B">
                  <w:pPr>
                    <w:pStyle w:val="FootnoteText"/>
                    <w:ind w:firstLine="31680"/>
                    <w:jc w:val="center"/>
                    <w:rPr>
                      <w:rFonts w:eastAsia="SimSun"/>
                      <w:b/>
                      <w:bCs/>
                      <w:sz w:val="15"/>
                    </w:rPr>
                  </w:pPr>
                  <w:r>
                    <w:rPr>
                      <w:rFonts w:eastAsia="SimSun" w:hint="eastAsia"/>
                      <w:iCs/>
                      <w:sz w:val="15"/>
                    </w:rPr>
                    <w:t>建筑业</w:t>
                  </w:r>
                </w:p>
              </w:txbxContent>
            </v:textbox>
          </v:shape>
        </w:pict>
      </w:r>
      <w:r>
        <w:rPr>
          <w:noProof/>
          <w:snapToGrid/>
          <w:color w:val="000000"/>
          <w:sz w:val="20"/>
        </w:rPr>
        <w:pict>
          <v:shape id="_x0000_s2344" type="#_x0000_t202" style="position:absolute;left:0;text-align:left;margin-left:129pt;margin-top:42.5pt;width:60pt;height:13.7pt;z-index:81" o:regroupid="17" filled="f" stroked="f">
            <v:textbox style="mso-next-textbox:#_x0000_s2344" inset=",0,,0">
              <w:txbxContent>
                <w:p w:rsidR="00692915" w:rsidRDefault="00692915" w:rsidP="009A1C1B">
                  <w:pPr>
                    <w:pStyle w:val="FootnoteText"/>
                    <w:ind w:firstLine="31680"/>
                    <w:jc w:val="center"/>
                    <w:rPr>
                      <w:rFonts w:eastAsia="SimSun"/>
                      <w:sz w:val="15"/>
                    </w:rPr>
                  </w:pPr>
                  <w:r>
                    <w:rPr>
                      <w:rFonts w:eastAsia="SimSun" w:hint="eastAsia"/>
                      <w:iCs/>
                      <w:sz w:val="15"/>
                    </w:rPr>
                    <w:t>制造业</w:t>
                  </w:r>
                </w:p>
              </w:txbxContent>
            </v:textbox>
          </v:shape>
        </w:pict>
      </w:r>
      <w:r>
        <w:rPr>
          <w:noProof/>
          <w:snapToGrid/>
          <w:color w:val="000000"/>
          <w:sz w:val="20"/>
        </w:rPr>
        <w:pict>
          <v:shape id="_x0000_s2345" type="#_x0000_t202" style="position:absolute;left:0;text-align:left;margin-left:128.75pt;margin-top:66.8pt;width:72.75pt;height:21.95pt;z-index:82" o:regroupid="17" filled="f" stroked="f">
            <v:textbox style="mso-next-textbox:#_x0000_s2345" inset=",0,,0">
              <w:txbxContent>
                <w:p w:rsidR="00692915" w:rsidRDefault="00692915" w:rsidP="009A1C1B">
                  <w:pPr>
                    <w:pStyle w:val="FootnoteText"/>
                    <w:ind w:firstLine="31680"/>
                    <w:jc w:val="center"/>
                    <w:rPr>
                      <w:rFonts w:eastAsia="SimSun"/>
                      <w:b/>
                      <w:bCs/>
                      <w:sz w:val="15"/>
                    </w:rPr>
                  </w:pPr>
                  <w:r>
                    <w:rPr>
                      <w:rFonts w:eastAsia="SimSun" w:hint="eastAsia"/>
                      <w:iCs/>
                      <w:sz w:val="15"/>
                    </w:rPr>
                    <w:t>交通运输</w:t>
                  </w:r>
                </w:p>
              </w:txbxContent>
            </v:textbox>
          </v:shape>
        </w:pict>
      </w:r>
      <w:r>
        <w:rPr>
          <w:noProof/>
          <w:snapToGrid/>
          <w:color w:val="000000"/>
          <w:sz w:val="20"/>
        </w:rPr>
        <w:pict>
          <v:shape id="_x0000_s2350" type="#_x0000_t202" style="position:absolute;left:0;text-align:left;margin-left:228.3pt;margin-top:204.65pt;width:57.7pt;height:31.75pt;z-index:87" o:regroupid="17" filled="f" stroked="f">
            <v:textbox style="mso-next-textbox:#_x0000_s2350" inset=",2mm,,0">
              <w:txbxContent>
                <w:p w:rsidR="00692915" w:rsidRDefault="00692915">
                  <w:pPr>
                    <w:ind w:firstLineChars="0" w:firstLine="0"/>
                    <w:jc w:val="center"/>
                    <w:rPr>
                      <w:sz w:val="15"/>
                    </w:rPr>
                  </w:pPr>
                  <w:r>
                    <w:rPr>
                      <w:rFonts w:hint="eastAsia"/>
                      <w:iCs/>
                      <w:sz w:val="15"/>
                    </w:rPr>
                    <w:t>农业、林业与渔业</w:t>
                  </w:r>
                </w:p>
              </w:txbxContent>
            </v:textbox>
          </v:shape>
        </w:pict>
      </w:r>
      <w:r>
        <w:rPr>
          <w:noProof/>
          <w:snapToGrid/>
          <w:color w:val="000000"/>
          <w:sz w:val="20"/>
        </w:rPr>
        <w:pict>
          <v:shape id="_x0000_s2346" type="#_x0000_t202" style="position:absolute;left:0;text-align:left;margin-left:273pt;margin-top:56.25pt;width:81.7pt;height:18.75pt;z-index:83" o:regroupid="17" filled="f" stroked="f">
            <v:textbox style="mso-next-textbox:#_x0000_s2346" inset=",0,,0">
              <w:txbxContent>
                <w:p w:rsidR="00692915" w:rsidRDefault="00692915">
                  <w:pPr>
                    <w:pStyle w:val="FootnoteText"/>
                    <w:ind w:firstLineChars="0" w:firstLine="0"/>
                    <w:rPr>
                      <w:rFonts w:eastAsia="SimSun"/>
                      <w:b/>
                      <w:bCs/>
                      <w:sz w:val="15"/>
                    </w:rPr>
                  </w:pPr>
                  <w:r>
                    <w:rPr>
                      <w:rFonts w:eastAsia="SimSun" w:hint="eastAsia"/>
                      <w:iCs/>
                      <w:sz w:val="15"/>
                    </w:rPr>
                    <w:t>金融、银行与商业</w:t>
                  </w:r>
                </w:p>
              </w:txbxContent>
            </v:textbox>
          </v:shape>
        </w:pict>
      </w:r>
      <w:r>
        <w:rPr>
          <w:noProof/>
          <w:snapToGrid/>
          <w:color w:val="000000"/>
          <w:sz w:val="20"/>
        </w:rPr>
        <w:pict>
          <v:shape id="_x0000_s2348" type="#_x0000_t202" style="position:absolute;left:0;text-align:left;margin-left:290.9pt;margin-top:87pt;width:91.6pt;height:18.75pt;z-index:85" o:regroupid="17" filled="f" stroked="f">
            <v:textbox style="mso-next-textbox:#_x0000_s2348" inset=",0,,0">
              <w:txbxContent>
                <w:p w:rsidR="00692915" w:rsidRDefault="00692915">
                  <w:pPr>
                    <w:ind w:firstLineChars="0" w:firstLine="0"/>
                    <w:rPr>
                      <w:sz w:val="15"/>
                    </w:rPr>
                  </w:pPr>
                  <w:r>
                    <w:rPr>
                      <w:rFonts w:hint="eastAsia"/>
                      <w:iCs/>
                      <w:sz w:val="15"/>
                    </w:rPr>
                    <w:t>贸易、饭店与餐饮</w:t>
                  </w:r>
                </w:p>
              </w:txbxContent>
            </v:textbox>
          </v:shape>
        </w:pict>
      </w:r>
      <w:r>
        <w:rPr>
          <w:noProof/>
          <w:snapToGrid/>
          <w:color w:val="000000"/>
          <w:sz w:val="20"/>
        </w:rPr>
        <w:pict>
          <v:shape id="_x0000_s2349" type="#_x0000_t202" style="position:absolute;left:0;text-align:left;margin-left:284.05pt;margin-top:146.25pt;width:79.95pt;height:31.1pt;z-index:86" o:regroupid="17" filled="f" stroked="f">
            <v:textbox style="mso-next-textbox:#_x0000_s2349" inset=",0,,0">
              <w:txbxContent>
                <w:p w:rsidR="00692915" w:rsidRDefault="00692915">
                  <w:pPr>
                    <w:ind w:firstLineChars="0" w:firstLine="0"/>
                    <w:rPr>
                      <w:sz w:val="15"/>
                    </w:rPr>
                  </w:pPr>
                  <w:r>
                    <w:rPr>
                      <w:rFonts w:hint="eastAsia"/>
                      <w:iCs/>
                      <w:sz w:val="15"/>
                    </w:rPr>
                    <w:t>公共管理与国防</w:t>
                  </w:r>
                </w:p>
              </w:txbxContent>
            </v:textbox>
          </v:shape>
        </w:pict>
      </w:r>
      <w:r>
        <w:rPr>
          <w:noProof/>
          <w:snapToGrid/>
          <w:color w:val="000000"/>
          <w:sz w:val="20"/>
        </w:rPr>
        <w:pict>
          <v:shape id="_x0000_s2343" type="#_x0000_t202" style="position:absolute;left:0;text-align:left;margin-left:52pt;margin-top:7.4pt;width:380pt;height:24.45pt;z-index:80" o:regroupid="17" filled="f" fillcolor="#ff6161" stroked="f">
            <v:textbox style="mso-next-textbox:#_x0000_s2343">
              <w:txbxContent>
                <w:p w:rsidR="00692915" w:rsidRDefault="00692915">
                  <w:pPr>
                    <w:ind w:firstLineChars="0" w:firstLine="0"/>
                    <w:rPr>
                      <w:rFonts w:ascii="SimHei" w:eastAsia="SimHei"/>
                      <w:sz w:val="18"/>
                    </w:rPr>
                  </w:pPr>
                  <w:r>
                    <w:rPr>
                      <w:rFonts w:ascii="SimHei" w:eastAsia="SimHei" w:hint="eastAsia"/>
                      <w:sz w:val="18"/>
                    </w:rPr>
                    <w:t>农业在国内生产总值中的份额发生了波动，从1999年的43%下降到2004年的32%</w:t>
                  </w:r>
                </w:p>
              </w:txbxContent>
            </v:textbox>
          </v:shape>
        </w:pict>
      </w:r>
      <w:bookmarkStart w:id="254" w:name="_MON_1261422521"/>
      <w:bookmarkStart w:id="255" w:name="_MON_1261422843"/>
      <w:bookmarkEnd w:id="254"/>
      <w:bookmarkEnd w:id="255"/>
      <w:r>
        <w:rPr>
          <w:color w:val="000000"/>
        </w:rPr>
        <w:object w:dxaOrig="8446" w:dyaOrig="5536">
          <v:shape id="_x0000_i1044" type="#_x0000_t75" style="width:422.25pt;height:276.75pt" o:ole="">
            <v:imagedata r:id="rId46" o:title=""/>
          </v:shape>
          <o:OLEObject Type="Embed" ProgID="Word.Picture.8" ShapeID="_x0000_i1044" DrawAspect="Content" ObjectID="_1395890553" r:id="rId47"/>
        </w:object>
      </w:r>
    </w:p>
    <w:p w:rsidR="00692915" w:rsidRDefault="00692915" w:rsidP="009A1C1B">
      <w:pPr>
        <w:spacing w:before="120" w:after="240"/>
        <w:ind w:firstLineChars="300" w:firstLine="31680"/>
        <w:rPr>
          <w:rFonts w:hint="eastAsia"/>
          <w:color w:val="000000"/>
          <w:sz w:val="21"/>
        </w:rPr>
      </w:pPr>
      <w:r>
        <w:rPr>
          <w:rFonts w:eastAsia="KaiTi_GB2312" w:hint="eastAsia"/>
          <w:color w:val="000000"/>
          <w:sz w:val="21"/>
        </w:rPr>
        <w:t>资料来源</w:t>
      </w:r>
      <w:r>
        <w:rPr>
          <w:rFonts w:hint="eastAsia"/>
          <w:color w:val="000000"/>
          <w:sz w:val="21"/>
        </w:rPr>
        <w:t>：《</w:t>
      </w:r>
      <w:r>
        <w:rPr>
          <w:rFonts w:hint="eastAsia"/>
          <w:color w:val="000000"/>
          <w:sz w:val="21"/>
        </w:rPr>
        <w:t>2006</w:t>
      </w:r>
      <w:r>
        <w:rPr>
          <w:rFonts w:hint="eastAsia"/>
          <w:color w:val="000000"/>
          <w:sz w:val="21"/>
        </w:rPr>
        <w:t>年东帝汶人类发展报告》，附件九</w:t>
      </w:r>
      <w:r>
        <w:rPr>
          <w:color w:val="000000"/>
          <w:sz w:val="21"/>
        </w:rPr>
        <w:t>.3</w:t>
      </w:r>
      <w:r>
        <w:rPr>
          <w:rFonts w:hint="eastAsia"/>
          <w:color w:val="000000"/>
          <w:sz w:val="21"/>
        </w:rPr>
        <w:t>，第</w:t>
      </w:r>
      <w:r>
        <w:rPr>
          <w:rFonts w:hint="eastAsia"/>
          <w:color w:val="000000"/>
          <w:sz w:val="21"/>
        </w:rPr>
        <w:t>82</w:t>
      </w:r>
      <w:r>
        <w:rPr>
          <w:rFonts w:hint="eastAsia"/>
          <w:color w:val="000000"/>
          <w:sz w:val="21"/>
        </w:rPr>
        <w:t>页。</w:t>
      </w:r>
    </w:p>
    <w:p w:rsidR="00692915" w:rsidRDefault="00692915">
      <w:pPr>
        <w:pStyle w:val="Heading5"/>
        <w:ind w:firstLineChars="0" w:firstLine="0"/>
        <w:rPr>
          <w:rFonts w:eastAsia="KaiTi_GB2312" w:hint="eastAsia"/>
          <w:b w:val="0"/>
          <w:bCs/>
          <w:i w:val="0"/>
          <w:iCs/>
          <w:color w:val="000000"/>
          <w:lang w:eastAsia="zh-CN"/>
        </w:rPr>
      </w:pPr>
      <w:r>
        <w:rPr>
          <w:rFonts w:eastAsia="KaiTi_GB2312" w:hint="eastAsia"/>
          <w:b w:val="0"/>
          <w:bCs/>
          <w:i w:val="0"/>
          <w:iCs/>
          <w:color w:val="000000"/>
          <w:lang w:eastAsia="zh-CN"/>
        </w:rPr>
        <w:t>增长率</w:t>
      </w:r>
    </w:p>
    <w:p w:rsidR="00692915" w:rsidRDefault="00692915" w:rsidP="009A1C1B">
      <w:pPr>
        <w:ind w:firstLine="31680"/>
        <w:rPr>
          <w:rFonts w:hint="eastAsia"/>
          <w:bCs/>
          <w:color w:val="000000"/>
        </w:rPr>
      </w:pPr>
      <w:r>
        <w:rPr>
          <w:rFonts w:hint="eastAsia"/>
          <w:bCs/>
          <w:color w:val="000000"/>
        </w:rPr>
        <w:t>2003</w:t>
      </w:r>
      <w:r>
        <w:rPr>
          <w:rFonts w:hint="eastAsia"/>
          <w:bCs/>
          <w:color w:val="000000"/>
        </w:rPr>
        <w:t>年，由于干旱问题以及国际势力在东帝汶的作用减弱，增长受到了抑制。为了继续重建基础设施、加强民政管理、为进入劳动力市场的年轻人创造就业机会，国家面临着很大的困难。</w:t>
      </w:r>
    </w:p>
    <w:p w:rsidR="00692915" w:rsidRDefault="00692915" w:rsidP="009A1C1B">
      <w:pPr>
        <w:spacing w:afterLines="50" w:after="180"/>
        <w:ind w:firstLine="31680"/>
        <w:rPr>
          <w:rFonts w:hint="eastAsia"/>
          <w:color w:val="000000"/>
        </w:rPr>
      </w:pPr>
      <w:bookmarkStart w:id="256" w:name="_Toc131956614"/>
      <w:bookmarkStart w:id="257" w:name="_Toc132732320"/>
      <w:r>
        <w:rPr>
          <w:rFonts w:hint="eastAsia"/>
          <w:bCs/>
          <w:color w:val="000000"/>
        </w:rPr>
        <w:t>尽管</w:t>
      </w:r>
      <w:r>
        <w:rPr>
          <w:rFonts w:hint="eastAsia"/>
          <w:bCs/>
          <w:color w:val="000000"/>
        </w:rPr>
        <w:t>2004-2005</w:t>
      </w:r>
      <w:r>
        <w:rPr>
          <w:rFonts w:hint="eastAsia"/>
          <w:bCs/>
          <w:color w:val="000000"/>
        </w:rPr>
        <w:t>年，附近水域中石油和天然气资源的开发为政府收入提供了补充，但是根据预计，</w:t>
      </w:r>
      <w:r>
        <w:rPr>
          <w:rFonts w:hint="eastAsia"/>
          <w:bCs/>
          <w:color w:val="000000"/>
        </w:rPr>
        <w:t>2006-2009</w:t>
      </w:r>
      <w:r>
        <w:rPr>
          <w:rFonts w:hint="eastAsia"/>
          <w:bCs/>
          <w:color w:val="000000"/>
        </w:rPr>
        <w:t>年期间进一步增长的可能性很小。</w:t>
      </w:r>
    </w:p>
    <w:p w:rsidR="00692915" w:rsidRDefault="00692915">
      <w:pPr>
        <w:pStyle w:val="Heading2"/>
        <w:spacing w:before="120" w:after="0"/>
        <w:rPr>
          <w:rFonts w:hint="eastAsia"/>
          <w:color w:val="000000"/>
          <w:sz w:val="24"/>
        </w:rPr>
      </w:pPr>
      <w:r>
        <w:rPr>
          <w:rFonts w:hint="eastAsia"/>
          <w:color w:val="000000"/>
          <w:sz w:val="24"/>
        </w:rPr>
        <w:t>图</w:t>
      </w:r>
      <w:r>
        <w:rPr>
          <w:color w:val="000000"/>
          <w:sz w:val="24"/>
        </w:rPr>
        <w:t>21</w:t>
      </w:r>
      <w:r>
        <w:rPr>
          <w:rFonts w:hint="eastAsia"/>
          <w:color w:val="000000"/>
          <w:sz w:val="24"/>
        </w:rPr>
        <w:br/>
      </w:r>
      <w:r>
        <w:rPr>
          <w:rFonts w:hint="eastAsia"/>
          <w:color w:val="000000"/>
          <w:sz w:val="24"/>
        </w:rPr>
        <w:t>从</w:t>
      </w:r>
      <w:r>
        <w:rPr>
          <w:color w:val="000000"/>
          <w:sz w:val="24"/>
        </w:rPr>
        <w:t>1999</w:t>
      </w:r>
      <w:r>
        <w:rPr>
          <w:rFonts w:hint="eastAsia"/>
          <w:color w:val="000000"/>
          <w:sz w:val="24"/>
        </w:rPr>
        <w:t>-</w:t>
      </w:r>
      <w:r>
        <w:rPr>
          <w:color w:val="000000"/>
          <w:sz w:val="24"/>
        </w:rPr>
        <w:t>2000</w:t>
      </w:r>
      <w:r>
        <w:rPr>
          <w:rFonts w:hint="eastAsia"/>
          <w:color w:val="000000"/>
          <w:sz w:val="24"/>
        </w:rPr>
        <w:t>年到</w:t>
      </w:r>
      <w:r>
        <w:rPr>
          <w:color w:val="000000"/>
          <w:sz w:val="24"/>
        </w:rPr>
        <w:t xml:space="preserve"> 2008</w:t>
      </w:r>
      <w:r>
        <w:rPr>
          <w:rFonts w:hint="eastAsia"/>
          <w:color w:val="000000"/>
          <w:sz w:val="24"/>
        </w:rPr>
        <w:t>-20</w:t>
      </w:r>
      <w:r>
        <w:rPr>
          <w:color w:val="000000"/>
          <w:sz w:val="24"/>
        </w:rPr>
        <w:t>09</w:t>
      </w:r>
      <w:bookmarkEnd w:id="256"/>
      <w:bookmarkEnd w:id="257"/>
      <w:r>
        <w:rPr>
          <w:rFonts w:hint="eastAsia"/>
          <w:color w:val="000000"/>
          <w:sz w:val="24"/>
        </w:rPr>
        <w:t>年，东帝汶名义</w:t>
      </w:r>
      <w:r>
        <w:rPr>
          <w:color w:val="000000"/>
          <w:sz w:val="24"/>
        </w:rPr>
        <w:br/>
      </w:r>
      <w:r>
        <w:rPr>
          <w:rFonts w:hint="eastAsia"/>
          <w:color w:val="000000"/>
          <w:sz w:val="24"/>
        </w:rPr>
        <w:t>国内生产总值估计值（百万美元）</w:t>
      </w:r>
      <w:r>
        <w:rPr>
          <w:rFonts w:hint="eastAsia"/>
          <w:color w:val="000000"/>
          <w:sz w:val="24"/>
        </w:rPr>
        <w:t xml:space="preserve"> </w:t>
      </w:r>
    </w:p>
    <w:p w:rsidR="00692915" w:rsidRDefault="00692915">
      <w:pPr>
        <w:ind w:firstLineChars="0" w:firstLine="0"/>
        <w:jc w:val="center"/>
        <w:rPr>
          <w:color w:val="000000"/>
        </w:rPr>
      </w:pPr>
      <w:r>
        <w:rPr>
          <w:noProof/>
          <w:color w:val="000000"/>
        </w:rPr>
        <w:pict>
          <v:shape id="_x0000_s2355" type="#_x0000_t202" style="position:absolute;left:0;text-align:left;margin-left:39pt;margin-top:7.9pt;width:392.85pt;height:24.45pt;z-index:92" filled="f" fillcolor="#ffadad" stroked="f">
            <v:fill color2="#ff6161" angle="-90" type="gradient"/>
            <v:textbox>
              <w:txbxContent>
                <w:p w:rsidR="00692915" w:rsidRDefault="00692915">
                  <w:pPr>
                    <w:ind w:firstLineChars="0" w:firstLine="0"/>
                    <w:rPr>
                      <w:rFonts w:ascii="SimHei" w:eastAsia="SimHei"/>
                      <w:bCs/>
                      <w:sz w:val="21"/>
                    </w:rPr>
                  </w:pPr>
                  <w:r>
                    <w:rPr>
                      <w:rFonts w:ascii="SimHei" w:eastAsia="SimHei" w:hint="eastAsia"/>
                      <w:bCs/>
                      <w:sz w:val="21"/>
                    </w:rPr>
                    <w:t>2004-2005年期间石油国内生产总值急剧上升，但2008-2009年应趋于稳定</w:t>
                  </w:r>
                </w:p>
              </w:txbxContent>
            </v:textbox>
          </v:shape>
        </w:pict>
      </w:r>
      <w:r>
        <w:rPr>
          <w:noProof/>
          <w:color w:val="000000"/>
        </w:rPr>
        <w:pict>
          <v:shape id="_x0000_s2356" type="#_x0000_t202" style="position:absolute;left:0;text-align:left;margin-left:124.75pt;margin-top:59.8pt;width:96pt;height:34.25pt;z-index:93" filled="f" stroked="f">
            <v:textbox inset=",.3mm,,.3mm">
              <w:txbxContent>
                <w:p w:rsidR="00692915" w:rsidRDefault="00692915">
                  <w:pPr>
                    <w:spacing w:line="220" w:lineRule="atLeast"/>
                    <w:ind w:firstLineChars="0" w:firstLine="0"/>
                    <w:rPr>
                      <w:rFonts w:hint="eastAsia"/>
                      <w:bCs/>
                      <w:sz w:val="13"/>
                    </w:rPr>
                  </w:pPr>
                  <w:r>
                    <w:rPr>
                      <w:rFonts w:hint="eastAsia"/>
                      <w:bCs/>
                      <w:sz w:val="13"/>
                    </w:rPr>
                    <w:t>非石油国内生产总值</w:t>
                  </w:r>
                </w:p>
                <w:p w:rsidR="00692915" w:rsidRDefault="00692915">
                  <w:pPr>
                    <w:spacing w:line="220" w:lineRule="atLeast"/>
                    <w:ind w:firstLineChars="0" w:firstLine="0"/>
                    <w:rPr>
                      <w:rFonts w:hint="eastAsia"/>
                      <w:bCs/>
                      <w:sz w:val="13"/>
                    </w:rPr>
                  </w:pPr>
                  <w:r>
                    <w:rPr>
                      <w:rFonts w:hint="eastAsia"/>
                      <w:bCs/>
                      <w:sz w:val="13"/>
                    </w:rPr>
                    <w:t>石油国内生产总值</w:t>
                  </w:r>
                </w:p>
                <w:p w:rsidR="00692915" w:rsidRDefault="00692915">
                  <w:pPr>
                    <w:spacing w:line="220" w:lineRule="atLeast"/>
                    <w:ind w:firstLineChars="0" w:firstLine="0"/>
                    <w:rPr>
                      <w:sz w:val="13"/>
                    </w:rPr>
                  </w:pPr>
                  <w:r>
                    <w:rPr>
                      <w:rFonts w:hint="eastAsia"/>
                      <w:bCs/>
                      <w:sz w:val="13"/>
                    </w:rPr>
                    <w:t>国内生产总值的总和</w:t>
                  </w:r>
                </w:p>
              </w:txbxContent>
            </v:textbox>
          </v:shape>
        </w:pict>
      </w:r>
      <w:r>
        <w:rPr>
          <w:noProof/>
          <w:color w:val="000000"/>
        </w:rPr>
        <w:pict>
          <v:shape id="_x0000_s2357" type="#_x0000_t202" style="position:absolute;left:0;text-align:left;margin-left:45.5pt;margin-top:222.25pt;width:42pt;height:16.3pt;z-index:94" filled="f" fillcolor="#ffc7c7" stroked="f">
            <v:textbox>
              <w:txbxContent>
                <w:p w:rsidR="00692915" w:rsidRDefault="00692915">
                  <w:pPr>
                    <w:ind w:firstLineChars="0" w:firstLine="0"/>
                    <w:rPr>
                      <w:bCs/>
                      <w:sz w:val="13"/>
                    </w:rPr>
                  </w:pPr>
                  <w:r>
                    <w:rPr>
                      <w:rFonts w:hint="eastAsia"/>
                      <w:bCs/>
                      <w:sz w:val="13"/>
                    </w:rPr>
                    <w:t>百分比</w:t>
                  </w:r>
                </w:p>
              </w:txbxContent>
            </v:textbox>
          </v:shape>
        </w:pict>
      </w:r>
      <w:bookmarkStart w:id="258" w:name="_MON_1261423131"/>
      <w:bookmarkStart w:id="259" w:name="_MON_1261909234"/>
      <w:bookmarkStart w:id="260" w:name="_MON_1261910652"/>
      <w:bookmarkEnd w:id="258"/>
      <w:bookmarkEnd w:id="259"/>
      <w:bookmarkEnd w:id="260"/>
      <w:r>
        <w:rPr>
          <w:color w:val="000000"/>
        </w:rPr>
        <w:object w:dxaOrig="8266" w:dyaOrig="4936">
          <v:shape id="_x0000_i1045" type="#_x0000_t75" style="width:413.25pt;height:246.75pt" o:ole="">
            <v:imagedata r:id="rId48" o:title=""/>
          </v:shape>
          <o:OLEObject Type="Embed" ProgID="Word.Picture.8" ShapeID="_x0000_i1045" DrawAspect="Content" ObjectID="_1395890554" r:id="rId49"/>
        </w:object>
      </w:r>
    </w:p>
    <w:p w:rsidR="00692915" w:rsidRDefault="00692915" w:rsidP="009A1C1B">
      <w:pPr>
        <w:spacing w:after="360"/>
        <w:ind w:firstLine="31680"/>
        <w:rPr>
          <w:rFonts w:hint="eastAsia"/>
          <w:color w:val="000000"/>
          <w:sz w:val="21"/>
        </w:rPr>
      </w:pPr>
      <w:r>
        <w:rPr>
          <w:rFonts w:eastAsia="KaiTi_GB2312" w:hint="eastAsia"/>
          <w:color w:val="000000"/>
          <w:sz w:val="21"/>
        </w:rPr>
        <w:t>资料来源</w:t>
      </w:r>
      <w:r>
        <w:rPr>
          <w:rFonts w:hint="eastAsia"/>
          <w:color w:val="000000"/>
          <w:sz w:val="21"/>
        </w:rPr>
        <w:t>：《</w:t>
      </w:r>
      <w:r>
        <w:rPr>
          <w:rFonts w:hint="eastAsia"/>
          <w:color w:val="000000"/>
          <w:sz w:val="21"/>
        </w:rPr>
        <w:t>2005-2006</w:t>
      </w:r>
      <w:r>
        <w:rPr>
          <w:rFonts w:hint="eastAsia"/>
          <w:color w:val="000000"/>
          <w:sz w:val="21"/>
        </w:rPr>
        <w:t>年预算文件草案》，表</w:t>
      </w:r>
      <w:r>
        <w:rPr>
          <w:rFonts w:hint="eastAsia"/>
          <w:color w:val="000000"/>
          <w:sz w:val="21"/>
        </w:rPr>
        <w:t>3.3</w:t>
      </w:r>
      <w:r>
        <w:rPr>
          <w:rFonts w:hint="eastAsia"/>
          <w:color w:val="000000"/>
          <w:sz w:val="21"/>
        </w:rPr>
        <w:t>）</w:t>
      </w:r>
    </w:p>
    <w:p w:rsidR="00692915" w:rsidRDefault="00692915" w:rsidP="009A1C1B">
      <w:pPr>
        <w:spacing w:afterLines="50" w:after="180"/>
        <w:ind w:firstLine="31680"/>
        <w:rPr>
          <w:rFonts w:hint="eastAsia"/>
          <w:color w:val="000000"/>
        </w:rPr>
      </w:pPr>
      <w:r>
        <w:rPr>
          <w:rFonts w:hint="eastAsia"/>
          <w:bCs/>
          <w:color w:val="000000"/>
        </w:rPr>
        <w:t>正如《</w:t>
      </w:r>
      <w:r>
        <w:rPr>
          <w:rFonts w:hint="eastAsia"/>
          <w:color w:val="000000"/>
        </w:rPr>
        <w:t>2005-2006</w:t>
      </w:r>
      <w:r>
        <w:rPr>
          <w:rFonts w:hint="eastAsia"/>
          <w:color w:val="000000"/>
        </w:rPr>
        <w:t>年预算文件草案》所指出的那样，</w:t>
      </w:r>
      <w:r>
        <w:rPr>
          <w:rFonts w:hint="eastAsia"/>
          <w:color w:val="000000"/>
        </w:rPr>
        <w:t>2004</w:t>
      </w:r>
      <w:r>
        <w:rPr>
          <w:rFonts w:hint="eastAsia"/>
          <w:color w:val="000000"/>
        </w:rPr>
        <w:t>年石油和天然气的首次收入使石油国内生产总值急剧上升，而非石油国内生产总值的增长可能很慢（图</w:t>
      </w:r>
      <w:r>
        <w:rPr>
          <w:rFonts w:hint="eastAsia"/>
          <w:color w:val="000000"/>
        </w:rPr>
        <w:t>21</w:t>
      </w:r>
      <w:r>
        <w:rPr>
          <w:rFonts w:hint="eastAsia"/>
          <w:color w:val="000000"/>
        </w:rPr>
        <w:t>）。</w:t>
      </w:r>
    </w:p>
    <w:p w:rsidR="00692915" w:rsidRDefault="00692915">
      <w:pPr>
        <w:pStyle w:val="Heading2"/>
        <w:spacing w:after="0"/>
        <w:rPr>
          <w:rFonts w:hint="eastAsia"/>
          <w:color w:val="000000"/>
          <w:sz w:val="24"/>
        </w:rPr>
      </w:pPr>
      <w:bookmarkStart w:id="261" w:name="_Toc131956669"/>
      <w:bookmarkStart w:id="262" w:name="_Toc132732560"/>
      <w:r>
        <w:rPr>
          <w:rFonts w:hint="eastAsia"/>
          <w:color w:val="000000"/>
          <w:sz w:val="24"/>
        </w:rPr>
        <w:t>文字专栏</w:t>
      </w:r>
      <w:r>
        <w:rPr>
          <w:noProof/>
          <w:color w:val="000000"/>
          <w:sz w:val="24"/>
        </w:rPr>
        <w:t>10</w:t>
      </w:r>
      <w:r>
        <w:rPr>
          <w:rFonts w:hint="eastAsia"/>
          <w:noProof/>
          <w:color w:val="000000"/>
          <w:sz w:val="24"/>
        </w:rPr>
        <w:br/>
      </w:r>
      <w:bookmarkEnd w:id="261"/>
      <w:bookmarkEnd w:id="262"/>
      <w:r>
        <w:rPr>
          <w:rFonts w:hint="eastAsia"/>
          <w:color w:val="000000"/>
          <w:sz w:val="24"/>
        </w:rPr>
        <w:t>石油和天然气储备开始带来好处</w:t>
      </w:r>
    </w:p>
    <w:tbl>
      <w:tblPr>
        <w:tblW w:w="0" w:type="auto"/>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40"/>
      </w:tblGrid>
      <w:tr w:rsidR="00692915">
        <w:tblPrEx>
          <w:tblCellMar>
            <w:top w:w="0" w:type="dxa"/>
            <w:bottom w:w="0" w:type="dxa"/>
          </w:tblCellMar>
        </w:tblPrEx>
        <w:tc>
          <w:tcPr>
            <w:tcW w:w="7540" w:type="dxa"/>
            <w:tcBorders>
              <w:bottom w:val="nil"/>
            </w:tcBorders>
          </w:tcPr>
          <w:p w:rsidR="00692915" w:rsidRDefault="00692915" w:rsidP="009A1C1B">
            <w:pPr>
              <w:spacing w:beforeLines="50" w:before="180"/>
              <w:ind w:firstLine="31680"/>
              <w:rPr>
                <w:rFonts w:hint="eastAsia"/>
                <w:color w:val="000000"/>
              </w:rPr>
            </w:pPr>
            <w:r>
              <w:rPr>
                <w:rFonts w:hint="eastAsia"/>
                <w:bCs/>
                <w:color w:val="000000"/>
              </w:rPr>
              <w:t>东帝汶附近水域石油和天然气资源的开发超出了人们预料，已提前为政府的收入提供了补充。尽管石油的价格高，但却属于技术密集型的产业，因此在为失业者创造就业机会方面，起不到什么作用。</w:t>
            </w:r>
          </w:p>
        </w:tc>
      </w:tr>
      <w:tr w:rsidR="00692915">
        <w:tblPrEx>
          <w:tblCellMar>
            <w:top w:w="0" w:type="dxa"/>
            <w:bottom w:w="0" w:type="dxa"/>
          </w:tblCellMar>
        </w:tblPrEx>
        <w:tc>
          <w:tcPr>
            <w:tcW w:w="7540" w:type="dxa"/>
            <w:tcBorders>
              <w:top w:val="nil"/>
              <w:bottom w:val="nil"/>
            </w:tcBorders>
          </w:tcPr>
          <w:p w:rsidR="00692915" w:rsidRDefault="00692915" w:rsidP="009A1C1B">
            <w:pPr>
              <w:ind w:firstLine="31680"/>
              <w:rPr>
                <w:rFonts w:hint="eastAsia"/>
                <w:color w:val="000000"/>
              </w:rPr>
            </w:pPr>
            <w:r>
              <w:rPr>
                <w:rFonts w:hint="eastAsia"/>
                <w:color w:val="000000"/>
              </w:rPr>
              <w:t>2005</w:t>
            </w:r>
            <w:r>
              <w:rPr>
                <w:rFonts w:hint="eastAsia"/>
                <w:color w:val="000000"/>
              </w:rPr>
              <w:t>年</w:t>
            </w:r>
            <w:r>
              <w:rPr>
                <w:rFonts w:hint="eastAsia"/>
                <w:color w:val="000000"/>
              </w:rPr>
              <w:t>6</w:t>
            </w:r>
            <w:r>
              <w:rPr>
                <w:rFonts w:hint="eastAsia"/>
                <w:color w:val="000000"/>
              </w:rPr>
              <w:t>月议会一致同意设立一个石油基金，作为所有石油收入的储存库，并为后代保存东帝汶石油财富的价值。</w:t>
            </w:r>
          </w:p>
        </w:tc>
      </w:tr>
      <w:tr w:rsidR="00692915">
        <w:tblPrEx>
          <w:tblCellMar>
            <w:top w:w="0" w:type="dxa"/>
            <w:bottom w:w="0" w:type="dxa"/>
          </w:tblCellMar>
        </w:tblPrEx>
        <w:tc>
          <w:tcPr>
            <w:tcW w:w="7540" w:type="dxa"/>
            <w:tcBorders>
              <w:top w:val="nil"/>
            </w:tcBorders>
          </w:tcPr>
          <w:p w:rsidR="00692915" w:rsidRDefault="00692915">
            <w:pPr>
              <w:tabs>
                <w:tab w:val="left" w:pos="284"/>
              </w:tabs>
              <w:spacing w:beforeLines="50" w:before="180" w:line="288" w:lineRule="auto"/>
              <w:ind w:firstLineChars="0" w:firstLine="0"/>
              <w:rPr>
                <w:rFonts w:hint="eastAsia"/>
                <w:color w:val="000000"/>
                <w:sz w:val="21"/>
              </w:rPr>
            </w:pPr>
            <w:r>
              <w:rPr>
                <w:rFonts w:eastAsia="KaiTi_GB2312" w:hint="eastAsia"/>
                <w:color w:val="000000"/>
                <w:sz w:val="21"/>
              </w:rPr>
              <w:t>资料来源</w:t>
            </w:r>
            <w:r>
              <w:rPr>
                <w:rFonts w:hint="eastAsia"/>
                <w:color w:val="000000"/>
                <w:sz w:val="21"/>
                <w:lang w:val="en-AU"/>
              </w:rPr>
              <w:t>：</w:t>
            </w:r>
            <w:r>
              <w:rPr>
                <w:rFonts w:hint="eastAsia"/>
                <w:color w:val="000000"/>
                <w:sz w:val="21"/>
              </w:rPr>
              <w:t>中央情报局</w:t>
            </w:r>
            <w:r>
              <w:rPr>
                <w:rFonts w:hint="eastAsia"/>
                <w:color w:val="000000"/>
                <w:sz w:val="21"/>
                <w:lang w:val="en-AU"/>
              </w:rPr>
              <w:t>，</w:t>
            </w:r>
            <w:r>
              <w:rPr>
                <w:rFonts w:hint="eastAsia"/>
                <w:color w:val="000000"/>
                <w:sz w:val="21"/>
              </w:rPr>
              <w:t>《世界概况》</w:t>
            </w:r>
            <w:r>
              <w:rPr>
                <w:color w:val="000000"/>
                <w:sz w:val="21"/>
              </w:rPr>
              <w:t>http://www.cia.gov/cia/publications/</w:t>
            </w:r>
            <w:r>
              <w:rPr>
                <w:rFonts w:hint="eastAsia"/>
                <w:color w:val="000000"/>
                <w:sz w:val="21"/>
              </w:rPr>
              <w:t xml:space="preserve"> </w:t>
            </w:r>
            <w:r>
              <w:rPr>
                <w:color w:val="000000"/>
                <w:sz w:val="21"/>
              </w:rPr>
              <w:t>factbook/</w:t>
            </w:r>
            <w:r>
              <w:rPr>
                <w:rFonts w:hint="eastAsia"/>
                <w:color w:val="000000"/>
                <w:sz w:val="21"/>
              </w:rPr>
              <w:t xml:space="preserve"> </w:t>
            </w:r>
            <w:r>
              <w:rPr>
                <w:color w:val="000000"/>
                <w:sz w:val="21"/>
              </w:rPr>
              <w:t>g</w:t>
            </w:r>
            <w:r>
              <w:rPr>
                <w:color w:val="000000"/>
                <w:sz w:val="21"/>
              </w:rPr>
              <w:t>e</w:t>
            </w:r>
            <w:r>
              <w:rPr>
                <w:color w:val="000000"/>
                <w:sz w:val="21"/>
              </w:rPr>
              <w:t>os/tt.html#Econ 22/01/2006</w:t>
            </w:r>
            <w:r>
              <w:rPr>
                <w:rFonts w:hint="eastAsia"/>
                <w:color w:val="000000"/>
                <w:sz w:val="21"/>
              </w:rPr>
              <w:t>。</w:t>
            </w:r>
          </w:p>
        </w:tc>
      </w:tr>
    </w:tbl>
    <w:p w:rsidR="00692915" w:rsidRDefault="00692915">
      <w:pPr>
        <w:pStyle w:val="Heading2"/>
        <w:spacing w:before="360" w:after="0"/>
        <w:rPr>
          <w:rFonts w:hint="eastAsia"/>
          <w:color w:val="000000"/>
          <w:sz w:val="24"/>
        </w:rPr>
      </w:pPr>
      <w:r>
        <w:rPr>
          <w:rFonts w:hint="eastAsia"/>
          <w:color w:val="000000"/>
          <w:sz w:val="24"/>
        </w:rPr>
        <w:t>图</w:t>
      </w:r>
      <w:r>
        <w:rPr>
          <w:color w:val="000000"/>
          <w:sz w:val="24"/>
        </w:rPr>
        <w:t xml:space="preserve"> </w:t>
      </w:r>
      <w:r>
        <w:rPr>
          <w:noProof/>
          <w:color w:val="000000"/>
          <w:sz w:val="24"/>
        </w:rPr>
        <w:t>22</w:t>
      </w:r>
      <w:r>
        <w:rPr>
          <w:rFonts w:hint="eastAsia"/>
          <w:noProof/>
          <w:color w:val="000000"/>
          <w:sz w:val="24"/>
        </w:rPr>
        <w:br/>
      </w:r>
      <w:r>
        <w:rPr>
          <w:rFonts w:hint="eastAsia"/>
          <w:color w:val="000000"/>
          <w:sz w:val="24"/>
        </w:rPr>
        <w:t>从</w:t>
      </w:r>
      <w:r>
        <w:rPr>
          <w:color w:val="000000"/>
          <w:sz w:val="24"/>
        </w:rPr>
        <w:t>2000</w:t>
      </w:r>
      <w:r>
        <w:rPr>
          <w:rFonts w:hint="eastAsia"/>
          <w:color w:val="000000"/>
          <w:sz w:val="24"/>
        </w:rPr>
        <w:t>-20</w:t>
      </w:r>
      <w:r>
        <w:rPr>
          <w:color w:val="000000"/>
          <w:sz w:val="24"/>
        </w:rPr>
        <w:t>01</w:t>
      </w:r>
      <w:r>
        <w:rPr>
          <w:rFonts w:hint="eastAsia"/>
          <w:color w:val="000000"/>
          <w:sz w:val="24"/>
        </w:rPr>
        <w:t>年至</w:t>
      </w:r>
      <w:r>
        <w:rPr>
          <w:color w:val="000000"/>
          <w:sz w:val="24"/>
        </w:rPr>
        <w:t xml:space="preserve"> 2008</w:t>
      </w:r>
      <w:r>
        <w:rPr>
          <w:rFonts w:hint="eastAsia"/>
          <w:color w:val="000000"/>
          <w:sz w:val="24"/>
        </w:rPr>
        <w:t>-20</w:t>
      </w:r>
      <w:r>
        <w:rPr>
          <w:color w:val="000000"/>
          <w:sz w:val="24"/>
        </w:rPr>
        <w:t>09</w:t>
      </w:r>
      <w:r>
        <w:rPr>
          <w:rFonts w:hint="eastAsia"/>
          <w:color w:val="000000"/>
          <w:sz w:val="24"/>
        </w:rPr>
        <w:t xml:space="preserve"> </w:t>
      </w:r>
      <w:r>
        <w:rPr>
          <w:rFonts w:hint="eastAsia"/>
          <w:color w:val="000000"/>
          <w:sz w:val="24"/>
        </w:rPr>
        <w:t>年实际国内生产总值的</w:t>
      </w:r>
      <w:r>
        <w:rPr>
          <w:color w:val="000000"/>
          <w:sz w:val="24"/>
        </w:rPr>
        <w:br/>
      </w:r>
      <w:r>
        <w:rPr>
          <w:rFonts w:hint="eastAsia"/>
          <w:color w:val="000000"/>
          <w:sz w:val="24"/>
        </w:rPr>
        <w:t>估计增长率（每年增长的</w:t>
      </w:r>
      <w:r>
        <w:rPr>
          <w:rFonts w:hint="eastAsia"/>
          <w:color w:val="000000"/>
          <w:sz w:val="24"/>
        </w:rPr>
        <w:t>%</w:t>
      </w:r>
      <w:r>
        <w:rPr>
          <w:rFonts w:hint="eastAsia"/>
          <w:color w:val="000000"/>
          <w:sz w:val="24"/>
        </w:rPr>
        <w:t>）</w:t>
      </w:r>
    </w:p>
    <w:p w:rsidR="00692915" w:rsidRDefault="00692915" w:rsidP="009A1C1B">
      <w:pPr>
        <w:ind w:firstLine="31680"/>
        <w:jc w:val="center"/>
        <w:rPr>
          <w:color w:val="000000"/>
          <w:szCs w:val="24"/>
        </w:rPr>
      </w:pPr>
      <w:r>
        <w:rPr>
          <w:b/>
          <w:bCs/>
          <w:noProof/>
          <w:snapToGrid/>
          <w:color w:val="000000"/>
          <w:sz w:val="20"/>
        </w:rPr>
        <w:pict>
          <v:shape id="_x0000_s2361" type="#_x0000_t202" style="position:absolute;left:0;text-align:left;margin-left:78.5pt;margin-top:193.1pt;width:54pt;height:12.05pt;z-index:97" o:regroupid="18" filled="f" fillcolor="#f7a1a1" stroked="f">
            <v:textbox inset=".5mm,.3mm,.5mm,.3mm">
              <w:txbxContent>
                <w:p w:rsidR="00692915" w:rsidRDefault="00692915">
                  <w:pPr>
                    <w:spacing w:line="0" w:lineRule="atLeast"/>
                    <w:ind w:firstLineChars="0" w:firstLine="0"/>
                    <w:rPr>
                      <w:sz w:val="11"/>
                    </w:rPr>
                  </w:pPr>
                  <w:r>
                    <w:rPr>
                      <w:rFonts w:hint="eastAsia"/>
                      <w:sz w:val="11"/>
                    </w:rPr>
                    <w:t>每年增长的</w:t>
                  </w:r>
                  <w:r>
                    <w:rPr>
                      <w:rFonts w:hint="eastAsia"/>
                      <w:sz w:val="11"/>
                    </w:rPr>
                    <w:t>%</w:t>
                  </w:r>
                </w:p>
              </w:txbxContent>
            </v:textbox>
          </v:shape>
        </w:pict>
      </w:r>
      <w:r>
        <w:rPr>
          <w:b/>
          <w:bCs/>
          <w:noProof/>
          <w:snapToGrid/>
          <w:color w:val="000000"/>
          <w:sz w:val="20"/>
        </w:rPr>
        <w:pict>
          <v:shape id="_x0000_s2360" type="#_x0000_t202" style="position:absolute;left:0;text-align:left;margin-left:108pt;margin-top:30.6pt;width:119.5pt;height:34.25pt;z-index:96" o:regroupid="18" filled="f" stroked="f">
            <v:textbox inset=".5mm,.3mm,.5mm,.3mm">
              <w:txbxContent>
                <w:p w:rsidR="00692915" w:rsidRDefault="00692915" w:rsidP="009A1C1B">
                  <w:pPr>
                    <w:spacing w:line="0" w:lineRule="atLeast"/>
                    <w:ind w:firstLine="31680"/>
                    <w:rPr>
                      <w:rFonts w:hint="eastAsia"/>
                      <w:bCs/>
                      <w:sz w:val="11"/>
                    </w:rPr>
                  </w:pPr>
                  <w:r>
                    <w:rPr>
                      <w:rFonts w:hint="eastAsia"/>
                      <w:bCs/>
                      <w:sz w:val="11"/>
                    </w:rPr>
                    <w:t>非石油国内生产总值（</w:t>
                  </w:r>
                  <w:r>
                    <w:rPr>
                      <w:rFonts w:hint="eastAsia"/>
                      <w:bCs/>
                      <w:sz w:val="11"/>
                    </w:rPr>
                    <w:t>%</w:t>
                  </w:r>
                  <w:r>
                    <w:rPr>
                      <w:rFonts w:hint="eastAsia"/>
                      <w:bCs/>
                      <w:sz w:val="11"/>
                    </w:rPr>
                    <w:t>）</w:t>
                  </w:r>
                </w:p>
                <w:p w:rsidR="00692915" w:rsidRDefault="00692915" w:rsidP="009A1C1B">
                  <w:pPr>
                    <w:spacing w:line="0" w:lineRule="atLeast"/>
                    <w:ind w:firstLine="31680"/>
                    <w:rPr>
                      <w:rFonts w:hint="eastAsia"/>
                      <w:bCs/>
                      <w:sz w:val="11"/>
                    </w:rPr>
                  </w:pPr>
                  <w:r>
                    <w:rPr>
                      <w:rFonts w:hint="eastAsia"/>
                      <w:bCs/>
                      <w:sz w:val="11"/>
                    </w:rPr>
                    <w:t>石油国内生产总值</w:t>
                  </w:r>
                </w:p>
                <w:p w:rsidR="00692915" w:rsidRDefault="00692915" w:rsidP="009A1C1B">
                  <w:pPr>
                    <w:spacing w:line="0" w:lineRule="atLeast"/>
                    <w:ind w:firstLine="31680"/>
                    <w:rPr>
                      <w:sz w:val="15"/>
                    </w:rPr>
                  </w:pPr>
                  <w:r>
                    <w:rPr>
                      <w:rFonts w:hint="eastAsia"/>
                      <w:bCs/>
                      <w:sz w:val="11"/>
                    </w:rPr>
                    <w:t>国内生产总值的总和</w:t>
                  </w:r>
                </w:p>
              </w:txbxContent>
            </v:textbox>
          </v:shape>
        </w:pict>
      </w:r>
      <w:r>
        <w:rPr>
          <w:b/>
          <w:bCs/>
          <w:noProof/>
          <w:snapToGrid/>
          <w:color w:val="000000"/>
          <w:sz w:val="20"/>
        </w:rPr>
        <w:pict>
          <v:shape id="_x0000_s2359" type="#_x0000_t202" style="position:absolute;left:0;text-align:left;margin-left:84.5pt;margin-top:4.45pt;width:325pt;height:16.3pt;z-index:95" o:regroupid="18" filled="f" fillcolor="#ff6565" stroked="f">
            <v:fill color2="#f7a1a1" angle="-90" focus="100%" type="gradient"/>
            <v:textbox inset=",.3mm">
              <w:txbxContent>
                <w:p w:rsidR="00692915" w:rsidRDefault="00692915">
                  <w:pPr>
                    <w:ind w:firstLineChars="0" w:firstLine="0"/>
                    <w:rPr>
                      <w:rFonts w:ascii="SimHei" w:eastAsia="SimHei"/>
                      <w:sz w:val="21"/>
                    </w:rPr>
                  </w:pPr>
                  <w:r>
                    <w:rPr>
                      <w:rFonts w:ascii="SimHei" w:eastAsia="SimHei" w:hint="eastAsia"/>
                      <w:sz w:val="21"/>
                    </w:rPr>
                    <w:t>预计2006-2009年期间实际国内生产总值增长的可能性不大</w:t>
                  </w:r>
                </w:p>
              </w:txbxContent>
            </v:textbox>
          </v:shape>
        </w:pict>
      </w:r>
      <w:bookmarkStart w:id="263" w:name="_MON_1261423427"/>
      <w:bookmarkStart w:id="264" w:name="_MON_1261427985"/>
      <w:bookmarkStart w:id="265" w:name="_MON_1261909550"/>
      <w:bookmarkStart w:id="266" w:name="_MON_1261910653"/>
      <w:bookmarkEnd w:id="263"/>
      <w:bookmarkEnd w:id="264"/>
      <w:bookmarkEnd w:id="265"/>
      <w:bookmarkEnd w:id="266"/>
      <w:r>
        <w:rPr>
          <w:color w:val="000000"/>
          <w:szCs w:val="24"/>
        </w:rPr>
        <w:object w:dxaOrig="7006" w:dyaOrig="4096">
          <v:shape id="_x0000_i1046" type="#_x0000_t75" style="width:350.25pt;height:204.75pt" o:ole="">
            <v:imagedata r:id="rId50" o:title=""/>
          </v:shape>
          <o:OLEObject Type="Embed" ProgID="Word.Picture.8" ShapeID="_x0000_i1046" DrawAspect="Content" ObjectID="_1395890555" r:id="rId51"/>
        </w:object>
      </w:r>
    </w:p>
    <w:p w:rsidR="00692915" w:rsidRDefault="00692915">
      <w:pPr>
        <w:pStyle w:val="Heading3"/>
        <w:spacing w:beforeLines="100" w:before="360"/>
        <w:jc w:val="both"/>
        <w:rPr>
          <w:rFonts w:eastAsia="KaiTi_GB2312" w:hint="eastAsia"/>
          <w:color w:val="000000"/>
          <w:u w:val="none"/>
        </w:rPr>
      </w:pPr>
      <w:r>
        <w:rPr>
          <w:rFonts w:eastAsia="KaiTi_GB2312" w:hint="eastAsia"/>
          <w:color w:val="000000"/>
          <w:u w:val="none"/>
        </w:rPr>
        <w:t>国民总收入</w:t>
      </w:r>
    </w:p>
    <w:p w:rsidR="00692915" w:rsidRDefault="00692915" w:rsidP="009A1C1B">
      <w:pPr>
        <w:ind w:firstLine="31680"/>
        <w:rPr>
          <w:rFonts w:hint="eastAsia"/>
          <w:bCs/>
          <w:color w:val="000000"/>
        </w:rPr>
      </w:pPr>
      <w:r>
        <w:rPr>
          <w:rFonts w:hint="eastAsia"/>
          <w:bCs/>
          <w:color w:val="000000"/>
        </w:rPr>
        <w:t>国民总收入是指生产要素在一年期间所带来的货币总收入，其中包括支付给工人、资本所有者和资产所有者的工资、租金、利润和利息。</w:t>
      </w:r>
    </w:p>
    <w:p w:rsidR="00692915" w:rsidRDefault="00692915" w:rsidP="009A1C1B">
      <w:pPr>
        <w:ind w:firstLine="31680"/>
        <w:rPr>
          <w:rFonts w:hint="eastAsia"/>
          <w:bCs/>
          <w:color w:val="000000"/>
        </w:rPr>
      </w:pPr>
      <w:r>
        <w:rPr>
          <w:rFonts w:hint="eastAsia"/>
          <w:bCs/>
          <w:color w:val="000000"/>
        </w:rPr>
        <w:t>根据世界银行对国民总收入（</w:t>
      </w:r>
      <w:r>
        <w:rPr>
          <w:rFonts w:hint="eastAsia"/>
          <w:bCs/>
          <w:color w:val="000000"/>
        </w:rPr>
        <w:t>GNI</w:t>
      </w:r>
      <w:r>
        <w:rPr>
          <w:rFonts w:hint="eastAsia"/>
          <w:bCs/>
          <w:color w:val="000000"/>
        </w:rPr>
        <w:t>）和人均国民总收入的最新估计，</w:t>
      </w:r>
      <w:r>
        <w:rPr>
          <w:rFonts w:hint="eastAsia"/>
          <w:bCs/>
          <w:color w:val="000000"/>
        </w:rPr>
        <w:t>2004</w:t>
      </w:r>
      <w:r>
        <w:rPr>
          <w:rFonts w:hint="eastAsia"/>
          <w:bCs/>
          <w:color w:val="000000"/>
        </w:rPr>
        <w:t>年的收入有了大幅提高（图</w:t>
      </w:r>
      <w:r>
        <w:rPr>
          <w:rFonts w:hint="eastAsia"/>
          <w:bCs/>
          <w:color w:val="000000"/>
        </w:rPr>
        <w:t>23</w:t>
      </w:r>
      <w:r>
        <w:rPr>
          <w:rFonts w:hint="eastAsia"/>
          <w:bCs/>
          <w:color w:val="000000"/>
        </w:rPr>
        <w:t>），这与早期的石油收入有关。但是根据预计，在</w:t>
      </w:r>
      <w:r>
        <w:rPr>
          <w:rFonts w:hint="eastAsia"/>
          <w:bCs/>
          <w:color w:val="000000"/>
        </w:rPr>
        <w:t>2010</w:t>
      </w:r>
      <w:r>
        <w:rPr>
          <w:rFonts w:hint="eastAsia"/>
          <w:bCs/>
          <w:color w:val="000000"/>
        </w:rPr>
        <w:t>年前，石油收入将不会有大幅度的提高。</w:t>
      </w:r>
    </w:p>
    <w:p w:rsidR="00692915" w:rsidRDefault="00692915">
      <w:pPr>
        <w:pStyle w:val="Heading2"/>
        <w:spacing w:before="240" w:after="0"/>
        <w:rPr>
          <w:rFonts w:hint="eastAsia"/>
          <w:color w:val="000000"/>
          <w:sz w:val="24"/>
        </w:rPr>
      </w:pPr>
      <w:r>
        <w:rPr>
          <w:rFonts w:hint="eastAsia"/>
          <w:color w:val="000000"/>
          <w:sz w:val="24"/>
        </w:rPr>
        <w:t>图</w:t>
      </w:r>
      <w:r>
        <w:rPr>
          <w:color w:val="000000"/>
          <w:sz w:val="24"/>
        </w:rPr>
        <w:t xml:space="preserve"> </w:t>
      </w:r>
      <w:r>
        <w:rPr>
          <w:noProof/>
          <w:color w:val="000000"/>
          <w:sz w:val="24"/>
        </w:rPr>
        <w:t>23</w:t>
      </w:r>
      <w:r>
        <w:rPr>
          <w:rFonts w:hint="eastAsia"/>
          <w:noProof/>
          <w:color w:val="000000"/>
          <w:sz w:val="24"/>
        </w:rPr>
        <w:br/>
      </w:r>
      <w:r>
        <w:rPr>
          <w:color w:val="000000"/>
          <w:sz w:val="24"/>
        </w:rPr>
        <w:t>1999</w:t>
      </w:r>
      <w:r>
        <w:rPr>
          <w:rFonts w:hint="eastAsia"/>
          <w:color w:val="000000"/>
          <w:sz w:val="24"/>
        </w:rPr>
        <w:t>-</w:t>
      </w:r>
      <w:r>
        <w:rPr>
          <w:color w:val="000000"/>
          <w:sz w:val="24"/>
        </w:rPr>
        <w:t>2004</w:t>
      </w:r>
      <w:r>
        <w:rPr>
          <w:rFonts w:hint="eastAsia"/>
          <w:color w:val="000000"/>
          <w:sz w:val="24"/>
        </w:rPr>
        <w:t>年估计的国民总收入（百万美元）与</w:t>
      </w:r>
      <w:r>
        <w:rPr>
          <w:color w:val="000000"/>
          <w:sz w:val="24"/>
        </w:rPr>
        <w:br/>
      </w:r>
      <w:r>
        <w:rPr>
          <w:rFonts w:hint="eastAsia"/>
          <w:color w:val="000000"/>
          <w:sz w:val="24"/>
        </w:rPr>
        <w:t>人均国民总收入（每年人均美元收入）</w:t>
      </w:r>
    </w:p>
    <w:p w:rsidR="00692915" w:rsidRDefault="00692915" w:rsidP="009A1C1B">
      <w:pPr>
        <w:spacing w:after="360"/>
        <w:ind w:firstLine="31680"/>
        <w:jc w:val="center"/>
        <w:rPr>
          <w:rFonts w:hint="eastAsia"/>
          <w:color w:val="000000"/>
          <w:szCs w:val="24"/>
        </w:rPr>
      </w:pPr>
      <w:r>
        <w:rPr>
          <w:noProof/>
          <w:snapToGrid/>
          <w:color w:val="000000"/>
          <w:sz w:val="20"/>
          <w:szCs w:val="24"/>
        </w:rPr>
        <w:pict>
          <v:shape id="_x0000_s2368" type="#_x0000_t202" style="position:absolute;left:0;text-align:left;margin-left:403pt;margin-top:197.4pt;width:48pt;height:22.15pt;z-index:103" o:regroupid="19" filled="f" fillcolor="#f37575" stroked="f">
            <v:textbox inset=",0,,0">
              <w:txbxContent>
                <w:p w:rsidR="00692915" w:rsidRDefault="00692915">
                  <w:pPr>
                    <w:pStyle w:val="FootnoteText"/>
                    <w:spacing w:line="160" w:lineRule="exact"/>
                    <w:ind w:firstLineChars="0" w:firstLine="0"/>
                    <w:jc w:val="left"/>
                    <w:rPr>
                      <w:b/>
                      <w:bCs/>
                      <w:sz w:val="15"/>
                    </w:rPr>
                  </w:pPr>
                  <w:r>
                    <w:rPr>
                      <w:rFonts w:eastAsia="SimSun" w:hint="eastAsia"/>
                      <w:sz w:val="15"/>
                      <w:szCs w:val="24"/>
                    </w:rPr>
                    <w:t>每年人均美元收入</w:t>
                  </w:r>
                </w:p>
              </w:txbxContent>
            </v:textbox>
          </v:shape>
        </w:pict>
      </w:r>
      <w:r>
        <w:rPr>
          <w:noProof/>
          <w:snapToGrid/>
          <w:color w:val="000000"/>
          <w:sz w:val="20"/>
          <w:szCs w:val="24"/>
        </w:rPr>
        <w:pict>
          <v:shape id="_x0000_s2367" type="#_x0000_t202" style="position:absolute;left:0;text-align:left;margin-left:36.15pt;margin-top:202.05pt;width:48.35pt;height:13.35pt;z-index:102" o:regroupid="19" filled="f" fillcolor="#f37575" stroked="f">
            <v:textbox inset=",0,,0">
              <w:txbxContent>
                <w:p w:rsidR="00692915" w:rsidRDefault="00692915">
                  <w:pPr>
                    <w:pStyle w:val="FootnoteText"/>
                    <w:ind w:firstLineChars="0" w:firstLine="0"/>
                    <w:rPr>
                      <w:rFonts w:eastAsia="SimSun"/>
                      <w:sz w:val="15"/>
                    </w:rPr>
                  </w:pPr>
                  <w:r>
                    <w:rPr>
                      <w:rFonts w:eastAsia="SimSun" w:hint="eastAsia"/>
                      <w:sz w:val="15"/>
                      <w:szCs w:val="24"/>
                    </w:rPr>
                    <w:t>百万美元</w:t>
                  </w:r>
                </w:p>
              </w:txbxContent>
            </v:textbox>
          </v:shape>
        </w:pict>
      </w:r>
      <w:r>
        <w:rPr>
          <w:noProof/>
          <w:snapToGrid/>
          <w:color w:val="000000"/>
          <w:sz w:val="20"/>
          <w:szCs w:val="24"/>
        </w:rPr>
        <w:pict>
          <v:shape id="_x0000_s2366" type="#_x0000_t202" style="position:absolute;left:0;text-align:left;margin-left:66.5pt;margin-top:60.8pt;width:45.5pt;height:20.6pt;z-index:101" o:regroupid="19" filled="f" stroked="f">
            <v:textbox style="mso-next-textbox:#_x0000_s2366" inset=",0,,0">
              <w:txbxContent>
                <w:p w:rsidR="00692915" w:rsidRDefault="00692915">
                  <w:pPr>
                    <w:spacing w:line="160" w:lineRule="exact"/>
                    <w:ind w:firstLineChars="0" w:firstLine="0"/>
                    <w:jc w:val="left"/>
                    <w:rPr>
                      <w:sz w:val="13"/>
                    </w:rPr>
                  </w:pPr>
                  <w:r>
                    <w:rPr>
                      <w:rFonts w:hint="eastAsia"/>
                      <w:spacing w:val="0"/>
                      <w:sz w:val="13"/>
                      <w:szCs w:val="24"/>
                    </w:rPr>
                    <w:t>人均国民总收</w:t>
                  </w:r>
                  <w:r>
                    <w:rPr>
                      <w:rFonts w:hint="eastAsia"/>
                      <w:sz w:val="13"/>
                      <w:szCs w:val="24"/>
                    </w:rPr>
                    <w:t>入</w:t>
                  </w:r>
                </w:p>
              </w:txbxContent>
            </v:textbox>
          </v:shape>
        </w:pict>
      </w:r>
      <w:r>
        <w:rPr>
          <w:noProof/>
          <w:snapToGrid/>
          <w:color w:val="000000"/>
          <w:sz w:val="20"/>
          <w:szCs w:val="24"/>
        </w:rPr>
        <w:pict>
          <v:shape id="_x0000_s2365" type="#_x0000_t202" style="position:absolute;left:0;text-align:left;margin-left:203pt;margin-top:35pt;width:96.15pt;height:12.95pt;z-index:100" o:regroupid="19" filled="f" stroked="f">
            <v:textbox style="mso-next-textbox:#_x0000_s2365" inset=",0,,0">
              <w:txbxContent>
                <w:p w:rsidR="00692915" w:rsidRDefault="00692915">
                  <w:pPr>
                    <w:ind w:firstLineChars="0" w:firstLine="0"/>
                    <w:rPr>
                      <w:sz w:val="15"/>
                    </w:rPr>
                  </w:pPr>
                  <w:r>
                    <w:rPr>
                      <w:rFonts w:hint="eastAsia"/>
                      <w:spacing w:val="0"/>
                      <w:sz w:val="15"/>
                      <w:szCs w:val="24"/>
                    </w:rPr>
                    <w:t>人均国民总收入</w:t>
                  </w:r>
                </w:p>
              </w:txbxContent>
            </v:textbox>
          </v:shape>
        </w:pict>
      </w:r>
      <w:r>
        <w:rPr>
          <w:noProof/>
          <w:snapToGrid/>
          <w:color w:val="000000"/>
          <w:sz w:val="20"/>
          <w:szCs w:val="24"/>
        </w:rPr>
        <w:pict>
          <v:shape id="_x0000_s2364" type="#_x0000_t202" style="position:absolute;left:0;text-align:left;margin-left:83pt;margin-top:35pt;width:96.15pt;height:12.95pt;z-index:99" o:regroupid="19" filled="f" stroked="f">
            <v:textbox inset=",0,,0">
              <w:txbxContent>
                <w:p w:rsidR="00692915" w:rsidRDefault="00692915">
                  <w:pPr>
                    <w:ind w:firstLineChars="0" w:firstLine="0"/>
                    <w:rPr>
                      <w:spacing w:val="0"/>
                      <w:sz w:val="18"/>
                    </w:rPr>
                  </w:pPr>
                  <w:r>
                    <w:rPr>
                      <w:rFonts w:hint="eastAsia"/>
                      <w:spacing w:val="0"/>
                      <w:sz w:val="15"/>
                      <w:szCs w:val="24"/>
                    </w:rPr>
                    <w:t>国民总收入</w:t>
                  </w:r>
                </w:p>
              </w:txbxContent>
            </v:textbox>
          </v:shape>
        </w:pict>
      </w:r>
      <w:r>
        <w:rPr>
          <w:noProof/>
          <w:snapToGrid/>
          <w:color w:val="000000"/>
          <w:sz w:val="20"/>
          <w:szCs w:val="24"/>
        </w:rPr>
        <w:pict>
          <v:shape id="_x0000_s2363" type="#_x0000_t202" style="position:absolute;left:0;text-align:left;margin-left:1in;margin-top:4.25pt;width:330pt;height:22.1pt;z-index:98" o:regroupid="19" filled="f" fillcolor="#ff6565" stroked="f">
            <v:textbox>
              <w:txbxContent>
                <w:p w:rsidR="00692915" w:rsidRDefault="00692915">
                  <w:pPr>
                    <w:ind w:firstLineChars="0" w:firstLine="0"/>
                    <w:jc w:val="center"/>
                    <w:rPr>
                      <w:rFonts w:ascii="SimHei" w:eastAsia="SimHei"/>
                      <w:sz w:val="21"/>
                    </w:rPr>
                  </w:pPr>
                  <w:r>
                    <w:rPr>
                      <w:rFonts w:ascii="SimHei" w:eastAsia="SimHei" w:hint="eastAsia"/>
                      <w:sz w:val="21"/>
                      <w:szCs w:val="24"/>
                    </w:rPr>
                    <w:t>2004年石油收入使国民收入急剧上升</w:t>
                  </w:r>
                </w:p>
              </w:txbxContent>
            </v:textbox>
          </v:shape>
        </w:pict>
      </w:r>
      <w:bookmarkStart w:id="267" w:name="_MON_1261425638"/>
      <w:bookmarkEnd w:id="267"/>
      <w:r>
        <w:rPr>
          <w:color w:val="000000"/>
          <w:szCs w:val="24"/>
        </w:rPr>
        <w:object w:dxaOrig="8386" w:dyaOrig="4396">
          <v:shape id="_x0000_i1047" type="#_x0000_t75" style="width:419.25pt;height:219.75pt" o:ole="">
            <v:imagedata r:id="rId52" o:title=""/>
          </v:shape>
          <o:OLEObject Type="Embed" ProgID="Word.Picture.8" ShapeID="_x0000_i1047" DrawAspect="Content" ObjectID="_1395890556" r:id="rId53"/>
        </w:object>
      </w:r>
    </w:p>
    <w:p w:rsidR="00692915" w:rsidRDefault="00692915" w:rsidP="009A1C1B">
      <w:pPr>
        <w:spacing w:before="120" w:after="240"/>
        <w:ind w:firstLine="31680"/>
        <w:rPr>
          <w:rFonts w:hint="eastAsia"/>
          <w:bCs/>
          <w:iCs/>
          <w:color w:val="000000"/>
          <w:sz w:val="21"/>
          <w:szCs w:val="24"/>
        </w:rPr>
      </w:pPr>
      <w:r>
        <w:rPr>
          <w:rFonts w:eastAsia="KaiTi_GB2312" w:hint="eastAsia"/>
          <w:bCs/>
          <w:iCs/>
          <w:color w:val="000000"/>
          <w:sz w:val="21"/>
          <w:szCs w:val="18"/>
        </w:rPr>
        <w:t>资料来源</w:t>
      </w:r>
      <w:r>
        <w:rPr>
          <w:rFonts w:hint="eastAsia"/>
          <w:bCs/>
          <w:iCs/>
          <w:color w:val="000000"/>
          <w:sz w:val="21"/>
          <w:szCs w:val="18"/>
          <w:lang w:val="en-AU"/>
        </w:rPr>
        <w:t>：</w:t>
      </w:r>
      <w:r>
        <w:rPr>
          <w:rFonts w:hint="eastAsia"/>
          <w:bCs/>
          <w:iCs/>
          <w:color w:val="000000"/>
          <w:sz w:val="21"/>
          <w:szCs w:val="18"/>
        </w:rPr>
        <w:t>《</w:t>
      </w:r>
      <w:r>
        <w:rPr>
          <w:rFonts w:hint="eastAsia"/>
          <w:bCs/>
          <w:iCs/>
          <w:color w:val="000000"/>
          <w:sz w:val="21"/>
          <w:szCs w:val="18"/>
        </w:rPr>
        <w:t>2005</w:t>
      </w:r>
      <w:r>
        <w:rPr>
          <w:rFonts w:hint="eastAsia"/>
          <w:bCs/>
          <w:iCs/>
          <w:color w:val="000000"/>
          <w:sz w:val="21"/>
          <w:szCs w:val="18"/>
        </w:rPr>
        <w:t>年世界银行发展报告》</w:t>
      </w:r>
      <w:r>
        <w:rPr>
          <w:rFonts w:hint="eastAsia"/>
          <w:bCs/>
          <w:iCs/>
          <w:color w:val="000000"/>
          <w:sz w:val="21"/>
          <w:szCs w:val="18"/>
          <w:lang w:val="en-AU"/>
        </w:rPr>
        <w:t>，</w:t>
      </w:r>
      <w:r>
        <w:rPr>
          <w:iCs/>
          <w:color w:val="000000"/>
          <w:sz w:val="21"/>
          <w:szCs w:val="18"/>
        </w:rPr>
        <w:t>htt</w:t>
      </w:r>
      <w:r>
        <w:rPr>
          <w:iCs/>
          <w:color w:val="000000"/>
          <w:sz w:val="21"/>
          <w:szCs w:val="18"/>
        </w:rPr>
        <w:t>p</w:t>
      </w:r>
      <w:r>
        <w:rPr>
          <w:iCs/>
          <w:color w:val="000000"/>
          <w:sz w:val="21"/>
          <w:szCs w:val="18"/>
        </w:rPr>
        <w:t>://web.worldbank.org/WBSIT</w:t>
      </w:r>
      <w:r>
        <w:rPr>
          <w:iCs/>
          <w:color w:val="000000"/>
          <w:sz w:val="21"/>
          <w:szCs w:val="18"/>
        </w:rPr>
        <w:t>E</w:t>
      </w:r>
      <w:r>
        <w:rPr>
          <w:iCs/>
          <w:color w:val="000000"/>
          <w:sz w:val="21"/>
          <w:szCs w:val="18"/>
        </w:rPr>
        <w:t>/EXTERNAL/</w:t>
      </w:r>
      <w:r>
        <w:rPr>
          <w:rFonts w:hint="eastAsia"/>
          <w:iCs/>
          <w:color w:val="000000"/>
          <w:sz w:val="21"/>
          <w:szCs w:val="18"/>
        </w:rPr>
        <w:t xml:space="preserve"> </w:t>
      </w:r>
      <w:r>
        <w:rPr>
          <w:iCs/>
          <w:color w:val="000000"/>
          <w:sz w:val="21"/>
          <w:szCs w:val="18"/>
        </w:rPr>
        <w:t>DA</w:t>
      </w:r>
      <w:r>
        <w:rPr>
          <w:iCs/>
          <w:color w:val="000000"/>
          <w:sz w:val="21"/>
          <w:szCs w:val="18"/>
        </w:rPr>
        <w:t>T</w:t>
      </w:r>
      <w:r>
        <w:rPr>
          <w:iCs/>
          <w:color w:val="000000"/>
          <w:sz w:val="21"/>
          <w:szCs w:val="18"/>
        </w:rPr>
        <w:t>ASTATISTICS</w:t>
      </w:r>
      <w:r>
        <w:rPr>
          <w:rFonts w:hint="eastAsia"/>
          <w:bCs/>
          <w:iCs/>
          <w:color w:val="000000"/>
          <w:sz w:val="21"/>
          <w:szCs w:val="18"/>
        </w:rPr>
        <w:t>。</w:t>
      </w:r>
    </w:p>
    <w:p w:rsidR="00692915" w:rsidRDefault="00692915">
      <w:pPr>
        <w:pStyle w:val="Heading3"/>
        <w:jc w:val="both"/>
        <w:rPr>
          <w:rFonts w:eastAsia="KaiTi_GB2312" w:hint="eastAsia"/>
          <w:color w:val="000000"/>
          <w:u w:val="none"/>
        </w:rPr>
      </w:pPr>
      <w:r>
        <w:rPr>
          <w:rFonts w:eastAsia="KaiTi_GB2312" w:hint="eastAsia"/>
          <w:color w:val="000000"/>
          <w:u w:val="none"/>
        </w:rPr>
        <w:t>人均国民收入</w:t>
      </w:r>
    </w:p>
    <w:p w:rsidR="00692915" w:rsidRDefault="00692915" w:rsidP="009A1C1B">
      <w:pPr>
        <w:ind w:firstLine="31680"/>
        <w:rPr>
          <w:rFonts w:hint="eastAsia"/>
          <w:color w:val="000000"/>
          <w:szCs w:val="24"/>
        </w:rPr>
      </w:pPr>
      <w:r>
        <w:rPr>
          <w:rFonts w:hint="eastAsia"/>
          <w:color w:val="000000"/>
          <w:szCs w:val="24"/>
        </w:rPr>
        <w:t>人口的人均收入发生了波动，</w:t>
      </w:r>
      <w:r>
        <w:rPr>
          <w:rFonts w:hint="eastAsia"/>
          <w:color w:val="000000"/>
          <w:szCs w:val="24"/>
        </w:rPr>
        <w:t xml:space="preserve"> 1999</w:t>
      </w:r>
      <w:r>
        <w:rPr>
          <w:rFonts w:hint="eastAsia"/>
          <w:color w:val="000000"/>
          <w:szCs w:val="24"/>
        </w:rPr>
        <w:t>年的最初人均收入为</w:t>
      </w:r>
      <w:r>
        <w:rPr>
          <w:rFonts w:hint="eastAsia"/>
          <w:color w:val="000000"/>
          <w:szCs w:val="24"/>
        </w:rPr>
        <w:t>400</w:t>
      </w:r>
      <w:r>
        <w:rPr>
          <w:rFonts w:hint="eastAsia"/>
          <w:color w:val="000000"/>
          <w:szCs w:val="24"/>
        </w:rPr>
        <w:t>美元，</w:t>
      </w:r>
      <w:r>
        <w:rPr>
          <w:rFonts w:hint="eastAsia"/>
          <w:color w:val="000000"/>
          <w:szCs w:val="24"/>
        </w:rPr>
        <w:t>2001</w:t>
      </w:r>
      <w:r>
        <w:rPr>
          <w:rFonts w:hint="eastAsia"/>
          <w:color w:val="000000"/>
          <w:szCs w:val="24"/>
        </w:rPr>
        <w:t>年有所上升，但随后略有下降，直到</w:t>
      </w:r>
      <w:r>
        <w:rPr>
          <w:rFonts w:hint="eastAsia"/>
          <w:color w:val="000000"/>
          <w:szCs w:val="24"/>
        </w:rPr>
        <w:t>2004</w:t>
      </w:r>
      <w:r>
        <w:rPr>
          <w:rFonts w:hint="eastAsia"/>
          <w:color w:val="000000"/>
          <w:szCs w:val="24"/>
        </w:rPr>
        <w:t>年首次石油收入后有了好转（图</w:t>
      </w:r>
      <w:r>
        <w:rPr>
          <w:rFonts w:hint="eastAsia"/>
          <w:color w:val="000000"/>
          <w:szCs w:val="24"/>
        </w:rPr>
        <w:t>24</w:t>
      </w:r>
      <w:r>
        <w:rPr>
          <w:rFonts w:hint="eastAsia"/>
          <w:color w:val="000000"/>
          <w:szCs w:val="24"/>
        </w:rPr>
        <w:t>）。</w:t>
      </w:r>
    </w:p>
    <w:p w:rsidR="00692915" w:rsidRDefault="00692915">
      <w:pPr>
        <w:pStyle w:val="Heading2"/>
        <w:spacing w:before="120" w:after="0"/>
        <w:rPr>
          <w:rFonts w:hint="eastAsia"/>
          <w:color w:val="000000"/>
          <w:sz w:val="24"/>
        </w:rPr>
      </w:pPr>
      <w:bookmarkStart w:id="268" w:name="_Toc132732323"/>
      <w:r>
        <w:rPr>
          <w:rFonts w:hint="eastAsia"/>
          <w:color w:val="000000"/>
          <w:sz w:val="24"/>
        </w:rPr>
        <w:t>图</w:t>
      </w:r>
      <w:r>
        <w:rPr>
          <w:color w:val="000000"/>
          <w:sz w:val="24"/>
        </w:rPr>
        <w:t xml:space="preserve"> </w:t>
      </w:r>
      <w:r>
        <w:rPr>
          <w:noProof/>
          <w:color w:val="000000"/>
          <w:sz w:val="24"/>
        </w:rPr>
        <w:t>24</w:t>
      </w:r>
      <w:r>
        <w:rPr>
          <w:rFonts w:hint="eastAsia"/>
          <w:noProof/>
          <w:color w:val="000000"/>
          <w:sz w:val="24"/>
        </w:rPr>
        <w:br/>
      </w:r>
      <w:r>
        <w:rPr>
          <w:color w:val="000000"/>
          <w:sz w:val="24"/>
        </w:rPr>
        <w:t>2000</w:t>
      </w:r>
      <w:r>
        <w:rPr>
          <w:rFonts w:hint="eastAsia"/>
          <w:color w:val="000000"/>
          <w:sz w:val="24"/>
        </w:rPr>
        <w:t>-</w:t>
      </w:r>
      <w:r>
        <w:rPr>
          <w:color w:val="000000"/>
          <w:sz w:val="24"/>
        </w:rPr>
        <w:t>2004</w:t>
      </w:r>
      <w:bookmarkEnd w:id="268"/>
      <w:r>
        <w:rPr>
          <w:rFonts w:hint="eastAsia"/>
          <w:color w:val="000000"/>
          <w:sz w:val="24"/>
        </w:rPr>
        <w:t>年东帝汶国民总收入与柬埔寨、印度尼西亚、</w:t>
      </w:r>
      <w:r>
        <w:rPr>
          <w:color w:val="000000"/>
          <w:sz w:val="24"/>
        </w:rPr>
        <w:br/>
      </w:r>
      <w:r>
        <w:rPr>
          <w:rFonts w:hint="eastAsia"/>
          <w:color w:val="000000"/>
          <w:sz w:val="24"/>
        </w:rPr>
        <w:t>泰国和低收入国家的比较（每年人均美元收入）</w:t>
      </w:r>
    </w:p>
    <w:p w:rsidR="00692915" w:rsidRDefault="00692915" w:rsidP="009A1C1B">
      <w:pPr>
        <w:ind w:firstLine="31680"/>
        <w:jc w:val="center"/>
        <w:rPr>
          <w:rFonts w:hint="eastAsia"/>
          <w:color w:val="000000"/>
          <w:szCs w:val="24"/>
        </w:rPr>
      </w:pPr>
      <w:r>
        <w:rPr>
          <w:noProof/>
          <w:snapToGrid/>
          <w:color w:val="000000"/>
          <w:sz w:val="20"/>
          <w:szCs w:val="24"/>
        </w:rPr>
        <w:pict>
          <v:shape id="_x0000_s2375" type="#_x0000_t202" style="position:absolute;left:0;text-align:left;margin-left:387.8pt;margin-top:169.05pt;width:48.2pt;height:16.15pt;z-index:109" o:regroupid="20" filled="f" stroked="f">
            <v:textbox inset=",.5mm">
              <w:txbxContent>
                <w:p w:rsidR="00692915" w:rsidRDefault="00692915">
                  <w:pPr>
                    <w:pStyle w:val="FootnoteText"/>
                    <w:ind w:firstLineChars="0" w:firstLine="0"/>
                    <w:rPr>
                      <w:sz w:val="15"/>
                    </w:rPr>
                  </w:pPr>
                  <w:r>
                    <w:rPr>
                      <w:rFonts w:eastAsia="SimSun" w:hint="eastAsia"/>
                      <w:sz w:val="15"/>
                    </w:rPr>
                    <w:t>柬埔寨</w:t>
                  </w:r>
                </w:p>
              </w:txbxContent>
            </v:textbox>
          </v:shape>
        </w:pict>
      </w:r>
      <w:r>
        <w:rPr>
          <w:noProof/>
          <w:snapToGrid/>
          <w:color w:val="000000"/>
          <w:sz w:val="20"/>
          <w:szCs w:val="24"/>
        </w:rPr>
        <w:pict>
          <v:shape id="_x0000_s2374" type="#_x0000_t202" style="position:absolute;left:0;text-align:left;margin-left:373.15pt;margin-top:133.6pt;width:48.35pt;height:14.2pt;z-index:108" o:regroupid="20" filled="f" stroked="f" strokecolor="blue">
            <v:textbox inset=",.5mm">
              <w:txbxContent>
                <w:p w:rsidR="00692915" w:rsidRDefault="00692915">
                  <w:pPr>
                    <w:pStyle w:val="FootnoteText"/>
                    <w:ind w:firstLineChars="0" w:firstLine="0"/>
                    <w:rPr>
                      <w:sz w:val="15"/>
                    </w:rPr>
                  </w:pPr>
                  <w:r>
                    <w:rPr>
                      <w:rFonts w:eastAsia="SimSun" w:hint="eastAsia"/>
                      <w:sz w:val="15"/>
                    </w:rPr>
                    <w:t>东帝汶</w:t>
                  </w:r>
                </w:p>
              </w:txbxContent>
            </v:textbox>
          </v:shape>
        </w:pict>
      </w:r>
      <w:r>
        <w:rPr>
          <w:noProof/>
          <w:snapToGrid/>
          <w:color w:val="000000"/>
          <w:sz w:val="20"/>
          <w:szCs w:val="24"/>
        </w:rPr>
        <w:pict>
          <v:shape id="_x0000_s2373" type="#_x0000_t202" style="position:absolute;left:0;text-align:left;margin-left:364.95pt;margin-top:94.45pt;width:53.55pt;height:23.15pt;z-index:107" o:regroupid="20" filled="f" stroked="f" strokecolor="green">
            <v:textbox inset=",2.3mm">
              <w:txbxContent>
                <w:p w:rsidR="00692915" w:rsidRDefault="00692915">
                  <w:pPr>
                    <w:pStyle w:val="FootnoteText"/>
                    <w:ind w:firstLineChars="0" w:firstLine="0"/>
                    <w:rPr>
                      <w:rFonts w:hint="eastAsia"/>
                      <w:b/>
                      <w:bCs/>
                      <w:sz w:val="15"/>
                    </w:rPr>
                  </w:pPr>
                  <w:r>
                    <w:rPr>
                      <w:rFonts w:eastAsia="SimSun" w:hint="eastAsia"/>
                      <w:sz w:val="15"/>
                    </w:rPr>
                    <w:t>印度尼西亚</w:t>
                  </w:r>
                </w:p>
              </w:txbxContent>
            </v:textbox>
          </v:shape>
        </w:pict>
      </w:r>
      <w:r>
        <w:rPr>
          <w:noProof/>
          <w:snapToGrid/>
          <w:color w:val="000000"/>
          <w:sz w:val="20"/>
          <w:szCs w:val="24"/>
        </w:rPr>
        <w:pict>
          <v:shape id="_x0000_s2372" type="#_x0000_t202" style="position:absolute;left:0;text-align:left;margin-left:71.5pt;margin-top:113.65pt;width:48pt;height:27.75pt;z-index:106" o:regroupid="20" filled="f" stroked="f" strokecolor="red">
            <v:textbox>
              <w:txbxContent>
                <w:p w:rsidR="00692915" w:rsidRDefault="00692915">
                  <w:pPr>
                    <w:pStyle w:val="FootnoteText"/>
                    <w:ind w:firstLineChars="0" w:firstLine="0"/>
                    <w:rPr>
                      <w:rFonts w:eastAsia="SimSun" w:hint="eastAsia"/>
                      <w:sz w:val="15"/>
                    </w:rPr>
                  </w:pPr>
                  <w:r>
                    <w:rPr>
                      <w:rFonts w:eastAsia="SimSun" w:hint="eastAsia"/>
                      <w:sz w:val="15"/>
                    </w:rPr>
                    <w:t>低收入</w:t>
                  </w:r>
                </w:p>
                <w:p w:rsidR="00692915" w:rsidRDefault="00692915">
                  <w:pPr>
                    <w:pStyle w:val="FootnoteText"/>
                    <w:ind w:firstLineChars="0" w:firstLine="0"/>
                    <w:rPr>
                      <w:sz w:val="15"/>
                    </w:rPr>
                  </w:pPr>
                  <w:r>
                    <w:rPr>
                      <w:rFonts w:eastAsia="SimSun" w:hint="eastAsia"/>
                      <w:sz w:val="15"/>
                    </w:rPr>
                    <w:t>国家</w:t>
                  </w:r>
                </w:p>
              </w:txbxContent>
            </v:textbox>
          </v:shape>
        </w:pict>
      </w:r>
      <w:r>
        <w:rPr>
          <w:noProof/>
          <w:snapToGrid/>
          <w:color w:val="000000"/>
          <w:sz w:val="20"/>
          <w:szCs w:val="24"/>
        </w:rPr>
        <w:pict>
          <v:shape id="_x0000_s2371" type="#_x0000_t202" style="position:absolute;left:0;text-align:left;margin-left:88pt;margin-top:69.45pt;width:42pt;height:16.3pt;z-index:105" o:regroupid="20" filled="f" stroked="f" strokecolor="fuchsia">
            <v:textbox inset=",.3mm">
              <w:txbxContent>
                <w:p w:rsidR="00692915" w:rsidRDefault="00692915">
                  <w:pPr>
                    <w:pStyle w:val="FootnoteText"/>
                    <w:ind w:firstLineChars="0" w:firstLine="0"/>
                    <w:rPr>
                      <w:rFonts w:eastAsia="SimSun"/>
                      <w:sz w:val="15"/>
                    </w:rPr>
                  </w:pPr>
                  <w:r>
                    <w:rPr>
                      <w:rFonts w:eastAsia="SimSun" w:hint="eastAsia"/>
                      <w:sz w:val="15"/>
                    </w:rPr>
                    <w:t>泰国</w:t>
                  </w:r>
                </w:p>
              </w:txbxContent>
            </v:textbox>
          </v:shape>
        </w:pict>
      </w:r>
      <w:r>
        <w:rPr>
          <w:noProof/>
          <w:snapToGrid/>
          <w:color w:val="000000"/>
          <w:sz w:val="20"/>
          <w:szCs w:val="24"/>
        </w:rPr>
        <w:pict>
          <v:shape id="_x0000_s2370" type="#_x0000_t202" style="position:absolute;left:0;text-align:left;margin-left:60pt;margin-top:10.5pt;width:354pt;height:16.3pt;z-index:104" o:regroupid="20" filled="f" fillcolor="#f37575" stroked="f">
            <v:textbox inset=",.3mm">
              <w:txbxContent>
                <w:p w:rsidR="00692915" w:rsidRDefault="00692915">
                  <w:pPr>
                    <w:ind w:firstLineChars="0" w:firstLine="0"/>
                    <w:jc w:val="center"/>
                    <w:rPr>
                      <w:rFonts w:ascii="SimHei" w:eastAsia="SimHei"/>
                      <w:sz w:val="21"/>
                    </w:rPr>
                  </w:pPr>
                  <w:r>
                    <w:rPr>
                      <w:rFonts w:ascii="SimHei" w:eastAsia="SimHei" w:hint="eastAsia"/>
                      <w:sz w:val="21"/>
                    </w:rPr>
                    <w:t>2000-2004年东帝汶人均收入在该区域中的情况</w:t>
                  </w:r>
                </w:p>
              </w:txbxContent>
            </v:textbox>
          </v:shape>
        </w:pict>
      </w:r>
      <w:bookmarkStart w:id="269" w:name="_MON_1261425902"/>
      <w:bookmarkStart w:id="270" w:name="_MON_1261425992"/>
      <w:bookmarkStart w:id="271" w:name="_MON_1261427986"/>
      <w:bookmarkStart w:id="272" w:name="_MON_1261909625"/>
      <w:bookmarkStart w:id="273" w:name="_MON_1261910655"/>
      <w:bookmarkEnd w:id="269"/>
      <w:bookmarkEnd w:id="270"/>
      <w:bookmarkEnd w:id="271"/>
      <w:bookmarkEnd w:id="272"/>
      <w:bookmarkEnd w:id="273"/>
      <w:r>
        <w:rPr>
          <w:color w:val="000000"/>
          <w:szCs w:val="24"/>
        </w:rPr>
        <w:object w:dxaOrig="8806" w:dyaOrig="4336">
          <v:shape id="_x0000_i1048" type="#_x0000_t75" style="width:440.25pt;height:216.75pt" o:ole="">
            <v:imagedata r:id="rId54" o:title=""/>
          </v:shape>
          <o:OLEObject Type="Embed" ProgID="Word.Picture.8" ShapeID="_x0000_i1048" DrawAspect="Content" ObjectID="_1395890557" r:id="rId55"/>
        </w:object>
      </w:r>
    </w:p>
    <w:p w:rsidR="00692915" w:rsidRDefault="00692915" w:rsidP="009A1C1B">
      <w:pPr>
        <w:spacing w:line="180" w:lineRule="exact"/>
        <w:ind w:firstLine="31680"/>
        <w:rPr>
          <w:rFonts w:hint="eastAsia"/>
          <w:color w:val="000000"/>
          <w:szCs w:val="24"/>
        </w:rPr>
      </w:pPr>
    </w:p>
    <w:p w:rsidR="00692915" w:rsidRDefault="00692915">
      <w:pPr>
        <w:pStyle w:val="Heading3"/>
        <w:spacing w:after="120"/>
        <w:jc w:val="both"/>
        <w:rPr>
          <w:rFonts w:eastAsia="KaiTi_GB2312" w:hint="eastAsia"/>
          <w:color w:val="000000"/>
          <w:u w:val="none"/>
        </w:rPr>
      </w:pPr>
      <w:r>
        <w:rPr>
          <w:rFonts w:eastAsia="KaiTi_GB2312" w:hint="eastAsia"/>
          <w:color w:val="000000"/>
          <w:u w:val="none"/>
        </w:rPr>
        <w:t>通货膨胀率</w:t>
      </w:r>
    </w:p>
    <w:p w:rsidR="00692915" w:rsidRDefault="00692915" w:rsidP="009A1C1B">
      <w:pPr>
        <w:ind w:firstLine="31680"/>
        <w:rPr>
          <w:rFonts w:hint="eastAsia"/>
          <w:color w:val="000000"/>
        </w:rPr>
      </w:pPr>
      <w:bookmarkStart w:id="274" w:name="_Toc132732324"/>
      <w:r>
        <w:rPr>
          <w:rFonts w:hint="eastAsia"/>
          <w:color w:val="000000"/>
        </w:rPr>
        <w:t>公民投票所引起的暴乱给东帝汶带来了破坏，这种情况再加上国家将美元作为唯一的法定货币使得通货膨胀水平急剧上升。但是，除了这些情况外，一直采取了紧缩的财政政策，通货膨胀一般都受到了控制（图</w:t>
      </w:r>
      <w:r>
        <w:rPr>
          <w:rFonts w:hint="eastAsia"/>
          <w:color w:val="000000"/>
        </w:rPr>
        <w:t>25</w:t>
      </w:r>
      <w:r>
        <w:rPr>
          <w:rFonts w:hint="eastAsia"/>
          <w:color w:val="000000"/>
        </w:rPr>
        <w:t>）。</w:t>
      </w:r>
    </w:p>
    <w:p w:rsidR="00692915" w:rsidRDefault="00692915">
      <w:pPr>
        <w:pStyle w:val="Heading2"/>
        <w:spacing w:after="0"/>
        <w:rPr>
          <w:rFonts w:hint="eastAsia"/>
          <w:color w:val="000000"/>
          <w:sz w:val="24"/>
        </w:rPr>
      </w:pPr>
      <w:r>
        <w:rPr>
          <w:rFonts w:hint="eastAsia"/>
          <w:color w:val="000000"/>
          <w:sz w:val="24"/>
        </w:rPr>
        <w:t>图</w:t>
      </w:r>
      <w:r>
        <w:rPr>
          <w:color w:val="000000"/>
          <w:sz w:val="24"/>
        </w:rPr>
        <w:t xml:space="preserve"> </w:t>
      </w:r>
      <w:r>
        <w:rPr>
          <w:noProof/>
          <w:color w:val="000000"/>
          <w:sz w:val="24"/>
        </w:rPr>
        <w:t>25</w:t>
      </w:r>
      <w:r>
        <w:rPr>
          <w:rFonts w:hint="eastAsia"/>
          <w:noProof/>
          <w:color w:val="000000"/>
          <w:sz w:val="24"/>
        </w:rPr>
        <w:br/>
      </w:r>
      <w:r>
        <w:rPr>
          <w:color w:val="000000"/>
          <w:sz w:val="24"/>
        </w:rPr>
        <w:t>1999</w:t>
      </w:r>
      <w:r>
        <w:rPr>
          <w:rFonts w:hint="eastAsia"/>
          <w:color w:val="000000"/>
          <w:sz w:val="24"/>
        </w:rPr>
        <w:t>-</w:t>
      </w:r>
      <w:r>
        <w:rPr>
          <w:color w:val="000000"/>
          <w:sz w:val="24"/>
        </w:rPr>
        <w:t>2004</w:t>
      </w:r>
      <w:bookmarkEnd w:id="274"/>
      <w:r>
        <w:rPr>
          <w:rFonts w:hint="eastAsia"/>
          <w:color w:val="000000"/>
          <w:sz w:val="24"/>
        </w:rPr>
        <w:t>年的年通货膨胀率（</w:t>
      </w:r>
      <w:r>
        <w:rPr>
          <w:rFonts w:hint="eastAsia"/>
          <w:color w:val="000000"/>
          <w:sz w:val="24"/>
        </w:rPr>
        <w:t>%</w:t>
      </w:r>
      <w:r>
        <w:rPr>
          <w:rFonts w:hint="eastAsia"/>
          <w:color w:val="000000"/>
          <w:sz w:val="24"/>
        </w:rPr>
        <w:t>）</w:t>
      </w:r>
    </w:p>
    <w:p w:rsidR="00692915" w:rsidRDefault="00692915">
      <w:pPr>
        <w:pStyle w:val="a3"/>
        <w:keepNext w:val="0"/>
        <w:keepLines w:val="0"/>
        <w:widowControl/>
        <w:overflowPunct w:val="0"/>
        <w:snapToGrid w:val="0"/>
        <w:spacing w:after="0"/>
        <w:textAlignment w:val="auto"/>
        <w:rPr>
          <w:rFonts w:ascii="Times New Roman" w:eastAsia="SimSun" w:hAnsi="Times New Roman"/>
          <w:snapToGrid w:val="0"/>
          <w:color w:val="000000"/>
          <w:kern w:val="0"/>
          <w:szCs w:val="24"/>
        </w:rPr>
      </w:pPr>
      <w:r>
        <w:rPr>
          <w:rFonts w:ascii="Times New Roman" w:eastAsia="SimSun" w:hAnsi="Times New Roman"/>
          <w:noProof/>
          <w:snapToGrid w:val="0"/>
          <w:color w:val="000000"/>
          <w:kern w:val="0"/>
          <w:szCs w:val="24"/>
        </w:rPr>
        <w:pict>
          <v:shape id="_x0000_s2376" type="#_x0000_t202" style="position:absolute;left:0;text-align:left;margin-left:43.5pt;margin-top:3.7pt;width:375pt;height:20.05pt;z-index:110" filled="f" fillcolor="#f37575" stroked="f">
            <v:textbox>
              <w:txbxContent>
                <w:p w:rsidR="00692915" w:rsidRDefault="00692915">
                  <w:pPr>
                    <w:ind w:firstLineChars="0" w:firstLine="0"/>
                    <w:jc w:val="center"/>
                    <w:rPr>
                      <w:rFonts w:ascii="SimHei" w:eastAsia="SimHei"/>
                      <w:sz w:val="21"/>
                    </w:rPr>
                  </w:pPr>
                  <w:r>
                    <w:rPr>
                      <w:rFonts w:ascii="SimHei" w:eastAsia="SimHei" w:hint="eastAsia"/>
                      <w:sz w:val="21"/>
                    </w:rPr>
                    <w:t>1999年通货膨胀水平极高，2002年通货膨胀水平较高，其他年份适度</w:t>
                  </w:r>
                </w:p>
              </w:txbxContent>
            </v:textbox>
          </v:shape>
        </w:pict>
      </w:r>
      <w:bookmarkStart w:id="275" w:name="_MON_1261426216"/>
      <w:bookmarkStart w:id="276" w:name="_MON_1261427987"/>
      <w:bookmarkEnd w:id="275"/>
      <w:bookmarkEnd w:id="276"/>
      <w:r>
        <w:rPr>
          <w:rFonts w:ascii="Times New Roman" w:eastAsia="SimSun" w:hAnsi="Times New Roman"/>
          <w:snapToGrid w:val="0"/>
          <w:color w:val="000000"/>
          <w:kern w:val="0"/>
          <w:szCs w:val="24"/>
        </w:rPr>
        <w:object w:dxaOrig="7636" w:dyaOrig="3766">
          <v:shape id="_x0000_i1049" type="#_x0000_t75" style="width:381.75pt;height:188.25pt" o:ole="">
            <v:imagedata r:id="rId56" o:title=""/>
          </v:shape>
          <o:OLEObject Type="Embed" ProgID="Word.Picture.8" ShapeID="_x0000_i1049" DrawAspect="Content" ObjectID="_1395890558" r:id="rId57"/>
        </w:object>
      </w:r>
    </w:p>
    <w:p w:rsidR="00692915" w:rsidRDefault="00692915" w:rsidP="009A1C1B">
      <w:pPr>
        <w:tabs>
          <w:tab w:val="left" w:pos="1418"/>
        </w:tabs>
        <w:spacing w:afterLines="50" w:after="180"/>
        <w:ind w:firstLine="31680"/>
        <w:rPr>
          <w:rFonts w:hint="eastAsia"/>
          <w:color w:val="000000"/>
          <w:sz w:val="21"/>
          <w:szCs w:val="24"/>
        </w:rPr>
      </w:pPr>
      <w:r>
        <w:rPr>
          <w:rFonts w:ascii="KaiTi_GB2312" w:eastAsia="KaiTi_GB2312" w:hint="eastAsia"/>
          <w:color w:val="000000"/>
          <w:sz w:val="21"/>
        </w:rPr>
        <w:t>资料来源：《2006年东帝汶人类发展报告》</w:t>
      </w:r>
      <w:r>
        <w:rPr>
          <w:rFonts w:hint="eastAsia"/>
          <w:color w:val="000000"/>
          <w:sz w:val="21"/>
        </w:rPr>
        <w:t>，附件九</w:t>
      </w:r>
      <w:r>
        <w:rPr>
          <w:color w:val="000000"/>
          <w:sz w:val="21"/>
        </w:rPr>
        <w:t>.3</w:t>
      </w:r>
      <w:r>
        <w:rPr>
          <w:rFonts w:hint="eastAsia"/>
          <w:color w:val="000000"/>
          <w:sz w:val="21"/>
        </w:rPr>
        <w:t>，第</w:t>
      </w:r>
      <w:r>
        <w:rPr>
          <w:rFonts w:hint="eastAsia"/>
          <w:color w:val="000000"/>
          <w:sz w:val="21"/>
        </w:rPr>
        <w:t>82</w:t>
      </w:r>
      <w:r>
        <w:rPr>
          <w:rFonts w:hint="eastAsia"/>
          <w:color w:val="000000"/>
          <w:sz w:val="21"/>
        </w:rPr>
        <w:t>页。</w:t>
      </w:r>
    </w:p>
    <w:p w:rsidR="00692915" w:rsidRDefault="00692915">
      <w:pPr>
        <w:pStyle w:val="Heading3"/>
        <w:spacing w:before="120"/>
        <w:jc w:val="both"/>
        <w:rPr>
          <w:rFonts w:eastAsia="KaiTi_GB2312" w:hint="eastAsia"/>
          <w:color w:val="000000"/>
          <w:u w:val="none"/>
        </w:rPr>
      </w:pPr>
      <w:r>
        <w:rPr>
          <w:rFonts w:eastAsia="KaiTi_GB2312" w:hint="eastAsia"/>
          <w:color w:val="000000"/>
          <w:u w:val="none"/>
        </w:rPr>
        <w:t>财政支出占国内生产总值的比例</w:t>
      </w:r>
    </w:p>
    <w:p w:rsidR="00692915" w:rsidRDefault="00692915" w:rsidP="009A1C1B">
      <w:pPr>
        <w:ind w:firstLine="31680"/>
        <w:rPr>
          <w:rFonts w:hint="eastAsia"/>
          <w:color w:val="000000"/>
        </w:rPr>
      </w:pPr>
      <w:r>
        <w:rPr>
          <w:rFonts w:hint="eastAsia"/>
          <w:color w:val="000000"/>
        </w:rPr>
        <w:t>2001-2003</w:t>
      </w:r>
      <w:r>
        <w:rPr>
          <w:rFonts w:hint="eastAsia"/>
          <w:color w:val="000000"/>
        </w:rPr>
        <w:t>年期间，财政支出占国内生产总值的比例从</w:t>
      </w:r>
      <w:r>
        <w:rPr>
          <w:rFonts w:hint="eastAsia"/>
          <w:color w:val="000000"/>
        </w:rPr>
        <w:t>14%</w:t>
      </w:r>
      <w:r>
        <w:rPr>
          <w:rFonts w:hint="eastAsia"/>
          <w:color w:val="000000"/>
        </w:rPr>
        <w:t>上升到</w:t>
      </w:r>
      <w:r>
        <w:rPr>
          <w:rFonts w:hint="eastAsia"/>
          <w:color w:val="000000"/>
        </w:rPr>
        <w:t>21%</w:t>
      </w:r>
      <w:r>
        <w:rPr>
          <w:rFonts w:hint="eastAsia"/>
          <w:color w:val="000000"/>
        </w:rPr>
        <w:t>。</w:t>
      </w:r>
    </w:p>
    <w:p w:rsidR="00692915" w:rsidRDefault="00692915" w:rsidP="009A1C1B">
      <w:pPr>
        <w:ind w:firstLine="31680"/>
        <w:rPr>
          <w:rFonts w:hint="eastAsia"/>
          <w:color w:val="000000"/>
        </w:rPr>
      </w:pPr>
      <w:r>
        <w:rPr>
          <w:rFonts w:hint="eastAsia"/>
          <w:color w:val="000000"/>
        </w:rPr>
        <w:t>在这一期间，教育支出从国内生产总值的</w:t>
      </w:r>
      <w:r>
        <w:rPr>
          <w:rFonts w:hint="eastAsia"/>
          <w:color w:val="000000"/>
        </w:rPr>
        <w:t>3%</w:t>
      </w:r>
      <w:r>
        <w:rPr>
          <w:rFonts w:hint="eastAsia"/>
          <w:color w:val="000000"/>
        </w:rPr>
        <w:t>上升到</w:t>
      </w:r>
      <w:r>
        <w:rPr>
          <w:rFonts w:hint="eastAsia"/>
          <w:color w:val="000000"/>
        </w:rPr>
        <w:t>5%</w:t>
      </w:r>
      <w:r>
        <w:rPr>
          <w:rFonts w:hint="eastAsia"/>
          <w:color w:val="000000"/>
        </w:rPr>
        <w:t>，保健支出的增长水平要低一些，从</w:t>
      </w:r>
      <w:r>
        <w:rPr>
          <w:rFonts w:hint="eastAsia"/>
          <w:color w:val="000000"/>
        </w:rPr>
        <w:t>1%</w:t>
      </w:r>
      <w:r>
        <w:rPr>
          <w:rFonts w:hint="eastAsia"/>
          <w:color w:val="000000"/>
        </w:rPr>
        <w:t>上升到</w:t>
      </w:r>
      <w:r>
        <w:rPr>
          <w:rFonts w:hint="eastAsia"/>
          <w:color w:val="000000"/>
        </w:rPr>
        <w:t>2%</w:t>
      </w:r>
      <w:r>
        <w:rPr>
          <w:rFonts w:hint="eastAsia"/>
          <w:color w:val="000000"/>
        </w:rPr>
        <w:t>（图</w:t>
      </w:r>
      <w:r>
        <w:rPr>
          <w:rFonts w:hint="eastAsia"/>
          <w:color w:val="000000"/>
        </w:rPr>
        <w:t>26</w:t>
      </w:r>
      <w:r>
        <w:rPr>
          <w:rFonts w:hint="eastAsia"/>
          <w:color w:val="000000"/>
        </w:rPr>
        <w:t>）。</w:t>
      </w:r>
    </w:p>
    <w:p w:rsidR="00692915" w:rsidRDefault="00692915" w:rsidP="009A1C1B">
      <w:pPr>
        <w:ind w:firstLine="31680"/>
        <w:rPr>
          <w:rFonts w:hint="eastAsia"/>
          <w:color w:val="000000"/>
        </w:rPr>
      </w:pPr>
      <w:r>
        <w:rPr>
          <w:rFonts w:hint="eastAsia"/>
          <w:color w:val="000000"/>
        </w:rPr>
        <w:t>关于教育方面的财政支出在国内生产总值中所占的比例，该地区各国之间的差异很大：从印度尼西亚的</w:t>
      </w:r>
      <w:r>
        <w:rPr>
          <w:color w:val="000000"/>
        </w:rPr>
        <w:t>1.2 %</w:t>
      </w:r>
      <w:r>
        <w:rPr>
          <w:rFonts w:hint="eastAsia"/>
          <w:color w:val="000000"/>
        </w:rPr>
        <w:t>，菲律宾的</w:t>
      </w:r>
      <w:r>
        <w:rPr>
          <w:color w:val="000000"/>
        </w:rPr>
        <w:t>3.1 %</w:t>
      </w:r>
      <w:r>
        <w:rPr>
          <w:rFonts w:hint="eastAsia"/>
          <w:color w:val="000000"/>
        </w:rPr>
        <w:t>，一直到泰国的</w:t>
      </w:r>
      <w:r>
        <w:rPr>
          <w:color w:val="000000"/>
        </w:rPr>
        <w:t>5 %</w:t>
      </w:r>
      <w:r>
        <w:rPr>
          <w:rFonts w:hint="eastAsia"/>
          <w:color w:val="000000"/>
        </w:rPr>
        <w:t>，马来西亚的</w:t>
      </w:r>
      <w:r>
        <w:rPr>
          <w:color w:val="000000"/>
        </w:rPr>
        <w:t>8.1 %</w:t>
      </w:r>
      <w:r>
        <w:rPr>
          <w:rFonts w:hint="eastAsia"/>
          <w:color w:val="000000"/>
        </w:rPr>
        <w:t>。</w:t>
      </w:r>
    </w:p>
    <w:p w:rsidR="00692915" w:rsidRDefault="00692915" w:rsidP="009A1C1B">
      <w:pPr>
        <w:pStyle w:val="BodyTextIndent"/>
        <w:spacing w:after="0"/>
        <w:ind w:firstLine="31680"/>
        <w:rPr>
          <w:rFonts w:hint="eastAsia"/>
          <w:bCs w:val="0"/>
          <w:color w:val="000000"/>
          <w:szCs w:val="24"/>
        </w:rPr>
      </w:pPr>
      <w:r>
        <w:rPr>
          <w:rFonts w:hint="eastAsia"/>
          <w:bCs w:val="0"/>
          <w:color w:val="000000"/>
          <w:szCs w:val="24"/>
        </w:rPr>
        <w:t>但在东帝汶，这些数据并不能反映这些关键部门获得的资源情况。例如，捐助者和东帝汶统一基金为保健部门提供的资金金额一直比较大。</w:t>
      </w:r>
    </w:p>
    <w:p w:rsidR="00692915" w:rsidRDefault="00692915" w:rsidP="009A1C1B">
      <w:pPr>
        <w:ind w:firstLine="31680"/>
        <w:rPr>
          <w:rFonts w:hint="eastAsia"/>
          <w:color w:val="000000"/>
          <w:szCs w:val="24"/>
        </w:rPr>
      </w:pPr>
      <w:r>
        <w:rPr>
          <w:rFonts w:hint="eastAsia"/>
          <w:color w:val="000000"/>
          <w:szCs w:val="24"/>
        </w:rPr>
        <w:t>在</w:t>
      </w:r>
      <w:r>
        <w:rPr>
          <w:color w:val="000000"/>
          <w:szCs w:val="24"/>
        </w:rPr>
        <w:t>1999/</w:t>
      </w:r>
      <w:r>
        <w:rPr>
          <w:rFonts w:hint="eastAsia"/>
          <w:color w:val="000000"/>
          <w:szCs w:val="24"/>
        </w:rPr>
        <w:t>20</w:t>
      </w:r>
      <w:r>
        <w:rPr>
          <w:color w:val="000000"/>
          <w:szCs w:val="24"/>
        </w:rPr>
        <w:t>01</w:t>
      </w:r>
      <w:r>
        <w:rPr>
          <w:rFonts w:hint="eastAsia"/>
          <w:color w:val="000000"/>
          <w:szCs w:val="24"/>
        </w:rPr>
        <w:t>-</w:t>
      </w:r>
      <w:r>
        <w:rPr>
          <w:color w:val="000000"/>
          <w:szCs w:val="24"/>
        </w:rPr>
        <w:t>2004/</w:t>
      </w:r>
      <w:r>
        <w:rPr>
          <w:rFonts w:hint="eastAsia"/>
          <w:color w:val="000000"/>
          <w:szCs w:val="24"/>
        </w:rPr>
        <w:t>20</w:t>
      </w:r>
      <w:r>
        <w:rPr>
          <w:color w:val="000000"/>
          <w:szCs w:val="24"/>
        </w:rPr>
        <w:t>05</w:t>
      </w:r>
      <w:r>
        <w:rPr>
          <w:rFonts w:hint="eastAsia"/>
          <w:color w:val="000000"/>
          <w:szCs w:val="24"/>
        </w:rPr>
        <w:t>财政年度期间，在卫生领域的捐助者项目（</w:t>
      </w:r>
      <w:r>
        <w:rPr>
          <w:color w:val="000000"/>
          <w:szCs w:val="24"/>
        </w:rPr>
        <w:t>69 %</w:t>
      </w:r>
      <w:r>
        <w:rPr>
          <w:rFonts w:hint="eastAsia"/>
          <w:color w:val="000000"/>
          <w:szCs w:val="24"/>
        </w:rPr>
        <w:t>）和东帝汶统一基金资源（</w:t>
      </w:r>
      <w:r>
        <w:rPr>
          <w:rFonts w:hint="eastAsia"/>
          <w:color w:val="000000"/>
          <w:szCs w:val="24"/>
        </w:rPr>
        <w:t>31%</w:t>
      </w:r>
      <w:r>
        <w:rPr>
          <w:rFonts w:hint="eastAsia"/>
          <w:color w:val="000000"/>
          <w:szCs w:val="24"/>
        </w:rPr>
        <w:t>）共计</w:t>
      </w:r>
      <w:r>
        <w:rPr>
          <w:color w:val="000000"/>
          <w:szCs w:val="24"/>
        </w:rPr>
        <w:t>136</w:t>
      </w:r>
      <w:r>
        <w:rPr>
          <w:rFonts w:hint="eastAsia"/>
          <w:color w:val="000000"/>
          <w:szCs w:val="24"/>
        </w:rPr>
        <w:t xml:space="preserve"> </w:t>
      </w:r>
      <w:r>
        <w:rPr>
          <w:color w:val="000000"/>
          <w:szCs w:val="24"/>
        </w:rPr>
        <w:t>398</w:t>
      </w:r>
      <w:r>
        <w:rPr>
          <w:rFonts w:hint="eastAsia"/>
          <w:color w:val="000000"/>
          <w:szCs w:val="24"/>
        </w:rPr>
        <w:t xml:space="preserve"> </w:t>
      </w:r>
      <w:r>
        <w:rPr>
          <w:color w:val="000000"/>
          <w:szCs w:val="24"/>
        </w:rPr>
        <w:t>298</w:t>
      </w:r>
      <w:r>
        <w:rPr>
          <w:rFonts w:hint="eastAsia"/>
          <w:color w:val="000000"/>
          <w:szCs w:val="24"/>
        </w:rPr>
        <w:t>美元；此外，为</w:t>
      </w:r>
      <w:r>
        <w:rPr>
          <w:color w:val="000000"/>
          <w:szCs w:val="24"/>
        </w:rPr>
        <w:t>2005/</w:t>
      </w:r>
      <w:r>
        <w:rPr>
          <w:rFonts w:hint="eastAsia"/>
          <w:color w:val="000000"/>
          <w:szCs w:val="24"/>
        </w:rPr>
        <w:t>20</w:t>
      </w:r>
      <w:r>
        <w:rPr>
          <w:color w:val="000000"/>
          <w:szCs w:val="24"/>
        </w:rPr>
        <w:t>06</w:t>
      </w:r>
      <w:r>
        <w:rPr>
          <w:rFonts w:hint="eastAsia"/>
          <w:color w:val="000000"/>
          <w:szCs w:val="24"/>
        </w:rPr>
        <w:t>-</w:t>
      </w:r>
      <w:r>
        <w:rPr>
          <w:color w:val="000000"/>
          <w:szCs w:val="24"/>
        </w:rPr>
        <w:t>2009/</w:t>
      </w:r>
      <w:r>
        <w:rPr>
          <w:rFonts w:hint="eastAsia"/>
          <w:color w:val="000000"/>
          <w:szCs w:val="24"/>
        </w:rPr>
        <w:t>20</w:t>
      </w:r>
      <w:r>
        <w:rPr>
          <w:color w:val="000000"/>
          <w:szCs w:val="24"/>
        </w:rPr>
        <w:t>10</w:t>
      </w:r>
      <w:r>
        <w:rPr>
          <w:rFonts w:hint="eastAsia"/>
          <w:color w:val="000000"/>
          <w:szCs w:val="24"/>
        </w:rPr>
        <w:t>财政年度承诺的金额达</w:t>
      </w:r>
      <w:r>
        <w:rPr>
          <w:color w:val="000000"/>
          <w:szCs w:val="24"/>
        </w:rPr>
        <w:t>189</w:t>
      </w:r>
      <w:r>
        <w:rPr>
          <w:rFonts w:hint="eastAsia"/>
          <w:color w:val="000000"/>
          <w:szCs w:val="24"/>
        </w:rPr>
        <w:t xml:space="preserve"> </w:t>
      </w:r>
      <w:r>
        <w:rPr>
          <w:color w:val="000000"/>
          <w:szCs w:val="24"/>
        </w:rPr>
        <w:t>887</w:t>
      </w:r>
      <w:r>
        <w:rPr>
          <w:rFonts w:hint="eastAsia"/>
          <w:color w:val="000000"/>
          <w:szCs w:val="24"/>
        </w:rPr>
        <w:t xml:space="preserve"> </w:t>
      </w:r>
      <w:r>
        <w:rPr>
          <w:color w:val="000000"/>
          <w:szCs w:val="24"/>
        </w:rPr>
        <w:t>740</w:t>
      </w:r>
      <w:r>
        <w:rPr>
          <w:rFonts w:hint="eastAsia"/>
          <w:color w:val="000000"/>
          <w:szCs w:val="24"/>
        </w:rPr>
        <w:t>美元。</w:t>
      </w:r>
      <w:r>
        <w:rPr>
          <w:rStyle w:val="FootnoteReference"/>
          <w:color w:val="000000"/>
          <w:szCs w:val="24"/>
        </w:rPr>
        <w:footnoteReference w:id="403"/>
      </w:r>
    </w:p>
    <w:p w:rsidR="00692915" w:rsidRDefault="00692915">
      <w:pPr>
        <w:pStyle w:val="Heading2"/>
        <w:spacing w:after="0"/>
        <w:rPr>
          <w:rFonts w:hint="eastAsia"/>
          <w:color w:val="000000"/>
          <w:sz w:val="24"/>
        </w:rPr>
      </w:pPr>
      <w:bookmarkStart w:id="277" w:name="_Toc132732325"/>
      <w:r>
        <w:rPr>
          <w:rFonts w:hint="eastAsia"/>
          <w:color w:val="000000"/>
          <w:sz w:val="24"/>
        </w:rPr>
        <w:t>图</w:t>
      </w:r>
      <w:r>
        <w:rPr>
          <w:color w:val="000000"/>
          <w:sz w:val="24"/>
        </w:rPr>
        <w:t xml:space="preserve"> 26</w:t>
      </w:r>
      <w:r>
        <w:rPr>
          <w:rFonts w:hint="eastAsia"/>
          <w:color w:val="000000"/>
          <w:sz w:val="24"/>
        </w:rPr>
        <w:br/>
      </w:r>
      <w:bookmarkEnd w:id="277"/>
      <w:r>
        <w:rPr>
          <w:color w:val="000000"/>
          <w:sz w:val="24"/>
        </w:rPr>
        <w:t>2001</w:t>
      </w:r>
      <w:r>
        <w:rPr>
          <w:rFonts w:hint="eastAsia"/>
          <w:color w:val="000000"/>
          <w:sz w:val="24"/>
        </w:rPr>
        <w:t>-</w:t>
      </w:r>
      <w:r>
        <w:rPr>
          <w:color w:val="000000"/>
          <w:sz w:val="24"/>
        </w:rPr>
        <w:t>2003</w:t>
      </w:r>
      <w:r>
        <w:rPr>
          <w:rFonts w:hint="eastAsia"/>
          <w:color w:val="000000"/>
          <w:sz w:val="24"/>
        </w:rPr>
        <w:t>年公共部门支出占国内生产总值的比例（</w:t>
      </w:r>
      <w:r>
        <w:rPr>
          <w:rFonts w:hint="eastAsia"/>
          <w:color w:val="000000"/>
          <w:sz w:val="24"/>
        </w:rPr>
        <w:t>%</w:t>
      </w:r>
      <w:r>
        <w:rPr>
          <w:rFonts w:hint="eastAsia"/>
          <w:color w:val="000000"/>
          <w:sz w:val="24"/>
        </w:rPr>
        <w:t>）</w:t>
      </w:r>
    </w:p>
    <w:p w:rsidR="00692915" w:rsidRDefault="00692915" w:rsidP="009A1C1B">
      <w:pPr>
        <w:ind w:firstLine="31680"/>
        <w:jc w:val="center"/>
        <w:rPr>
          <w:rFonts w:hint="eastAsia"/>
          <w:color w:val="000000"/>
          <w:szCs w:val="24"/>
        </w:rPr>
      </w:pPr>
      <w:r>
        <w:rPr>
          <w:noProof/>
          <w:snapToGrid/>
          <w:color w:val="000000"/>
          <w:sz w:val="20"/>
        </w:rPr>
        <w:pict>
          <v:shape id="_x0000_s2380" type="#_x0000_t202" style="position:absolute;left:0;text-align:left;margin-left:299pt;margin-top:157.05pt;width:48pt;height:12.45pt;z-index:113" o:regroupid="21" filled="f" stroked="f">
            <v:textbox style="mso-next-textbox:#_x0000_s2380" inset=",0">
              <w:txbxContent>
                <w:p w:rsidR="00692915" w:rsidRDefault="00692915">
                  <w:pPr>
                    <w:spacing w:line="180" w:lineRule="exact"/>
                    <w:ind w:firstLineChars="0" w:firstLine="0"/>
                    <w:jc w:val="center"/>
                  </w:pPr>
                  <w:r>
                    <w:rPr>
                      <w:rFonts w:hint="eastAsia"/>
                      <w:spacing w:val="0"/>
                      <w:sz w:val="15"/>
                    </w:rPr>
                    <w:t>教育</w:t>
                  </w:r>
                </w:p>
              </w:txbxContent>
            </v:textbox>
          </v:shape>
        </w:pict>
      </w:r>
      <w:r>
        <w:rPr>
          <w:noProof/>
          <w:snapToGrid/>
          <w:color w:val="000000"/>
          <w:sz w:val="20"/>
        </w:rPr>
        <w:pict>
          <v:shape id="_x0000_s2381" type="#_x0000_t202" style="position:absolute;left:0;text-align:left;margin-left:377pt;margin-top:181.35pt;width:37pt;height:13.85pt;z-index:114" o:regroupid="21" filled="f" stroked="f">
            <v:textbox style="mso-next-textbox:#_x0000_s2381" inset=",.5mm">
              <w:txbxContent>
                <w:p w:rsidR="00692915" w:rsidRDefault="00692915">
                  <w:pPr>
                    <w:spacing w:line="180" w:lineRule="exact"/>
                    <w:ind w:firstLineChars="0" w:firstLine="0"/>
                    <w:jc w:val="left"/>
                  </w:pPr>
                  <w:r>
                    <w:rPr>
                      <w:rFonts w:hint="eastAsia"/>
                      <w:spacing w:val="0"/>
                      <w:sz w:val="15"/>
                    </w:rPr>
                    <w:t>保健</w:t>
                  </w:r>
                </w:p>
              </w:txbxContent>
            </v:textbox>
          </v:shape>
        </w:pict>
      </w:r>
      <w:r>
        <w:rPr>
          <w:noProof/>
          <w:snapToGrid/>
          <w:color w:val="000000"/>
          <w:sz w:val="20"/>
        </w:rPr>
        <w:pict>
          <v:shape id="_x0000_s2387" type="#_x0000_t202" style="position:absolute;left:0;text-align:left;margin-left:70.5pt;margin-top:155.35pt;width:48pt;height:16.3pt;z-index:120" o:regroupid="21" filled="f" stroked="f">
            <v:textbox style="mso-next-textbox:#_x0000_s2387" inset=",.5mm">
              <w:txbxContent>
                <w:p w:rsidR="00692915" w:rsidRDefault="00692915">
                  <w:pPr>
                    <w:spacing w:line="180" w:lineRule="exact"/>
                    <w:ind w:firstLineChars="0" w:firstLine="0"/>
                    <w:jc w:val="left"/>
                    <w:rPr>
                      <w:rFonts w:hint="eastAsia"/>
                      <w:sz w:val="15"/>
                    </w:rPr>
                  </w:pPr>
                  <w:r>
                    <w:rPr>
                      <w:rFonts w:hint="eastAsia"/>
                      <w:spacing w:val="0"/>
                      <w:sz w:val="15"/>
                    </w:rPr>
                    <w:t>经济服务</w:t>
                  </w:r>
                </w:p>
              </w:txbxContent>
            </v:textbox>
          </v:shape>
        </w:pict>
      </w:r>
      <w:r>
        <w:rPr>
          <w:noProof/>
          <w:snapToGrid/>
          <w:color w:val="000000"/>
          <w:sz w:val="20"/>
        </w:rPr>
        <w:pict>
          <v:shape id="_x0000_s2385" type="#_x0000_t202" style="position:absolute;left:0;text-align:left;margin-left:69pt;margin-top:108.3pt;width:48pt;height:12.45pt;z-index:118" o:regroupid="21" filled="f" stroked="f">
            <v:textbox style="mso-next-textbox:#_x0000_s2385" inset=",0">
              <w:txbxContent>
                <w:p w:rsidR="00692915" w:rsidRDefault="00692915">
                  <w:pPr>
                    <w:spacing w:line="180" w:lineRule="exact"/>
                    <w:ind w:firstLineChars="0" w:firstLine="0"/>
                    <w:jc w:val="left"/>
                  </w:pPr>
                  <w:r>
                    <w:rPr>
                      <w:rFonts w:hint="eastAsia"/>
                      <w:spacing w:val="0"/>
                      <w:sz w:val="15"/>
                    </w:rPr>
                    <w:t>教育</w:t>
                  </w:r>
                </w:p>
              </w:txbxContent>
            </v:textbox>
          </v:shape>
        </w:pict>
      </w:r>
      <w:r>
        <w:rPr>
          <w:noProof/>
          <w:snapToGrid/>
          <w:color w:val="000000"/>
          <w:sz w:val="20"/>
        </w:rPr>
        <w:pict>
          <v:shape id="_x0000_s2383" type="#_x0000_t202" style="position:absolute;left:0;text-align:left;margin-left:71.5pt;margin-top:57.15pt;width:42pt;height:40.75pt;z-index:116" o:regroupid="21" filled="f" stroked="f">
            <v:textbox style="mso-next-textbox:#_x0000_s2383" inset=",.5mm">
              <w:txbxContent>
                <w:p w:rsidR="00692915" w:rsidRDefault="00692915" w:rsidP="009A1C1B">
                  <w:pPr>
                    <w:ind w:firstLine="31680"/>
                    <w:jc w:val="center"/>
                    <w:rPr>
                      <w:rFonts w:hint="eastAsia"/>
                      <w:sz w:val="15"/>
                    </w:rPr>
                  </w:pPr>
                </w:p>
                <w:p w:rsidR="00692915" w:rsidRDefault="00692915">
                  <w:pPr>
                    <w:spacing w:line="180" w:lineRule="exact"/>
                    <w:ind w:firstLineChars="0" w:firstLine="0"/>
                    <w:jc w:val="left"/>
                    <w:rPr>
                      <w:sz w:val="15"/>
                    </w:rPr>
                  </w:pPr>
                  <w:r>
                    <w:rPr>
                      <w:rFonts w:hint="eastAsia"/>
                      <w:spacing w:val="0"/>
                      <w:sz w:val="15"/>
                    </w:rPr>
                    <w:t>国防与治安</w:t>
                  </w:r>
                </w:p>
              </w:txbxContent>
            </v:textbox>
          </v:shape>
        </w:pict>
      </w:r>
      <w:r>
        <w:rPr>
          <w:noProof/>
          <w:snapToGrid/>
          <w:color w:val="000000"/>
          <w:sz w:val="20"/>
        </w:rPr>
        <w:pict>
          <v:shape id="_x0000_s2384" type="#_x0000_t202" style="position:absolute;left:0;text-align:left;margin-left:110.5pt;margin-top:57.15pt;width:52pt;height:36pt;z-index:117" o:regroupid="21" filled="f" stroked="f">
            <v:textbox style="mso-next-textbox:#_x0000_s2384" inset=",.5mm">
              <w:txbxContent>
                <w:p w:rsidR="00692915" w:rsidRDefault="00692915">
                  <w:pPr>
                    <w:spacing w:line="180" w:lineRule="exact"/>
                    <w:ind w:firstLineChars="0" w:firstLine="0"/>
                    <w:jc w:val="left"/>
                    <w:rPr>
                      <w:rFonts w:hint="eastAsia"/>
                      <w:spacing w:val="0"/>
                      <w:sz w:val="15"/>
                    </w:rPr>
                  </w:pPr>
                  <w:r>
                    <w:rPr>
                      <w:rFonts w:hint="eastAsia"/>
                      <w:spacing w:val="0"/>
                      <w:sz w:val="15"/>
                    </w:rPr>
                    <w:t>一般公</w:t>
                  </w:r>
                </w:p>
                <w:p w:rsidR="00692915" w:rsidRDefault="00692915">
                  <w:pPr>
                    <w:spacing w:line="180" w:lineRule="exact"/>
                    <w:ind w:firstLineChars="0" w:firstLine="0"/>
                    <w:jc w:val="left"/>
                  </w:pPr>
                  <w:r>
                    <w:rPr>
                      <w:rFonts w:hint="eastAsia"/>
                      <w:spacing w:val="0"/>
                      <w:sz w:val="15"/>
                    </w:rPr>
                    <w:t>共服务</w:t>
                  </w:r>
                </w:p>
              </w:txbxContent>
            </v:textbox>
          </v:shape>
        </w:pict>
      </w:r>
      <w:r>
        <w:rPr>
          <w:noProof/>
          <w:snapToGrid/>
          <w:color w:val="000000"/>
          <w:sz w:val="20"/>
        </w:rPr>
        <w:pict>
          <v:shape id="_x0000_s2382" type="#_x0000_t202" style="position:absolute;left:0;text-align:left;margin-left:149.5pt;margin-top:70.3pt;width:48pt;height:13.85pt;z-index:115" o:regroupid="21" filled="f" stroked="f">
            <v:textbox style="mso-next-textbox:#_x0000_s2382" inset=",.5mm">
              <w:txbxContent>
                <w:p w:rsidR="00692915" w:rsidRDefault="00692915">
                  <w:pPr>
                    <w:spacing w:line="180" w:lineRule="exact"/>
                    <w:ind w:firstLineChars="0" w:firstLine="0"/>
                    <w:jc w:val="left"/>
                  </w:pPr>
                  <w:r>
                    <w:rPr>
                      <w:rFonts w:hint="eastAsia"/>
                      <w:spacing w:val="0"/>
                      <w:sz w:val="15"/>
                    </w:rPr>
                    <w:t>保健</w:t>
                  </w:r>
                </w:p>
              </w:txbxContent>
            </v:textbox>
          </v:shape>
        </w:pict>
      </w:r>
      <w:r>
        <w:rPr>
          <w:noProof/>
          <w:snapToGrid/>
          <w:color w:val="000000"/>
          <w:sz w:val="20"/>
        </w:rPr>
        <w:pict>
          <v:shape id="_x0000_s2386" type="#_x0000_t202" style="position:absolute;left:0;text-align:left;margin-left:169pt;margin-top:111.15pt;width:60pt;height:33.15pt;z-index:119" o:regroupid="21" filled="f" stroked="f">
            <v:textbox style="mso-next-textbox:#_x0000_s2386" inset=",.5mm">
              <w:txbxContent>
                <w:p w:rsidR="00692915" w:rsidRDefault="00692915" w:rsidP="009A1C1B">
                  <w:pPr>
                    <w:ind w:firstLine="31680"/>
                    <w:jc w:val="center"/>
                    <w:rPr>
                      <w:rFonts w:hint="eastAsia"/>
                      <w:b/>
                      <w:bCs/>
                      <w:sz w:val="15"/>
                    </w:rPr>
                  </w:pPr>
                </w:p>
                <w:p w:rsidR="00692915" w:rsidRDefault="00692915">
                  <w:pPr>
                    <w:spacing w:line="180" w:lineRule="exact"/>
                    <w:ind w:firstLineChars="0" w:firstLine="0"/>
                    <w:jc w:val="left"/>
                    <w:rPr>
                      <w:rFonts w:hint="eastAsia"/>
                      <w:spacing w:val="0"/>
                      <w:sz w:val="15"/>
                    </w:rPr>
                  </w:pPr>
                  <w:r>
                    <w:rPr>
                      <w:rFonts w:hint="eastAsia"/>
                      <w:spacing w:val="0"/>
                      <w:sz w:val="15"/>
                    </w:rPr>
                    <w:t>住房与社区</w:t>
                  </w:r>
                </w:p>
                <w:p w:rsidR="00692915" w:rsidRDefault="00692915">
                  <w:pPr>
                    <w:spacing w:line="180" w:lineRule="exact"/>
                    <w:ind w:firstLineChars="0" w:firstLine="0"/>
                    <w:jc w:val="left"/>
                  </w:pPr>
                  <w:r>
                    <w:rPr>
                      <w:rFonts w:hint="eastAsia"/>
                      <w:spacing w:val="0"/>
                      <w:sz w:val="15"/>
                    </w:rPr>
                    <w:t>康乐设施</w:t>
                  </w:r>
                </w:p>
              </w:txbxContent>
            </v:textbox>
          </v:shape>
        </w:pict>
      </w:r>
      <w:r>
        <w:rPr>
          <w:noProof/>
          <w:snapToGrid/>
          <w:color w:val="000000"/>
          <w:sz w:val="20"/>
        </w:rPr>
        <w:pict>
          <v:shape id="_x0000_s2379" type="#_x0000_t202" style="position:absolute;left:0;text-align:left;margin-left:277.55pt;margin-top:31.05pt;width:134.75pt;height:98.45pt;z-index:112" o:regroupid="21" filled="f" stroked="f">
            <v:textbox inset="0,0,0,0">
              <w:txbxContent>
                <w:p w:rsidR="00692915" w:rsidRDefault="00692915" w:rsidP="009A1C1B">
                  <w:pPr>
                    <w:spacing w:line="260" w:lineRule="atLeast"/>
                    <w:ind w:firstLine="31680"/>
                    <w:rPr>
                      <w:rFonts w:hint="eastAsia"/>
                      <w:spacing w:val="0"/>
                      <w:sz w:val="15"/>
                    </w:rPr>
                  </w:pPr>
                  <w:r>
                    <w:rPr>
                      <w:rFonts w:hint="eastAsia"/>
                      <w:spacing w:val="0"/>
                      <w:sz w:val="15"/>
                    </w:rPr>
                    <w:t>教育</w:t>
                  </w:r>
                </w:p>
                <w:p w:rsidR="00692915" w:rsidRDefault="00692915" w:rsidP="009A1C1B">
                  <w:pPr>
                    <w:spacing w:line="260" w:lineRule="atLeast"/>
                    <w:ind w:firstLine="31680"/>
                    <w:rPr>
                      <w:rFonts w:hint="eastAsia"/>
                      <w:spacing w:val="0"/>
                      <w:sz w:val="15"/>
                    </w:rPr>
                  </w:pPr>
                  <w:r>
                    <w:rPr>
                      <w:rFonts w:hint="eastAsia"/>
                      <w:spacing w:val="0"/>
                      <w:sz w:val="15"/>
                    </w:rPr>
                    <w:t>经济服务</w:t>
                  </w:r>
                </w:p>
                <w:p w:rsidR="00692915" w:rsidRDefault="00692915" w:rsidP="009A1C1B">
                  <w:pPr>
                    <w:spacing w:line="260" w:lineRule="atLeast"/>
                    <w:ind w:firstLine="31680"/>
                    <w:rPr>
                      <w:rFonts w:hint="eastAsia"/>
                      <w:spacing w:val="0"/>
                      <w:sz w:val="15"/>
                    </w:rPr>
                  </w:pPr>
                  <w:r>
                    <w:rPr>
                      <w:rFonts w:hint="eastAsia"/>
                      <w:spacing w:val="0"/>
                      <w:sz w:val="15"/>
                    </w:rPr>
                    <w:t>国防与治安</w:t>
                  </w:r>
                </w:p>
                <w:p w:rsidR="00692915" w:rsidRDefault="00692915" w:rsidP="009A1C1B">
                  <w:pPr>
                    <w:spacing w:line="260" w:lineRule="atLeast"/>
                    <w:ind w:firstLine="31680"/>
                    <w:rPr>
                      <w:rFonts w:hint="eastAsia"/>
                      <w:spacing w:val="0"/>
                      <w:sz w:val="15"/>
                    </w:rPr>
                  </w:pPr>
                  <w:r>
                    <w:rPr>
                      <w:rFonts w:hint="eastAsia"/>
                      <w:spacing w:val="0"/>
                      <w:sz w:val="15"/>
                    </w:rPr>
                    <w:t>一般公共服务</w:t>
                  </w:r>
                </w:p>
                <w:p w:rsidR="00692915" w:rsidRDefault="00692915" w:rsidP="009A1C1B">
                  <w:pPr>
                    <w:spacing w:line="260" w:lineRule="atLeast"/>
                    <w:ind w:firstLine="31680"/>
                    <w:rPr>
                      <w:rFonts w:hint="eastAsia"/>
                      <w:spacing w:val="0"/>
                      <w:sz w:val="15"/>
                    </w:rPr>
                  </w:pPr>
                  <w:r>
                    <w:rPr>
                      <w:rFonts w:hint="eastAsia"/>
                      <w:spacing w:val="0"/>
                      <w:sz w:val="15"/>
                    </w:rPr>
                    <w:t>保健</w:t>
                  </w:r>
                </w:p>
                <w:p w:rsidR="00692915" w:rsidRDefault="00692915" w:rsidP="009A1C1B">
                  <w:pPr>
                    <w:spacing w:line="260" w:lineRule="atLeast"/>
                    <w:ind w:firstLine="31680"/>
                    <w:rPr>
                      <w:rFonts w:hint="eastAsia"/>
                      <w:spacing w:val="0"/>
                      <w:sz w:val="15"/>
                    </w:rPr>
                  </w:pPr>
                  <w:r>
                    <w:rPr>
                      <w:rFonts w:hint="eastAsia"/>
                      <w:spacing w:val="0"/>
                      <w:sz w:val="15"/>
                    </w:rPr>
                    <w:t>住房与社区康乐设施</w:t>
                  </w:r>
                </w:p>
                <w:p w:rsidR="00692915" w:rsidRDefault="00692915" w:rsidP="009A1C1B">
                  <w:pPr>
                    <w:spacing w:line="260" w:lineRule="atLeast"/>
                    <w:ind w:firstLine="31680"/>
                    <w:rPr>
                      <w:rFonts w:hint="eastAsia"/>
                      <w:spacing w:val="0"/>
                      <w:sz w:val="15"/>
                    </w:rPr>
                  </w:pPr>
                  <w:r>
                    <w:rPr>
                      <w:rFonts w:hint="eastAsia"/>
                      <w:spacing w:val="0"/>
                      <w:sz w:val="15"/>
                    </w:rPr>
                    <w:t>社会保障与福利</w:t>
                  </w:r>
                </w:p>
                <w:p w:rsidR="00692915" w:rsidRDefault="00692915" w:rsidP="009A1C1B">
                  <w:pPr>
                    <w:spacing w:line="260" w:lineRule="atLeast"/>
                    <w:ind w:firstLine="31680"/>
                    <w:rPr>
                      <w:rFonts w:hint="eastAsia"/>
                      <w:spacing w:val="0"/>
                      <w:sz w:val="15"/>
                    </w:rPr>
                  </w:pPr>
                </w:p>
                <w:p w:rsidR="00692915" w:rsidRDefault="00692915" w:rsidP="009A1C1B">
                  <w:pPr>
                    <w:spacing w:line="260" w:lineRule="atLeast"/>
                    <w:ind w:firstLine="31680"/>
                    <w:rPr>
                      <w:spacing w:val="0"/>
                      <w:sz w:val="15"/>
                    </w:rPr>
                  </w:pPr>
                </w:p>
              </w:txbxContent>
            </v:textbox>
          </v:shape>
        </w:pict>
      </w:r>
      <w:r>
        <w:rPr>
          <w:noProof/>
          <w:snapToGrid/>
          <w:color w:val="000000"/>
          <w:sz w:val="20"/>
        </w:rPr>
        <w:pict>
          <v:shape id="_x0000_s2378" type="#_x0000_t202" style="position:absolute;left:0;text-align:left;margin-left:84pt;margin-top:5.3pt;width:312pt;height:17.25pt;z-index:111" o:regroupid="21" filled="f" fillcolor="#f37575" stroked="f">
            <v:textbox inset=",.3mm">
              <w:txbxContent>
                <w:p w:rsidR="00692915" w:rsidRDefault="00692915">
                  <w:pPr>
                    <w:ind w:firstLineChars="0" w:firstLine="0"/>
                    <w:jc w:val="center"/>
                    <w:rPr>
                      <w:rFonts w:eastAsia="SimHei"/>
                      <w:sz w:val="21"/>
                    </w:rPr>
                  </w:pPr>
                  <w:r>
                    <w:rPr>
                      <w:rFonts w:eastAsia="SimHei" w:hint="eastAsia"/>
                      <w:sz w:val="21"/>
                    </w:rPr>
                    <w:t>教育及保健支出在国内生产总值的比例增长了</w:t>
                  </w:r>
                </w:p>
              </w:txbxContent>
            </v:textbox>
          </v:shape>
        </w:pict>
      </w:r>
      <w:bookmarkStart w:id="278" w:name="_MON_1261426327"/>
      <w:bookmarkStart w:id="279" w:name="_MON_1261426485"/>
      <w:bookmarkStart w:id="280" w:name="_MON_1261426507"/>
      <w:bookmarkStart w:id="281" w:name="_MON_1261426537"/>
      <w:bookmarkEnd w:id="278"/>
      <w:bookmarkEnd w:id="279"/>
      <w:bookmarkEnd w:id="280"/>
      <w:bookmarkEnd w:id="281"/>
      <w:r>
        <w:rPr>
          <w:color w:val="000000"/>
          <w:szCs w:val="24"/>
        </w:rPr>
        <w:object w:dxaOrig="8191" w:dyaOrig="4786">
          <v:shape id="_x0000_i1050" type="#_x0000_t75" style="width:409.5pt;height:239.25pt" o:ole="">
            <v:imagedata r:id="rId58" o:title=""/>
          </v:shape>
          <o:OLEObject Type="Embed" ProgID="Word.Picture.8" ShapeID="_x0000_i1050" DrawAspect="Content" ObjectID="_1395890559" r:id="rId59"/>
        </w:object>
      </w:r>
    </w:p>
    <w:p w:rsidR="00692915" w:rsidRDefault="00692915" w:rsidP="009A1C1B">
      <w:pPr>
        <w:spacing w:after="240"/>
        <w:ind w:firstLine="31680"/>
        <w:rPr>
          <w:rFonts w:hint="eastAsia"/>
          <w:color w:val="000000"/>
          <w:sz w:val="21"/>
        </w:rPr>
      </w:pPr>
      <w:r>
        <w:rPr>
          <w:rFonts w:eastAsia="KaiTi_GB2312" w:hint="eastAsia"/>
          <w:color w:val="000000"/>
          <w:sz w:val="21"/>
        </w:rPr>
        <w:t>资料来源</w:t>
      </w:r>
      <w:r>
        <w:rPr>
          <w:rFonts w:eastAsia="KaiTi_GB2312" w:hint="eastAsia"/>
          <w:color w:val="000000"/>
          <w:sz w:val="21"/>
          <w:lang w:val="en-AU"/>
        </w:rPr>
        <w:t>：</w:t>
      </w:r>
      <w:r>
        <w:rPr>
          <w:rFonts w:eastAsia="KaiTi_GB2312" w:hint="eastAsia"/>
          <w:color w:val="000000"/>
          <w:sz w:val="21"/>
        </w:rPr>
        <w:t>《</w:t>
      </w:r>
      <w:r>
        <w:rPr>
          <w:rFonts w:eastAsia="KaiTi_GB2312" w:hint="eastAsia"/>
          <w:color w:val="000000"/>
          <w:sz w:val="21"/>
        </w:rPr>
        <w:t>2005</w:t>
      </w:r>
      <w:r>
        <w:rPr>
          <w:rFonts w:eastAsia="KaiTi_GB2312" w:hint="eastAsia"/>
          <w:color w:val="000000"/>
          <w:sz w:val="21"/>
        </w:rPr>
        <w:t>年</w:t>
      </w:r>
      <w:r>
        <w:rPr>
          <w:rFonts w:hint="eastAsia"/>
          <w:color w:val="000000"/>
          <w:sz w:val="21"/>
        </w:rPr>
        <w:t>亚洲开发银行亚太发展中国家的关键指标》</w:t>
      </w:r>
      <w:r>
        <w:rPr>
          <w:rFonts w:hint="eastAsia"/>
          <w:color w:val="000000"/>
          <w:sz w:val="21"/>
          <w:lang w:val="en-AU"/>
        </w:rPr>
        <w:t>，</w:t>
      </w:r>
      <w:r>
        <w:rPr>
          <w:color w:val="000000"/>
          <w:sz w:val="21"/>
        </w:rPr>
        <w:t>http://www.adb.org/</w:t>
      </w:r>
      <w:r>
        <w:rPr>
          <w:rFonts w:hint="eastAsia"/>
          <w:color w:val="000000"/>
          <w:sz w:val="21"/>
        </w:rPr>
        <w:t xml:space="preserve"> </w:t>
      </w:r>
      <w:r>
        <w:rPr>
          <w:color w:val="000000"/>
          <w:sz w:val="21"/>
        </w:rPr>
        <w:t>Documents/Books/Key_Indicators/2005/pdf/TIM.pdf</w:t>
      </w:r>
    </w:p>
    <w:p w:rsidR="00692915" w:rsidRDefault="00692915">
      <w:pPr>
        <w:pStyle w:val="Heading3"/>
        <w:jc w:val="both"/>
        <w:rPr>
          <w:rFonts w:eastAsia="KaiTi_GB2312" w:hint="eastAsia"/>
          <w:color w:val="000000"/>
          <w:u w:val="none"/>
        </w:rPr>
      </w:pPr>
      <w:r>
        <w:rPr>
          <w:rFonts w:eastAsia="KaiTi_GB2312" w:hint="eastAsia"/>
          <w:color w:val="000000"/>
          <w:u w:val="none"/>
        </w:rPr>
        <w:t>政府外债和内债</w:t>
      </w:r>
    </w:p>
    <w:p w:rsidR="00692915" w:rsidRDefault="00692915" w:rsidP="009A1C1B">
      <w:pPr>
        <w:spacing w:after="240"/>
        <w:ind w:firstLine="31680"/>
        <w:rPr>
          <w:rFonts w:hint="eastAsia"/>
          <w:color w:val="000000"/>
          <w:szCs w:val="24"/>
        </w:rPr>
      </w:pPr>
      <w:r>
        <w:rPr>
          <w:rFonts w:hint="eastAsia"/>
          <w:color w:val="000000"/>
          <w:szCs w:val="24"/>
        </w:rPr>
        <w:t>东帝汶没有外债或内债。</w:t>
      </w:r>
    </w:p>
    <w:p w:rsidR="00692915" w:rsidRDefault="00692915">
      <w:pPr>
        <w:pStyle w:val="Heading3"/>
        <w:jc w:val="both"/>
        <w:rPr>
          <w:rFonts w:eastAsia="KaiTi_GB2312" w:hint="eastAsia"/>
          <w:color w:val="000000"/>
          <w:u w:val="none"/>
        </w:rPr>
      </w:pPr>
      <w:r>
        <w:rPr>
          <w:rFonts w:eastAsia="KaiTi_GB2312" w:hint="eastAsia"/>
          <w:color w:val="000000"/>
          <w:u w:val="none"/>
        </w:rPr>
        <w:t>国际援助在财政收入和发展支出中的份额</w:t>
      </w:r>
    </w:p>
    <w:p w:rsidR="00692915" w:rsidRDefault="00692915" w:rsidP="009A1C1B">
      <w:pPr>
        <w:ind w:firstLine="31680"/>
        <w:rPr>
          <w:rFonts w:hint="eastAsia"/>
          <w:bCs/>
          <w:color w:val="000000"/>
        </w:rPr>
      </w:pPr>
      <w:r>
        <w:rPr>
          <w:rFonts w:hint="eastAsia"/>
          <w:bCs/>
          <w:color w:val="000000"/>
        </w:rPr>
        <w:t>东帝汶是一个新兴的小国，在最初阶段要严重依靠捐助者的捐助和国际来源的资金，但捐赠在总收入中的份额已从</w:t>
      </w:r>
      <w:r>
        <w:rPr>
          <w:rFonts w:hint="eastAsia"/>
          <w:bCs/>
          <w:color w:val="000000"/>
        </w:rPr>
        <w:t>2001</w:t>
      </w:r>
      <w:r>
        <w:rPr>
          <w:rFonts w:hint="eastAsia"/>
          <w:bCs/>
          <w:color w:val="000000"/>
        </w:rPr>
        <w:t>年的</w:t>
      </w:r>
      <w:r>
        <w:rPr>
          <w:rFonts w:hint="eastAsia"/>
          <w:bCs/>
          <w:color w:val="000000"/>
        </w:rPr>
        <w:t>117%</w:t>
      </w:r>
      <w:r>
        <w:rPr>
          <w:rFonts w:hint="eastAsia"/>
          <w:bCs/>
          <w:color w:val="000000"/>
        </w:rPr>
        <w:t>稳步下降到</w:t>
      </w:r>
      <w:r>
        <w:rPr>
          <w:rFonts w:hint="eastAsia"/>
          <w:bCs/>
          <w:color w:val="000000"/>
        </w:rPr>
        <w:t>2004</w:t>
      </w:r>
      <w:r>
        <w:rPr>
          <w:rFonts w:hint="eastAsia"/>
          <w:bCs/>
          <w:color w:val="000000"/>
        </w:rPr>
        <w:t>年的</w:t>
      </w:r>
      <w:r>
        <w:rPr>
          <w:rFonts w:hint="eastAsia"/>
          <w:bCs/>
          <w:color w:val="000000"/>
        </w:rPr>
        <w:t>60%</w:t>
      </w:r>
      <w:r>
        <w:rPr>
          <w:rFonts w:hint="eastAsia"/>
          <w:bCs/>
          <w:color w:val="000000"/>
        </w:rPr>
        <w:t>（图</w:t>
      </w:r>
      <w:r>
        <w:rPr>
          <w:rFonts w:hint="eastAsia"/>
          <w:bCs/>
          <w:color w:val="000000"/>
        </w:rPr>
        <w:t>27</w:t>
      </w:r>
      <w:r>
        <w:rPr>
          <w:rFonts w:hint="eastAsia"/>
          <w:bCs/>
          <w:color w:val="000000"/>
        </w:rPr>
        <w:t>）。</w:t>
      </w:r>
    </w:p>
    <w:p w:rsidR="00692915" w:rsidRDefault="00692915">
      <w:pPr>
        <w:pStyle w:val="Heading2"/>
        <w:spacing w:after="0"/>
        <w:rPr>
          <w:rFonts w:hint="eastAsia"/>
          <w:color w:val="000000"/>
          <w:sz w:val="24"/>
        </w:rPr>
      </w:pPr>
      <w:bookmarkStart w:id="282" w:name="_Toc132732326"/>
      <w:bookmarkStart w:id="283" w:name="_Toc135830090"/>
      <w:r>
        <w:rPr>
          <w:rFonts w:hint="eastAsia"/>
          <w:color w:val="000000"/>
          <w:sz w:val="24"/>
        </w:rPr>
        <w:t>图</w:t>
      </w:r>
      <w:r>
        <w:rPr>
          <w:color w:val="000000"/>
          <w:sz w:val="24"/>
        </w:rPr>
        <w:t xml:space="preserve"> 2</w:t>
      </w:r>
      <w:r>
        <w:rPr>
          <w:noProof/>
          <w:color w:val="000000"/>
          <w:sz w:val="24"/>
        </w:rPr>
        <w:t>7</w:t>
      </w:r>
      <w:r>
        <w:rPr>
          <w:rFonts w:hint="eastAsia"/>
          <w:noProof/>
          <w:color w:val="000000"/>
          <w:sz w:val="24"/>
        </w:rPr>
        <w:br/>
      </w:r>
      <w:bookmarkEnd w:id="282"/>
      <w:bookmarkEnd w:id="283"/>
      <w:r>
        <w:rPr>
          <w:rFonts w:hint="eastAsia"/>
          <w:color w:val="000000"/>
          <w:sz w:val="24"/>
        </w:rPr>
        <w:t xml:space="preserve">  2001-2004</w:t>
      </w:r>
      <w:r>
        <w:rPr>
          <w:rFonts w:hint="eastAsia"/>
          <w:color w:val="000000"/>
          <w:sz w:val="24"/>
        </w:rPr>
        <w:t>年捐赠、政府总收入（百万美元）以及</w:t>
      </w:r>
      <w:r>
        <w:rPr>
          <w:color w:val="000000"/>
          <w:sz w:val="24"/>
        </w:rPr>
        <w:br/>
      </w:r>
      <w:r>
        <w:rPr>
          <w:rFonts w:hint="eastAsia"/>
          <w:color w:val="000000"/>
          <w:sz w:val="24"/>
        </w:rPr>
        <w:t>捐赠在政府总收入中的份额（</w:t>
      </w:r>
      <w:r>
        <w:rPr>
          <w:rFonts w:hint="eastAsia"/>
          <w:color w:val="000000"/>
          <w:sz w:val="24"/>
        </w:rPr>
        <w:t>%</w:t>
      </w:r>
      <w:r>
        <w:rPr>
          <w:rFonts w:hint="eastAsia"/>
          <w:color w:val="000000"/>
          <w:sz w:val="24"/>
        </w:rPr>
        <w:t>）</w:t>
      </w:r>
    </w:p>
    <w:p w:rsidR="00692915" w:rsidRDefault="00692915" w:rsidP="009A1C1B">
      <w:pPr>
        <w:ind w:firstLine="31680"/>
        <w:jc w:val="center"/>
        <w:rPr>
          <w:rFonts w:hint="eastAsia"/>
          <w:b/>
          <w:color w:val="000000"/>
        </w:rPr>
      </w:pPr>
      <w:bookmarkStart w:id="284" w:name="_Toc135830091"/>
      <w:r>
        <w:rPr>
          <w:noProof/>
          <w:snapToGrid/>
          <w:color w:val="000000"/>
          <w:sz w:val="20"/>
        </w:rPr>
        <w:pict>
          <v:shape id="_x0000_s2390" type="#_x0000_t202" style="position:absolute;left:0;text-align:left;margin-left:47.5pt;margin-top:208.1pt;width:42.5pt;height:11.15pt;z-index:122" o:regroupid="22" filled="f" fillcolor="#ff6565" stroked="f">
            <v:textbox inset=",0">
              <w:txbxContent>
                <w:p w:rsidR="00692915" w:rsidRDefault="00692915">
                  <w:pPr>
                    <w:pStyle w:val="FootnoteText"/>
                    <w:spacing w:line="180" w:lineRule="exact"/>
                    <w:ind w:firstLineChars="0" w:firstLine="0"/>
                    <w:jc w:val="left"/>
                    <w:rPr>
                      <w:rFonts w:eastAsia="SimSun"/>
                      <w:sz w:val="13"/>
                    </w:rPr>
                  </w:pPr>
                  <w:r>
                    <w:rPr>
                      <w:rFonts w:eastAsia="SimSun" w:hint="eastAsia"/>
                      <w:sz w:val="13"/>
                    </w:rPr>
                    <w:t>百万美元</w:t>
                  </w:r>
                </w:p>
              </w:txbxContent>
            </v:textbox>
          </v:shape>
        </w:pict>
      </w:r>
      <w:r>
        <w:rPr>
          <w:noProof/>
          <w:snapToGrid/>
          <w:color w:val="000000"/>
          <w:sz w:val="20"/>
        </w:rPr>
        <w:pict>
          <v:shape id="_x0000_s2392" type="#_x0000_t202" style="position:absolute;left:0;text-align:left;margin-left:213.65pt;margin-top:207.2pt;width:48pt;height:13.55pt;z-index:124" o:regroupid="22" filled="f" fillcolor="#ff6565" stroked="f">
            <v:textbox inset=".5mm,.5mm">
              <w:txbxContent>
                <w:p w:rsidR="00692915" w:rsidRDefault="00692915">
                  <w:pPr>
                    <w:pStyle w:val="FootnoteText"/>
                    <w:spacing w:line="180" w:lineRule="exact"/>
                    <w:ind w:firstLineChars="0" w:firstLine="0"/>
                    <w:jc w:val="left"/>
                    <w:rPr>
                      <w:b/>
                      <w:bCs/>
                      <w:sz w:val="13"/>
                    </w:rPr>
                  </w:pPr>
                  <w:r>
                    <w:rPr>
                      <w:rFonts w:eastAsia="SimSun" w:hint="eastAsia"/>
                      <w:sz w:val="13"/>
                    </w:rPr>
                    <w:t>捐赠</w:t>
                  </w:r>
                </w:p>
              </w:txbxContent>
            </v:textbox>
          </v:shape>
        </w:pict>
      </w:r>
      <w:r>
        <w:rPr>
          <w:noProof/>
          <w:snapToGrid/>
          <w:color w:val="000000"/>
          <w:sz w:val="20"/>
        </w:rPr>
        <w:pict>
          <v:shape id="_x0000_s2391" type="#_x0000_t202" style="position:absolute;left:0;text-align:left;margin-left:115.5pt;margin-top:206.75pt;width:1in;height:13.55pt;z-index:123" o:regroupid="22" filled="f" fillcolor="#ff6565" stroked="f">
            <v:textbox inset=".5mm,.5mm">
              <w:txbxContent>
                <w:p w:rsidR="00692915" w:rsidRDefault="00692915">
                  <w:pPr>
                    <w:pStyle w:val="FootnoteText"/>
                    <w:spacing w:line="180" w:lineRule="exact"/>
                    <w:ind w:firstLineChars="0" w:firstLine="0"/>
                    <w:jc w:val="left"/>
                    <w:rPr>
                      <w:b/>
                      <w:bCs/>
                      <w:sz w:val="13"/>
                    </w:rPr>
                  </w:pPr>
                  <w:r>
                    <w:rPr>
                      <w:rFonts w:eastAsia="SimSun" w:hint="eastAsia"/>
                      <w:sz w:val="13"/>
                    </w:rPr>
                    <w:t>总收入</w:t>
                  </w:r>
                </w:p>
              </w:txbxContent>
            </v:textbox>
          </v:shape>
        </w:pict>
      </w:r>
      <w:r>
        <w:rPr>
          <w:noProof/>
          <w:snapToGrid/>
          <w:color w:val="000000"/>
          <w:sz w:val="20"/>
        </w:rPr>
        <w:pict>
          <v:shape id="_x0000_s2393" type="#_x0000_t202" style="position:absolute;left:0;text-align:left;margin-left:277.5pt;margin-top:206.95pt;width:114pt;height:13.55pt;z-index:125" o:regroupid="22" filled="f" fillcolor="#ff6565" stroked="f">
            <v:textbox inset=".5mm,.5mm">
              <w:txbxContent>
                <w:p w:rsidR="00692915" w:rsidRDefault="00692915">
                  <w:pPr>
                    <w:pStyle w:val="FootnoteText"/>
                    <w:spacing w:line="180" w:lineRule="exact"/>
                    <w:ind w:firstLineChars="0" w:firstLine="0"/>
                    <w:jc w:val="left"/>
                    <w:rPr>
                      <w:b/>
                      <w:bCs/>
                      <w:sz w:val="13"/>
                    </w:rPr>
                  </w:pPr>
                  <w:r>
                    <w:rPr>
                      <w:rFonts w:eastAsia="SimSun" w:hint="eastAsia"/>
                      <w:sz w:val="13"/>
                    </w:rPr>
                    <w:t>捐赠在总收入中所占的比例（</w:t>
                  </w:r>
                  <w:r>
                    <w:rPr>
                      <w:rFonts w:eastAsia="SimSun" w:hint="eastAsia"/>
                      <w:sz w:val="13"/>
                    </w:rPr>
                    <w:t>%</w:t>
                  </w:r>
                  <w:r>
                    <w:rPr>
                      <w:rFonts w:eastAsia="SimSun" w:hint="eastAsia"/>
                      <w:sz w:val="13"/>
                    </w:rPr>
                    <w:t>）</w:t>
                  </w:r>
                </w:p>
              </w:txbxContent>
            </v:textbox>
          </v:shape>
        </w:pict>
      </w:r>
      <w:r>
        <w:rPr>
          <w:noProof/>
          <w:snapToGrid/>
          <w:color w:val="000000"/>
          <w:sz w:val="20"/>
        </w:rPr>
        <w:pict>
          <v:shape id="_x0000_s2394" type="#_x0000_t202" style="position:absolute;left:0;text-align:left;margin-left:399.5pt;margin-top:202.75pt;width:36pt;height:17.5pt;z-index:126" o:regroupid="22" filled="f" fillcolor="#ff6565" stroked="f">
            <v:textbox inset=",0">
              <w:txbxContent>
                <w:p w:rsidR="00692915" w:rsidRDefault="00692915">
                  <w:pPr>
                    <w:pStyle w:val="FootnoteText"/>
                    <w:spacing w:line="180" w:lineRule="exact"/>
                    <w:ind w:firstLineChars="0" w:firstLine="0"/>
                    <w:jc w:val="left"/>
                    <w:rPr>
                      <w:b/>
                      <w:bCs/>
                      <w:sz w:val="13"/>
                    </w:rPr>
                  </w:pPr>
                  <w:r>
                    <w:rPr>
                      <w:rFonts w:eastAsia="SimSun" w:hint="eastAsia"/>
                      <w:sz w:val="13"/>
                    </w:rPr>
                    <w:t>总收入</w:t>
                  </w:r>
                </w:p>
              </w:txbxContent>
            </v:textbox>
          </v:shape>
        </w:pict>
      </w:r>
      <w:r>
        <w:rPr>
          <w:noProof/>
          <w:snapToGrid/>
          <w:color w:val="000000"/>
          <w:sz w:val="20"/>
        </w:rPr>
        <w:pict>
          <v:shape id="_x0000_s2389" type="#_x0000_t202" style="position:absolute;left:0;text-align:left;margin-left:102pt;margin-top:6.3pt;width:264pt;height:16.3pt;z-index:121" o:regroupid="22" filled="f" fillcolor="#ff6161" stroked="f">
            <v:textbox inset=",.3mm">
              <w:txbxContent>
                <w:p w:rsidR="00692915" w:rsidRDefault="00692915">
                  <w:pPr>
                    <w:ind w:firstLineChars="0" w:firstLine="0"/>
                    <w:jc w:val="center"/>
                    <w:rPr>
                      <w:rFonts w:eastAsia="SimHei"/>
                      <w:sz w:val="21"/>
                    </w:rPr>
                  </w:pPr>
                  <w:r>
                    <w:rPr>
                      <w:rFonts w:eastAsia="SimHei" w:hint="eastAsia"/>
                      <w:sz w:val="21"/>
                    </w:rPr>
                    <w:t>捐赠在总收入中的份额一直在下降</w:t>
                  </w:r>
                </w:p>
              </w:txbxContent>
            </v:textbox>
          </v:shape>
        </w:pict>
      </w:r>
      <w:bookmarkStart w:id="285" w:name="_MON_1261427088"/>
      <w:bookmarkStart w:id="286" w:name="_MON_1261909794"/>
      <w:bookmarkStart w:id="287" w:name="_MON_1261910656"/>
      <w:bookmarkEnd w:id="285"/>
      <w:bookmarkEnd w:id="286"/>
      <w:bookmarkEnd w:id="287"/>
      <w:r>
        <w:rPr>
          <w:b/>
          <w:color w:val="000000"/>
        </w:rPr>
        <w:object w:dxaOrig="7861" w:dyaOrig="4486">
          <v:shape id="_x0000_i1051" type="#_x0000_t75" style="width:393pt;height:224.25pt" o:ole="">
            <v:imagedata r:id="rId60" o:title=""/>
          </v:shape>
          <o:OLEObject Type="Embed" ProgID="Word.Picture.8" ShapeID="_x0000_i1051" DrawAspect="Content" ObjectID="_1395890560" r:id="rId61"/>
        </w:object>
      </w:r>
    </w:p>
    <w:bookmarkEnd w:id="284"/>
    <w:p w:rsidR="00692915" w:rsidRDefault="00692915" w:rsidP="009A1C1B">
      <w:pPr>
        <w:spacing w:before="120" w:after="240"/>
        <w:ind w:firstLine="31680"/>
        <w:rPr>
          <w:rFonts w:hint="eastAsia"/>
          <w:color w:val="000000"/>
          <w:sz w:val="21"/>
        </w:rPr>
      </w:pPr>
      <w:r>
        <w:rPr>
          <w:rFonts w:eastAsia="KaiTi_GB2312" w:hint="eastAsia"/>
          <w:color w:val="000000"/>
          <w:sz w:val="21"/>
        </w:rPr>
        <w:t>资料来源</w:t>
      </w:r>
      <w:r>
        <w:rPr>
          <w:rFonts w:eastAsia="KaiTi_GB2312" w:hint="eastAsia"/>
          <w:color w:val="000000"/>
          <w:sz w:val="21"/>
          <w:lang w:val="en-AU"/>
        </w:rPr>
        <w:t>：</w:t>
      </w:r>
      <w:r>
        <w:rPr>
          <w:rFonts w:eastAsia="KaiTi_GB2312" w:hint="eastAsia"/>
          <w:color w:val="000000"/>
          <w:sz w:val="21"/>
        </w:rPr>
        <w:t>《</w:t>
      </w:r>
      <w:r>
        <w:rPr>
          <w:rFonts w:eastAsia="KaiTi_GB2312" w:hint="eastAsia"/>
          <w:color w:val="000000"/>
          <w:sz w:val="21"/>
        </w:rPr>
        <w:t>2005</w:t>
      </w:r>
      <w:r>
        <w:rPr>
          <w:rFonts w:eastAsia="KaiTi_GB2312" w:hint="eastAsia"/>
          <w:color w:val="000000"/>
          <w:sz w:val="21"/>
        </w:rPr>
        <w:t>年</w:t>
      </w:r>
      <w:r>
        <w:rPr>
          <w:rFonts w:hint="eastAsia"/>
          <w:color w:val="000000"/>
          <w:sz w:val="21"/>
        </w:rPr>
        <w:t>亚洲开发银行亚太发展中国家的关键指标》</w:t>
      </w:r>
      <w:r>
        <w:rPr>
          <w:rFonts w:hint="eastAsia"/>
          <w:color w:val="000000"/>
          <w:sz w:val="21"/>
          <w:lang w:val="en-AU"/>
        </w:rPr>
        <w:t>，</w:t>
      </w:r>
      <w:r>
        <w:rPr>
          <w:color w:val="000000"/>
          <w:sz w:val="21"/>
        </w:rPr>
        <w:t>http://www.adb.org/</w:t>
      </w:r>
      <w:r>
        <w:rPr>
          <w:rFonts w:hint="eastAsia"/>
          <w:color w:val="000000"/>
          <w:sz w:val="21"/>
        </w:rPr>
        <w:t xml:space="preserve"> </w:t>
      </w:r>
      <w:r>
        <w:rPr>
          <w:color w:val="000000"/>
          <w:sz w:val="21"/>
        </w:rPr>
        <w:t>Documents/Books/Key_Indicators/2005/pdf/TIM.pdf</w:t>
      </w:r>
      <w:r>
        <w:rPr>
          <w:rFonts w:hint="eastAsia"/>
          <w:color w:val="000000"/>
          <w:sz w:val="21"/>
        </w:rPr>
        <w:t>。</w:t>
      </w:r>
    </w:p>
    <w:p w:rsidR="00692915" w:rsidRDefault="00692915">
      <w:pPr>
        <w:pStyle w:val="Heading3"/>
        <w:jc w:val="both"/>
        <w:rPr>
          <w:rFonts w:ascii="KaiTi_GB2312" w:eastAsia="KaiTi_GB2312" w:hint="eastAsia"/>
          <w:color w:val="000000"/>
          <w:u w:val="none"/>
        </w:rPr>
      </w:pPr>
      <w:r>
        <w:rPr>
          <w:rFonts w:ascii="KaiTi_GB2312" w:eastAsia="KaiTi_GB2312" w:hint="eastAsia"/>
          <w:color w:val="000000"/>
          <w:u w:val="none"/>
        </w:rPr>
        <w:t>贫困</w:t>
      </w:r>
      <w:r>
        <w:rPr>
          <w:rFonts w:ascii="SimHei" w:eastAsia="SimHei" w:hint="eastAsia"/>
          <w:color w:val="000000"/>
          <w:spacing w:val="0"/>
          <w:u w:val="none"/>
        </w:rPr>
        <w:t>——</w:t>
      </w:r>
      <w:r>
        <w:rPr>
          <w:rFonts w:ascii="KaiTi_GB2312" w:eastAsia="KaiTi_GB2312" w:hint="eastAsia"/>
          <w:color w:val="000000"/>
          <w:u w:val="none"/>
        </w:rPr>
        <w:t>40%最贫困的人口</w:t>
      </w:r>
    </w:p>
    <w:p w:rsidR="00692915" w:rsidRDefault="00692915" w:rsidP="009A1C1B">
      <w:pPr>
        <w:spacing w:before="120" w:after="240"/>
        <w:ind w:firstLine="31680"/>
        <w:rPr>
          <w:rFonts w:hint="eastAsia"/>
          <w:bCs/>
          <w:color w:val="000000"/>
        </w:rPr>
      </w:pPr>
      <w:r>
        <w:rPr>
          <w:rFonts w:hint="eastAsia"/>
          <w:bCs/>
          <w:color w:val="000000"/>
        </w:rPr>
        <w:t>根据人均支出排列的</w:t>
      </w:r>
      <w:r>
        <w:rPr>
          <w:rFonts w:hint="eastAsia"/>
          <w:bCs/>
          <w:color w:val="000000"/>
        </w:rPr>
        <w:t>40%</w:t>
      </w:r>
      <w:r>
        <w:rPr>
          <w:rFonts w:hint="eastAsia"/>
          <w:bCs/>
          <w:color w:val="000000"/>
        </w:rPr>
        <w:t>最贫困人口所占的支出份额不到</w:t>
      </w:r>
      <w:r>
        <w:rPr>
          <w:rFonts w:hint="eastAsia"/>
          <w:bCs/>
          <w:color w:val="000000"/>
        </w:rPr>
        <w:t>18%</w:t>
      </w:r>
      <w:r>
        <w:rPr>
          <w:rFonts w:hint="eastAsia"/>
          <w:bCs/>
          <w:color w:val="000000"/>
        </w:rPr>
        <w:t>；月人均支出不到</w:t>
      </w:r>
      <w:r>
        <w:rPr>
          <w:bCs/>
          <w:color w:val="000000"/>
        </w:rPr>
        <w:t>15.49</w:t>
      </w:r>
      <w:r>
        <w:rPr>
          <w:rFonts w:hint="eastAsia"/>
          <w:bCs/>
          <w:color w:val="000000"/>
        </w:rPr>
        <w:t>美元，这只比</w:t>
      </w:r>
      <w:r>
        <w:rPr>
          <w:bCs/>
          <w:color w:val="000000"/>
        </w:rPr>
        <w:t>15.44</w:t>
      </w:r>
      <w:r>
        <w:rPr>
          <w:rFonts w:hint="eastAsia"/>
          <w:bCs/>
          <w:color w:val="000000"/>
        </w:rPr>
        <w:t>美元的贫困线略高一点。相反，</w:t>
      </w:r>
      <w:r>
        <w:rPr>
          <w:rFonts w:hint="eastAsia"/>
          <w:bCs/>
          <w:color w:val="000000"/>
        </w:rPr>
        <w:t>40%</w:t>
      </w:r>
      <w:r>
        <w:rPr>
          <w:rFonts w:hint="eastAsia"/>
          <w:bCs/>
          <w:color w:val="000000"/>
        </w:rPr>
        <w:t>最富裕人口所占的支出份额大约为三分之二，月人均支出不低于</w:t>
      </w:r>
      <w:r>
        <w:rPr>
          <w:bCs/>
          <w:color w:val="000000"/>
        </w:rPr>
        <w:t>18.22</w:t>
      </w:r>
      <w:r>
        <w:rPr>
          <w:rFonts w:hint="eastAsia"/>
          <w:bCs/>
          <w:color w:val="000000"/>
        </w:rPr>
        <w:t>美元。</w:t>
      </w:r>
    </w:p>
    <w:p w:rsidR="00692915" w:rsidRDefault="00692915">
      <w:pPr>
        <w:pStyle w:val="Heading3"/>
        <w:jc w:val="both"/>
        <w:rPr>
          <w:rFonts w:ascii="KaiTi_GB2312" w:eastAsia="KaiTi_GB2312" w:hint="eastAsia"/>
          <w:color w:val="000000"/>
          <w:u w:val="none"/>
        </w:rPr>
      </w:pPr>
      <w:r>
        <w:rPr>
          <w:rFonts w:ascii="KaiTi_GB2312" w:eastAsia="KaiTi_GB2312" w:hint="eastAsia"/>
          <w:color w:val="000000"/>
          <w:u w:val="none"/>
        </w:rPr>
        <w:t>收入平等</w:t>
      </w:r>
      <w:r>
        <w:rPr>
          <w:rFonts w:ascii="SimHei" w:eastAsia="SimHei" w:hint="eastAsia"/>
          <w:color w:val="000000"/>
          <w:spacing w:val="0"/>
          <w:u w:val="none"/>
        </w:rPr>
        <w:t>——</w:t>
      </w:r>
      <w:r>
        <w:rPr>
          <w:rFonts w:ascii="KaiTi_GB2312" w:eastAsia="KaiTi_GB2312" w:hint="eastAsia"/>
          <w:color w:val="000000"/>
          <w:u w:val="none"/>
        </w:rPr>
        <w:t>吉尼系数</w:t>
      </w:r>
    </w:p>
    <w:p w:rsidR="00692915" w:rsidRDefault="00692915" w:rsidP="009A1C1B">
      <w:pPr>
        <w:ind w:firstLine="31680"/>
        <w:rPr>
          <w:rFonts w:hint="eastAsia"/>
          <w:color w:val="000000"/>
        </w:rPr>
      </w:pPr>
      <w:r>
        <w:rPr>
          <w:rFonts w:hint="eastAsia"/>
          <w:color w:val="000000"/>
        </w:rPr>
        <w:t>收入不平等通常以吉尼系数衡量。吉尼指数随不平等的程度增加而增加。吉尼指数为“</w:t>
      </w:r>
      <w:r>
        <w:rPr>
          <w:rFonts w:hint="eastAsia"/>
          <w:color w:val="000000"/>
        </w:rPr>
        <w:t>0</w:t>
      </w:r>
      <w:r>
        <w:rPr>
          <w:rFonts w:hint="eastAsia"/>
          <w:color w:val="000000"/>
        </w:rPr>
        <w:t>”时，说明完全平等，指数为“</w:t>
      </w:r>
      <w:r>
        <w:rPr>
          <w:rFonts w:hint="eastAsia"/>
          <w:color w:val="000000"/>
        </w:rPr>
        <w:t>100</w:t>
      </w:r>
      <w:r>
        <w:rPr>
          <w:rFonts w:hint="eastAsia"/>
          <w:color w:val="000000"/>
        </w:rPr>
        <w:t>”时，说明完全不平等。</w:t>
      </w:r>
    </w:p>
    <w:p w:rsidR="00692915" w:rsidRDefault="00692915" w:rsidP="009A1C1B">
      <w:pPr>
        <w:ind w:firstLine="31680"/>
        <w:rPr>
          <w:rFonts w:hint="eastAsia"/>
          <w:color w:val="000000"/>
        </w:rPr>
      </w:pPr>
      <w:r>
        <w:rPr>
          <w:rFonts w:hint="eastAsia"/>
          <w:color w:val="000000"/>
        </w:rPr>
        <w:t>2002</w:t>
      </w:r>
      <w:r>
        <w:rPr>
          <w:rFonts w:hint="eastAsia"/>
          <w:color w:val="000000"/>
        </w:rPr>
        <w:t>年，东帝汶的吉尼系数为</w:t>
      </w:r>
      <w:r>
        <w:rPr>
          <w:rFonts w:hint="eastAsia"/>
          <w:color w:val="000000"/>
        </w:rPr>
        <w:t>37</w:t>
      </w:r>
      <w:r>
        <w:rPr>
          <w:rFonts w:hint="eastAsia"/>
          <w:color w:val="000000"/>
        </w:rPr>
        <w:t>：城市地区高于农村地区（图</w:t>
      </w:r>
      <w:r>
        <w:rPr>
          <w:rFonts w:hint="eastAsia"/>
          <w:color w:val="000000"/>
        </w:rPr>
        <w:t>28</w:t>
      </w:r>
      <w:r>
        <w:rPr>
          <w:rFonts w:hint="eastAsia"/>
          <w:color w:val="000000"/>
        </w:rPr>
        <w:t>）。收入不平等状况在西部地区最轻，在中部地区最严重。</w:t>
      </w:r>
    </w:p>
    <w:p w:rsidR="00692915" w:rsidRDefault="00692915" w:rsidP="009A1C1B">
      <w:pPr>
        <w:ind w:firstLine="31680"/>
        <w:rPr>
          <w:rFonts w:hint="eastAsia"/>
          <w:bCs/>
          <w:color w:val="000000"/>
          <w:spacing w:val="6"/>
        </w:rPr>
      </w:pPr>
      <w:r>
        <w:rPr>
          <w:rFonts w:hint="eastAsia"/>
          <w:bCs/>
          <w:color w:val="000000"/>
          <w:spacing w:val="6"/>
        </w:rPr>
        <w:t>地理位置、户主的性别、年龄和受教育程度至多占总体不平等原因的三分之一。因此，在东帝汶，为了更好地了解贫困和收入不平等的原因，需要进行更多的研究。</w:t>
      </w:r>
      <w:r>
        <w:rPr>
          <w:rStyle w:val="FootnoteReference"/>
          <w:bCs/>
          <w:color w:val="000000"/>
          <w:spacing w:val="6"/>
        </w:rPr>
        <w:footnoteReference w:id="404"/>
      </w:r>
    </w:p>
    <w:p w:rsidR="00692915" w:rsidRDefault="00692915" w:rsidP="009A1C1B">
      <w:pPr>
        <w:ind w:firstLine="31680"/>
        <w:rPr>
          <w:rFonts w:hint="eastAsia"/>
          <w:bCs/>
          <w:color w:val="000000"/>
        </w:rPr>
      </w:pPr>
      <w:r>
        <w:rPr>
          <w:rFonts w:hint="eastAsia"/>
          <w:bCs/>
          <w:color w:val="000000"/>
        </w:rPr>
        <w:t>按照该区域的标准，吉尼指数为“</w:t>
      </w:r>
      <w:r>
        <w:rPr>
          <w:rFonts w:hint="eastAsia"/>
          <w:bCs/>
          <w:color w:val="000000"/>
        </w:rPr>
        <w:t>37</w:t>
      </w:r>
      <w:r>
        <w:rPr>
          <w:rFonts w:hint="eastAsia"/>
          <w:bCs/>
          <w:color w:val="000000"/>
        </w:rPr>
        <w:t>”并非特别高：</w:t>
      </w:r>
    </w:p>
    <w:p w:rsidR="00692915" w:rsidRDefault="00692915" w:rsidP="009A1C1B">
      <w:pPr>
        <w:numPr>
          <w:ilvl w:val="0"/>
          <w:numId w:val="8"/>
        </w:numPr>
        <w:tabs>
          <w:tab w:val="clear" w:pos="927"/>
          <w:tab w:val="num" w:pos="1040"/>
        </w:tabs>
        <w:ind w:leftChars="200" w:left="31680" w:hangingChars="200" w:firstLine="31680"/>
        <w:rPr>
          <w:color w:val="000000"/>
        </w:rPr>
      </w:pPr>
      <w:r>
        <w:rPr>
          <w:rFonts w:hint="eastAsia"/>
          <w:color w:val="000000"/>
        </w:rPr>
        <w:t>高于印度尼西亚（</w:t>
      </w:r>
      <w:r>
        <w:rPr>
          <w:rFonts w:hint="eastAsia"/>
          <w:color w:val="000000"/>
        </w:rPr>
        <w:t>31</w:t>
      </w:r>
      <w:r>
        <w:rPr>
          <w:rFonts w:hint="eastAsia"/>
          <w:color w:val="000000"/>
        </w:rPr>
        <w:t>）；</w:t>
      </w:r>
    </w:p>
    <w:p w:rsidR="00692915" w:rsidRDefault="00692915" w:rsidP="009A1C1B">
      <w:pPr>
        <w:numPr>
          <w:ilvl w:val="0"/>
          <w:numId w:val="8"/>
        </w:numPr>
        <w:tabs>
          <w:tab w:val="clear" w:pos="927"/>
          <w:tab w:val="num" w:pos="1040"/>
        </w:tabs>
        <w:ind w:leftChars="200" w:left="31680" w:hangingChars="200" w:firstLine="31680"/>
        <w:rPr>
          <w:color w:val="000000"/>
        </w:rPr>
      </w:pPr>
      <w:r>
        <w:rPr>
          <w:rFonts w:hint="eastAsia"/>
          <w:color w:val="000000"/>
        </w:rPr>
        <w:t>大约与老挝人民民主共和国和越南相同；</w:t>
      </w:r>
    </w:p>
    <w:p w:rsidR="00692915" w:rsidRDefault="00692915" w:rsidP="009A1C1B">
      <w:pPr>
        <w:numPr>
          <w:ilvl w:val="0"/>
          <w:numId w:val="8"/>
        </w:numPr>
        <w:tabs>
          <w:tab w:val="clear" w:pos="927"/>
          <w:tab w:val="num" w:pos="1040"/>
        </w:tabs>
        <w:ind w:leftChars="200" w:left="31680" w:hangingChars="200" w:firstLine="31680"/>
        <w:rPr>
          <w:color w:val="000000"/>
        </w:rPr>
      </w:pPr>
      <w:r>
        <w:rPr>
          <w:rFonts w:hint="eastAsia"/>
          <w:color w:val="000000"/>
        </w:rPr>
        <w:t>低于柬埔寨、马来西亚和泰国。</w:t>
      </w:r>
    </w:p>
    <w:p w:rsidR="00692915" w:rsidRDefault="00692915" w:rsidP="009A1C1B">
      <w:pPr>
        <w:spacing w:before="120" w:after="240"/>
        <w:ind w:firstLine="31680"/>
        <w:rPr>
          <w:rFonts w:hint="eastAsia"/>
          <w:bCs/>
          <w:color w:val="000000"/>
          <w:szCs w:val="24"/>
        </w:rPr>
      </w:pPr>
      <w:bookmarkStart w:id="288" w:name="_Toc132732327"/>
      <w:r>
        <w:rPr>
          <w:rFonts w:hint="eastAsia"/>
          <w:bCs/>
          <w:color w:val="000000"/>
          <w:szCs w:val="24"/>
        </w:rPr>
        <w:t>一般而言，除非采取政策保护最弱势人群以及那些属于人力资源条件较差的人群，否则收入不平等状况往往会随发展水平的提高而加重。</w:t>
      </w:r>
    </w:p>
    <w:p w:rsidR="00692915" w:rsidRDefault="00692915">
      <w:pPr>
        <w:pStyle w:val="Heading2"/>
        <w:spacing w:after="0"/>
        <w:rPr>
          <w:rFonts w:hint="eastAsia"/>
          <w:color w:val="000000"/>
          <w:sz w:val="24"/>
        </w:rPr>
      </w:pPr>
      <w:r>
        <w:rPr>
          <w:rFonts w:hint="eastAsia"/>
          <w:color w:val="000000"/>
          <w:sz w:val="24"/>
        </w:rPr>
        <w:t>图</w:t>
      </w:r>
      <w:r>
        <w:rPr>
          <w:color w:val="000000"/>
          <w:sz w:val="24"/>
        </w:rPr>
        <w:t xml:space="preserve"> </w:t>
      </w:r>
      <w:r>
        <w:rPr>
          <w:noProof/>
          <w:color w:val="000000"/>
          <w:sz w:val="24"/>
        </w:rPr>
        <w:t>28</w:t>
      </w:r>
      <w:r>
        <w:rPr>
          <w:rFonts w:hint="eastAsia"/>
          <w:noProof/>
          <w:color w:val="000000"/>
          <w:sz w:val="24"/>
        </w:rPr>
        <w:br/>
      </w:r>
      <w:r>
        <w:rPr>
          <w:color w:val="000000"/>
          <w:sz w:val="24"/>
        </w:rPr>
        <w:t>2001</w:t>
      </w:r>
      <w:bookmarkEnd w:id="288"/>
      <w:r>
        <w:rPr>
          <w:rFonts w:hint="eastAsia"/>
          <w:color w:val="000000"/>
          <w:sz w:val="24"/>
        </w:rPr>
        <w:t>年不同地区的吉尼系数，东帝汶生活水平衡量调查</w:t>
      </w:r>
    </w:p>
    <w:p w:rsidR="00692915" w:rsidRDefault="00692915" w:rsidP="009A1C1B">
      <w:pPr>
        <w:ind w:firstLine="31680"/>
        <w:jc w:val="center"/>
        <w:rPr>
          <w:bCs/>
          <w:color w:val="000000"/>
          <w:szCs w:val="24"/>
        </w:rPr>
      </w:pPr>
      <w:r>
        <w:rPr>
          <w:b/>
          <w:noProof/>
          <w:color w:val="000000"/>
          <w:szCs w:val="24"/>
        </w:rPr>
        <w:pict>
          <v:shape id="_x0000_s2395" type="#_x0000_t202" style="position:absolute;left:0;text-align:left;margin-left:66pt;margin-top:10.3pt;width:336pt;height:32.6pt;z-index:127" filled="f" fillcolor="#ffc7c7" stroked="f">
            <v:fill color2="#f48080" angle="-90" focus="100%" type="gradient"/>
            <v:textbox>
              <w:txbxContent>
                <w:p w:rsidR="00692915" w:rsidRDefault="00692915" w:rsidP="009A1C1B">
                  <w:pPr>
                    <w:pStyle w:val="FootnoteText"/>
                    <w:ind w:firstLine="31680"/>
                    <w:jc w:val="center"/>
                    <w:rPr>
                      <w:rFonts w:eastAsia="SimHei"/>
                      <w:sz w:val="21"/>
                    </w:rPr>
                  </w:pPr>
                  <w:r>
                    <w:rPr>
                      <w:rFonts w:eastAsia="SimHei" w:hint="eastAsia"/>
                      <w:sz w:val="21"/>
                    </w:rPr>
                    <w:t>收入不平等状况在西部地区最轻，在中部地区最严重</w:t>
                  </w:r>
                </w:p>
              </w:txbxContent>
            </v:textbox>
          </v:shape>
        </w:pict>
      </w:r>
      <w:r>
        <w:rPr>
          <w:b/>
          <w:noProof/>
          <w:color w:val="000000"/>
          <w:szCs w:val="24"/>
        </w:rPr>
        <w:pict>
          <v:shape id="_x0000_s2396" type="#_x0000_t202" style="position:absolute;left:0;text-align:left;margin-left:65pt;margin-top:151pt;width:384pt;height:43.85pt;z-index:128" filled="f" fillcolor="#ffd9d9" stroked="f">
            <v:fill color2="#f7a1a1" angle="-90" focus="100%" type="gradient"/>
            <v:textbox style="layout-flow:vertical;mso-layout-flow-alt:bottom-to-top" inset="4.5mm,2.3mm">
              <w:txbxContent>
                <w:p w:rsidR="00692915" w:rsidRDefault="00692915">
                  <w:pPr>
                    <w:spacing w:line="1140" w:lineRule="auto"/>
                    <w:ind w:firstLineChars="0" w:firstLine="0"/>
                    <w:jc w:val="right"/>
                    <w:rPr>
                      <w:rFonts w:hint="eastAsia"/>
                      <w:sz w:val="15"/>
                    </w:rPr>
                  </w:pPr>
                  <w:r>
                    <w:rPr>
                      <w:rFonts w:hint="eastAsia"/>
                      <w:sz w:val="15"/>
                    </w:rPr>
                    <w:t>中部</w:t>
                  </w:r>
                </w:p>
                <w:p w:rsidR="00692915" w:rsidRDefault="00692915">
                  <w:pPr>
                    <w:spacing w:line="1140" w:lineRule="auto"/>
                    <w:ind w:firstLineChars="0" w:firstLine="0"/>
                    <w:jc w:val="right"/>
                    <w:rPr>
                      <w:rFonts w:hint="eastAsia"/>
                      <w:sz w:val="15"/>
                    </w:rPr>
                  </w:pPr>
                  <w:r>
                    <w:rPr>
                      <w:rFonts w:hint="eastAsia"/>
                      <w:sz w:val="15"/>
                    </w:rPr>
                    <w:t>城市</w:t>
                  </w:r>
                </w:p>
                <w:p w:rsidR="00692915" w:rsidRDefault="00692915">
                  <w:pPr>
                    <w:spacing w:line="1140" w:lineRule="auto"/>
                    <w:ind w:firstLineChars="0" w:firstLine="0"/>
                    <w:jc w:val="right"/>
                    <w:rPr>
                      <w:rFonts w:hint="eastAsia"/>
                      <w:sz w:val="15"/>
                    </w:rPr>
                  </w:pPr>
                  <w:r>
                    <w:rPr>
                      <w:rFonts w:hint="eastAsia"/>
                      <w:sz w:val="15"/>
                    </w:rPr>
                    <w:t>低地</w:t>
                  </w:r>
                </w:p>
                <w:p w:rsidR="00692915" w:rsidRDefault="00692915">
                  <w:pPr>
                    <w:spacing w:line="1140" w:lineRule="auto"/>
                    <w:ind w:firstLineChars="0" w:firstLine="0"/>
                    <w:jc w:val="right"/>
                    <w:rPr>
                      <w:rFonts w:hint="eastAsia"/>
                      <w:sz w:val="15"/>
                    </w:rPr>
                  </w:pPr>
                  <w:r>
                    <w:rPr>
                      <w:rFonts w:hint="eastAsia"/>
                      <w:sz w:val="15"/>
                    </w:rPr>
                    <w:t>高地</w:t>
                  </w:r>
                </w:p>
                <w:p w:rsidR="00692915" w:rsidRDefault="00692915">
                  <w:pPr>
                    <w:spacing w:line="1140" w:lineRule="auto"/>
                    <w:ind w:firstLineChars="0" w:firstLine="0"/>
                    <w:jc w:val="right"/>
                    <w:rPr>
                      <w:rFonts w:hint="eastAsia"/>
                      <w:sz w:val="15"/>
                    </w:rPr>
                  </w:pPr>
                  <w:r>
                    <w:rPr>
                      <w:rFonts w:hint="eastAsia"/>
                      <w:sz w:val="15"/>
                    </w:rPr>
                    <w:t>东部</w:t>
                  </w:r>
                </w:p>
                <w:p w:rsidR="00692915" w:rsidRDefault="00692915">
                  <w:pPr>
                    <w:spacing w:line="1140" w:lineRule="auto"/>
                    <w:ind w:firstLineChars="0" w:firstLine="0"/>
                    <w:jc w:val="right"/>
                    <w:rPr>
                      <w:rFonts w:hint="eastAsia"/>
                      <w:sz w:val="15"/>
                    </w:rPr>
                  </w:pPr>
                  <w:r>
                    <w:rPr>
                      <w:rFonts w:hint="eastAsia"/>
                      <w:sz w:val="15"/>
                    </w:rPr>
                    <w:t xml:space="preserve"> </w:t>
                  </w:r>
                  <w:r>
                    <w:rPr>
                      <w:rFonts w:hint="eastAsia"/>
                      <w:sz w:val="15"/>
                    </w:rPr>
                    <w:t>农村</w:t>
                  </w:r>
                </w:p>
                <w:p w:rsidR="00692915" w:rsidRDefault="00692915">
                  <w:pPr>
                    <w:spacing w:line="1140" w:lineRule="auto"/>
                    <w:ind w:firstLineChars="0" w:firstLine="0"/>
                    <w:jc w:val="right"/>
                    <w:rPr>
                      <w:rFonts w:hint="eastAsia"/>
                      <w:sz w:val="15"/>
                    </w:rPr>
                  </w:pPr>
                  <w:r>
                    <w:rPr>
                      <w:rFonts w:hint="eastAsia"/>
                      <w:sz w:val="15"/>
                    </w:rPr>
                    <w:t>西部</w:t>
                  </w:r>
                </w:p>
                <w:p w:rsidR="00692915" w:rsidRDefault="00692915">
                  <w:pPr>
                    <w:spacing w:line="1140" w:lineRule="auto"/>
                    <w:ind w:firstLineChars="0" w:firstLine="0"/>
                    <w:jc w:val="right"/>
                    <w:rPr>
                      <w:sz w:val="15"/>
                    </w:rPr>
                  </w:pPr>
                  <w:r>
                    <w:rPr>
                      <w:rFonts w:hint="eastAsia"/>
                      <w:sz w:val="15"/>
                    </w:rPr>
                    <w:t>全国</w:t>
                  </w:r>
                </w:p>
              </w:txbxContent>
            </v:textbox>
          </v:shape>
        </w:pict>
      </w:r>
      <w:bookmarkStart w:id="289" w:name="_MON_1261427428"/>
      <w:bookmarkStart w:id="290" w:name="_MON_1261427988"/>
      <w:bookmarkEnd w:id="289"/>
      <w:bookmarkEnd w:id="290"/>
      <w:r>
        <w:rPr>
          <w:b/>
          <w:color w:val="000000"/>
          <w:szCs w:val="24"/>
        </w:rPr>
        <w:object w:dxaOrig="8311" w:dyaOrig="3781">
          <v:shape id="_x0000_i1052" type="#_x0000_t75" style="width:415.5pt;height:189pt" o:ole="">
            <v:imagedata r:id="rId62" o:title=""/>
          </v:shape>
          <o:OLEObject Type="Embed" ProgID="Word.Picture.8" ShapeID="_x0000_i1052" DrawAspect="Content" ObjectID="_1395890561" r:id="rId63"/>
        </w:object>
      </w:r>
    </w:p>
    <w:p w:rsidR="00692915" w:rsidRDefault="00692915" w:rsidP="009A1C1B">
      <w:pPr>
        <w:pStyle w:val="FootnoteText"/>
        <w:spacing w:beforeLines="50" w:before="180" w:after="240"/>
        <w:ind w:firstLine="31680"/>
        <w:rPr>
          <w:rFonts w:hint="eastAsia"/>
          <w:color w:val="000000"/>
          <w:sz w:val="21"/>
        </w:rPr>
      </w:pPr>
      <w:r>
        <w:rPr>
          <w:rFonts w:hint="eastAsia"/>
          <w:color w:val="000000"/>
          <w:sz w:val="21"/>
        </w:rPr>
        <w:t>资料来源：《东帝汶：新国家中的贫穷：行动分析》，第</w:t>
      </w:r>
      <w:r>
        <w:rPr>
          <w:rFonts w:hint="eastAsia"/>
          <w:color w:val="000000"/>
          <w:sz w:val="21"/>
        </w:rPr>
        <w:t>2</w:t>
      </w:r>
      <w:r>
        <w:rPr>
          <w:rFonts w:hint="eastAsia"/>
          <w:color w:val="000000"/>
          <w:sz w:val="21"/>
        </w:rPr>
        <w:t>卷，</w:t>
      </w:r>
      <w:r>
        <w:rPr>
          <w:rFonts w:hint="eastAsia"/>
          <w:color w:val="000000"/>
          <w:sz w:val="21"/>
        </w:rPr>
        <w:t xml:space="preserve"> 2003</w:t>
      </w:r>
      <w:r>
        <w:rPr>
          <w:rFonts w:hint="eastAsia"/>
          <w:color w:val="000000"/>
          <w:sz w:val="21"/>
        </w:rPr>
        <w:t>年</w:t>
      </w:r>
      <w:r>
        <w:rPr>
          <w:rFonts w:hint="eastAsia"/>
          <w:color w:val="000000"/>
          <w:sz w:val="21"/>
        </w:rPr>
        <w:t>5</w:t>
      </w:r>
      <w:r>
        <w:rPr>
          <w:rFonts w:hint="eastAsia"/>
          <w:color w:val="000000"/>
          <w:sz w:val="21"/>
        </w:rPr>
        <w:t>月，表</w:t>
      </w:r>
      <w:r>
        <w:rPr>
          <w:color w:val="000000"/>
          <w:sz w:val="21"/>
        </w:rPr>
        <w:t>3.18</w:t>
      </w:r>
      <w:r>
        <w:rPr>
          <w:rFonts w:hint="eastAsia"/>
          <w:color w:val="000000"/>
          <w:sz w:val="21"/>
        </w:rPr>
        <w:t>，第</w:t>
      </w:r>
      <w:r>
        <w:rPr>
          <w:rFonts w:hint="eastAsia"/>
          <w:color w:val="000000"/>
          <w:sz w:val="21"/>
        </w:rPr>
        <w:t>85</w:t>
      </w:r>
      <w:r>
        <w:rPr>
          <w:rFonts w:hint="eastAsia"/>
          <w:color w:val="000000"/>
          <w:sz w:val="21"/>
        </w:rPr>
        <w:t>页。</w:t>
      </w:r>
    </w:p>
    <w:p w:rsidR="00692915" w:rsidRDefault="00692915">
      <w:pPr>
        <w:pStyle w:val="Heading3"/>
        <w:jc w:val="both"/>
        <w:rPr>
          <w:rFonts w:eastAsia="KaiTi_GB2312" w:hint="eastAsia"/>
          <w:color w:val="000000"/>
          <w:u w:val="none"/>
        </w:rPr>
      </w:pPr>
      <w:r>
        <w:rPr>
          <w:rFonts w:eastAsia="KaiTi_GB2312" w:hint="eastAsia"/>
          <w:color w:val="000000"/>
          <w:u w:val="none"/>
        </w:rPr>
        <w:t>生活在国家贫困线以下的人口比例</w:t>
      </w:r>
    </w:p>
    <w:p w:rsidR="00692915" w:rsidRDefault="00692915" w:rsidP="009A1C1B">
      <w:pPr>
        <w:ind w:firstLine="31680"/>
        <w:rPr>
          <w:rFonts w:hint="eastAsia"/>
          <w:bCs/>
          <w:color w:val="000000"/>
        </w:rPr>
      </w:pPr>
      <w:r>
        <w:rPr>
          <w:rFonts w:hint="eastAsia"/>
          <w:bCs/>
          <w:color w:val="000000"/>
        </w:rPr>
        <w:t>贫困线是指一个人不被视作贫困的最低生活标准。</w:t>
      </w:r>
    </w:p>
    <w:p w:rsidR="00692915" w:rsidRDefault="00692915" w:rsidP="009A1C1B">
      <w:pPr>
        <w:ind w:firstLine="31680"/>
        <w:rPr>
          <w:rFonts w:hint="eastAsia"/>
          <w:bCs/>
          <w:color w:val="000000"/>
        </w:rPr>
      </w:pPr>
      <w:r>
        <w:rPr>
          <w:rFonts w:hint="eastAsia"/>
          <w:bCs/>
          <w:color w:val="000000"/>
        </w:rPr>
        <w:t>根据</w:t>
      </w:r>
      <w:r>
        <w:rPr>
          <w:rFonts w:hint="eastAsia"/>
          <w:bCs/>
          <w:color w:val="000000"/>
        </w:rPr>
        <w:t>2003</w:t>
      </w:r>
      <w:r>
        <w:rPr>
          <w:rFonts w:hint="eastAsia"/>
          <w:bCs/>
          <w:color w:val="000000"/>
        </w:rPr>
        <w:t>年的贫困评估，贫困线是指为了购买一篮子能够每天为每人提供</w:t>
      </w:r>
      <w:r>
        <w:rPr>
          <w:rFonts w:hint="eastAsia"/>
          <w:bCs/>
          <w:color w:val="000000"/>
        </w:rPr>
        <w:t>2100</w:t>
      </w:r>
      <w:r>
        <w:rPr>
          <w:rFonts w:hint="eastAsia"/>
          <w:bCs/>
          <w:color w:val="000000"/>
        </w:rPr>
        <w:t>卡路里食品所需要的最低支出，包括为满足非食品消费需求（例如衣服与住房）所需要的最低支出。</w:t>
      </w:r>
    </w:p>
    <w:p w:rsidR="00692915" w:rsidRDefault="00692915" w:rsidP="009A1C1B">
      <w:pPr>
        <w:ind w:firstLine="31680"/>
        <w:rPr>
          <w:rFonts w:hint="eastAsia"/>
          <w:bCs/>
          <w:color w:val="000000"/>
          <w:szCs w:val="24"/>
        </w:rPr>
      </w:pPr>
      <w:r>
        <w:rPr>
          <w:rFonts w:hint="eastAsia"/>
          <w:bCs/>
          <w:color w:val="000000"/>
          <w:szCs w:val="24"/>
        </w:rPr>
        <w:t>根据估计，</w:t>
      </w:r>
      <w:r>
        <w:rPr>
          <w:rFonts w:hint="eastAsia"/>
          <w:bCs/>
          <w:color w:val="000000"/>
          <w:szCs w:val="24"/>
        </w:rPr>
        <w:t>2001</w:t>
      </w:r>
      <w:r>
        <w:rPr>
          <w:rFonts w:hint="eastAsia"/>
          <w:bCs/>
          <w:color w:val="000000"/>
          <w:szCs w:val="24"/>
        </w:rPr>
        <w:t>年东帝汶的贫困线为每人每月</w:t>
      </w:r>
      <w:r>
        <w:rPr>
          <w:bCs/>
          <w:color w:val="000000"/>
          <w:szCs w:val="24"/>
        </w:rPr>
        <w:t>15.44</w:t>
      </w:r>
      <w:r>
        <w:rPr>
          <w:rFonts w:hint="eastAsia"/>
          <w:bCs/>
          <w:color w:val="000000"/>
          <w:szCs w:val="24"/>
        </w:rPr>
        <w:t>美元，或每天</w:t>
      </w:r>
      <w:r>
        <w:rPr>
          <w:rFonts w:hint="eastAsia"/>
          <w:bCs/>
          <w:color w:val="000000"/>
          <w:szCs w:val="24"/>
        </w:rPr>
        <w:t>50</w:t>
      </w:r>
      <w:r>
        <w:rPr>
          <w:rFonts w:hint="eastAsia"/>
          <w:bCs/>
          <w:color w:val="000000"/>
          <w:szCs w:val="24"/>
        </w:rPr>
        <w:t>美分多一点。根据经过购买力平价</w:t>
      </w:r>
      <w:r>
        <w:rPr>
          <w:rStyle w:val="FootnoteReference"/>
          <w:bCs/>
          <w:color w:val="000000"/>
          <w:szCs w:val="24"/>
        </w:rPr>
        <w:footnoteReference w:id="405"/>
      </w:r>
      <w:r>
        <w:rPr>
          <w:rFonts w:hint="eastAsia"/>
          <w:bCs/>
          <w:color w:val="000000"/>
          <w:szCs w:val="24"/>
        </w:rPr>
        <w:t>调整后的汇率，这相当于</w:t>
      </w:r>
      <w:r>
        <w:rPr>
          <w:bCs/>
          <w:color w:val="000000"/>
          <w:szCs w:val="24"/>
        </w:rPr>
        <w:t>1.5</w:t>
      </w:r>
      <w:r>
        <w:rPr>
          <w:rFonts w:hint="eastAsia"/>
          <w:bCs/>
          <w:color w:val="000000"/>
          <w:szCs w:val="24"/>
        </w:rPr>
        <w:t>国际美元。</w:t>
      </w:r>
    </w:p>
    <w:p w:rsidR="00692915" w:rsidRDefault="00692915" w:rsidP="009A1C1B">
      <w:pPr>
        <w:ind w:firstLine="31680"/>
        <w:rPr>
          <w:rFonts w:hint="eastAsia"/>
          <w:bCs/>
          <w:color w:val="000000"/>
        </w:rPr>
      </w:pPr>
      <w:r>
        <w:rPr>
          <w:rFonts w:hint="eastAsia"/>
          <w:bCs/>
          <w:color w:val="000000"/>
        </w:rPr>
        <w:t>2003</w:t>
      </w:r>
      <w:r>
        <w:rPr>
          <w:rFonts w:hint="eastAsia"/>
          <w:bCs/>
          <w:color w:val="000000"/>
        </w:rPr>
        <w:t>年贫困评估采用了</w:t>
      </w:r>
      <w:r>
        <w:rPr>
          <w:rFonts w:hint="eastAsia"/>
          <w:bCs/>
          <w:color w:val="000000"/>
        </w:rPr>
        <w:t>2001</w:t>
      </w:r>
      <w:r>
        <w:rPr>
          <w:rFonts w:hint="eastAsia"/>
          <w:bCs/>
          <w:color w:val="000000"/>
        </w:rPr>
        <w:t>年东帝汶生活水平衡量调查的数据，根据这次评估的估计，东帝汶有</w:t>
      </w:r>
      <w:r>
        <w:rPr>
          <w:rFonts w:hint="eastAsia"/>
          <w:bCs/>
          <w:color w:val="000000"/>
        </w:rPr>
        <w:t>40%</w:t>
      </w:r>
      <w:r>
        <w:rPr>
          <w:rFonts w:hint="eastAsia"/>
          <w:bCs/>
          <w:color w:val="000000"/>
        </w:rPr>
        <w:t>的人口（五分之二的人口）生活在国家贫困线以下（图</w:t>
      </w:r>
      <w:r>
        <w:rPr>
          <w:rFonts w:hint="eastAsia"/>
          <w:bCs/>
          <w:color w:val="000000"/>
        </w:rPr>
        <w:t>29</w:t>
      </w:r>
      <w:r>
        <w:rPr>
          <w:rFonts w:hint="eastAsia"/>
          <w:bCs/>
          <w:color w:val="000000"/>
        </w:rPr>
        <w:t>）。</w:t>
      </w:r>
    </w:p>
    <w:p w:rsidR="00692915" w:rsidRDefault="00692915" w:rsidP="009A1C1B">
      <w:pPr>
        <w:ind w:firstLine="31680"/>
        <w:rPr>
          <w:rFonts w:hint="eastAsia"/>
          <w:color w:val="000000"/>
        </w:rPr>
      </w:pPr>
      <w:bookmarkStart w:id="291" w:name="_Toc132732328"/>
      <w:r>
        <w:rPr>
          <w:rFonts w:hint="eastAsia"/>
          <w:color w:val="000000"/>
        </w:rPr>
        <w:t>按照国际比较的角度来说，有</w:t>
      </w:r>
      <w:r>
        <w:rPr>
          <w:rFonts w:hint="eastAsia"/>
          <w:color w:val="000000"/>
        </w:rPr>
        <w:t>20%</w:t>
      </w:r>
      <w:r>
        <w:rPr>
          <w:rFonts w:hint="eastAsia"/>
          <w:color w:val="000000"/>
        </w:rPr>
        <w:t>人口每天的生活费不足</w:t>
      </w:r>
      <w:r>
        <w:rPr>
          <w:rFonts w:hint="eastAsia"/>
          <w:color w:val="000000"/>
        </w:rPr>
        <w:t>1</w:t>
      </w:r>
      <w:r>
        <w:rPr>
          <w:rFonts w:hint="eastAsia"/>
          <w:color w:val="000000"/>
        </w:rPr>
        <w:t>美元，</w:t>
      </w:r>
      <w:r>
        <w:rPr>
          <w:rFonts w:hint="eastAsia"/>
          <w:color w:val="000000"/>
        </w:rPr>
        <w:t>63%</w:t>
      </w:r>
      <w:r>
        <w:rPr>
          <w:rFonts w:hint="eastAsia"/>
          <w:color w:val="000000"/>
        </w:rPr>
        <w:t>人口每天的生活费不足</w:t>
      </w:r>
      <w:r>
        <w:rPr>
          <w:rFonts w:hint="eastAsia"/>
          <w:color w:val="000000"/>
        </w:rPr>
        <w:t>2</w:t>
      </w:r>
      <w:r>
        <w:rPr>
          <w:rFonts w:hint="eastAsia"/>
          <w:color w:val="000000"/>
        </w:rPr>
        <w:t>美元。</w:t>
      </w:r>
    </w:p>
    <w:p w:rsidR="00692915" w:rsidRDefault="00692915">
      <w:pPr>
        <w:pStyle w:val="Heading2"/>
        <w:spacing w:before="120" w:after="0"/>
        <w:rPr>
          <w:rFonts w:hint="eastAsia"/>
          <w:color w:val="000000"/>
          <w:sz w:val="24"/>
        </w:rPr>
      </w:pPr>
      <w:r>
        <w:rPr>
          <w:rFonts w:hint="eastAsia"/>
          <w:color w:val="000000"/>
          <w:sz w:val="24"/>
        </w:rPr>
        <w:t>图</w:t>
      </w:r>
      <w:r>
        <w:rPr>
          <w:color w:val="000000"/>
          <w:sz w:val="24"/>
        </w:rPr>
        <w:t xml:space="preserve"> </w:t>
      </w:r>
      <w:r>
        <w:rPr>
          <w:noProof/>
          <w:color w:val="000000"/>
          <w:sz w:val="24"/>
        </w:rPr>
        <w:t>29</w:t>
      </w:r>
      <w:r>
        <w:rPr>
          <w:rFonts w:hint="eastAsia"/>
          <w:noProof/>
          <w:color w:val="000000"/>
          <w:sz w:val="24"/>
        </w:rPr>
        <w:br/>
      </w:r>
      <w:r>
        <w:rPr>
          <w:color w:val="000000"/>
          <w:sz w:val="24"/>
        </w:rPr>
        <w:t>200</w:t>
      </w:r>
      <w:bookmarkEnd w:id="291"/>
      <w:r>
        <w:rPr>
          <w:rFonts w:hint="eastAsia"/>
          <w:color w:val="000000"/>
          <w:sz w:val="24"/>
        </w:rPr>
        <w:t>1</w:t>
      </w:r>
      <w:r>
        <w:rPr>
          <w:rFonts w:hint="eastAsia"/>
          <w:color w:val="000000"/>
          <w:sz w:val="24"/>
        </w:rPr>
        <w:t>年在东帝汶和印度尼西亚的城市和农村，每天生活费</w:t>
      </w:r>
      <w:r>
        <w:rPr>
          <w:color w:val="000000"/>
          <w:sz w:val="24"/>
        </w:rPr>
        <w:br/>
      </w:r>
      <w:r>
        <w:rPr>
          <w:rFonts w:hint="eastAsia"/>
          <w:color w:val="000000"/>
          <w:sz w:val="24"/>
        </w:rPr>
        <w:t>低于</w:t>
      </w:r>
      <w:r>
        <w:rPr>
          <w:rFonts w:hint="eastAsia"/>
          <w:color w:val="000000"/>
          <w:sz w:val="24"/>
        </w:rPr>
        <w:t>1</w:t>
      </w:r>
      <w:r>
        <w:rPr>
          <w:rFonts w:hint="eastAsia"/>
          <w:color w:val="000000"/>
          <w:sz w:val="24"/>
        </w:rPr>
        <w:t>美元、两美元以及低于国家贫困线的人口比例</w:t>
      </w:r>
      <w:r>
        <w:rPr>
          <w:rFonts w:hint="eastAsia"/>
          <w:color w:val="000000"/>
          <w:sz w:val="24"/>
        </w:rPr>
        <w:t xml:space="preserve"> </w:t>
      </w:r>
    </w:p>
    <w:p w:rsidR="00692915" w:rsidRDefault="00692915">
      <w:pPr>
        <w:spacing w:after="120"/>
        <w:ind w:firstLineChars="0" w:firstLine="0"/>
        <w:jc w:val="center"/>
        <w:rPr>
          <w:bCs/>
          <w:color w:val="000000"/>
          <w:szCs w:val="24"/>
        </w:rPr>
      </w:pPr>
      <w:r>
        <w:rPr>
          <w:bCs/>
          <w:noProof/>
          <w:snapToGrid/>
          <w:color w:val="000000"/>
          <w:sz w:val="20"/>
        </w:rPr>
        <w:pict>
          <v:shape id="_x0000_s2399" type="#_x0000_t202" style="position:absolute;left:0;text-align:left;margin-left:324.3pt;margin-top:27.05pt;width:1in;height:29.85pt;z-index:130" o:regroupid="23" filled="f" stroked="f">
            <v:textbox style="mso-next-textbox:#_x0000_s2399">
              <w:txbxContent>
                <w:p w:rsidR="00692915" w:rsidRDefault="00692915">
                  <w:pPr>
                    <w:spacing w:line="120" w:lineRule="atLeast"/>
                    <w:ind w:firstLineChars="0" w:firstLine="0"/>
                    <w:rPr>
                      <w:rFonts w:hint="eastAsia"/>
                      <w:bCs/>
                      <w:sz w:val="15"/>
                    </w:rPr>
                  </w:pPr>
                  <w:r>
                    <w:rPr>
                      <w:rFonts w:hint="eastAsia"/>
                      <w:bCs/>
                      <w:sz w:val="15"/>
                    </w:rPr>
                    <w:t>2001</w:t>
                  </w:r>
                  <w:r>
                    <w:rPr>
                      <w:rFonts w:hint="eastAsia"/>
                      <w:bCs/>
                      <w:sz w:val="15"/>
                    </w:rPr>
                    <w:t>年东帝汶</w:t>
                  </w:r>
                </w:p>
                <w:p w:rsidR="00692915" w:rsidRDefault="00692915">
                  <w:pPr>
                    <w:spacing w:line="240" w:lineRule="atLeast"/>
                    <w:ind w:firstLineChars="0" w:firstLine="0"/>
                    <w:rPr>
                      <w:sz w:val="15"/>
                    </w:rPr>
                  </w:pPr>
                  <w:r>
                    <w:rPr>
                      <w:rFonts w:hint="eastAsia"/>
                      <w:bCs/>
                      <w:sz w:val="15"/>
                    </w:rPr>
                    <w:t>印度尼西亚</w:t>
                  </w:r>
                </w:p>
              </w:txbxContent>
            </v:textbox>
          </v:shape>
        </w:pict>
      </w:r>
      <w:r>
        <w:rPr>
          <w:bCs/>
          <w:noProof/>
          <w:snapToGrid/>
          <w:color w:val="000000"/>
          <w:sz w:val="20"/>
        </w:rPr>
        <w:pict>
          <v:shape id="_x0000_s2404" type="#_x0000_t202" style="position:absolute;left:0;text-align:left;margin-left:348pt;margin-top:142.95pt;width:1in;height:24.45pt;z-index:135" o:regroupid="23" filled="f" fillcolor="#ffc7c7" stroked="f" strokecolor="#ffd9d9">
            <v:textbox>
              <w:txbxContent>
                <w:p w:rsidR="00692915" w:rsidRDefault="00692915">
                  <w:pPr>
                    <w:spacing w:line="180" w:lineRule="exact"/>
                    <w:ind w:firstLineChars="0" w:firstLine="0"/>
                    <w:jc w:val="center"/>
                    <w:rPr>
                      <w:sz w:val="15"/>
                    </w:rPr>
                  </w:pPr>
                  <w:r>
                    <w:rPr>
                      <w:rFonts w:hint="eastAsia"/>
                      <w:bCs/>
                      <w:sz w:val="15"/>
                    </w:rPr>
                    <w:t>每天低于</w:t>
                  </w:r>
                  <w:r>
                    <w:rPr>
                      <w:rFonts w:hint="eastAsia"/>
                      <w:bCs/>
                      <w:sz w:val="15"/>
                    </w:rPr>
                    <w:t>1</w:t>
                  </w:r>
                  <w:r>
                    <w:rPr>
                      <w:rFonts w:hint="eastAsia"/>
                      <w:bCs/>
                      <w:sz w:val="15"/>
                    </w:rPr>
                    <w:t>美元的人口比例</w:t>
                  </w:r>
                </w:p>
              </w:txbxContent>
            </v:textbox>
          </v:shape>
        </w:pict>
      </w:r>
      <w:r>
        <w:rPr>
          <w:bCs/>
          <w:noProof/>
          <w:snapToGrid/>
          <w:color w:val="000000"/>
          <w:sz w:val="20"/>
        </w:rPr>
        <w:pict>
          <v:shape id="_x0000_s2403" type="#_x0000_t202" style="position:absolute;left:0;text-align:left;margin-left:276pt;margin-top:142.95pt;width:1in;height:24.45pt;z-index:134" o:regroupid="23" filled="f" fillcolor="#ffc7c7" stroked="f" strokecolor="#ffd9d9">
            <v:textbox>
              <w:txbxContent>
                <w:p w:rsidR="00692915" w:rsidRDefault="00692915">
                  <w:pPr>
                    <w:spacing w:line="180" w:lineRule="exact"/>
                    <w:ind w:firstLineChars="0" w:firstLine="0"/>
                    <w:jc w:val="center"/>
                    <w:rPr>
                      <w:sz w:val="15"/>
                    </w:rPr>
                  </w:pPr>
                  <w:r>
                    <w:rPr>
                      <w:rFonts w:hint="eastAsia"/>
                      <w:bCs/>
                      <w:sz w:val="15"/>
                    </w:rPr>
                    <w:t>城市</w:t>
                  </w:r>
                </w:p>
              </w:txbxContent>
            </v:textbox>
          </v:shape>
        </w:pict>
      </w:r>
      <w:r>
        <w:rPr>
          <w:bCs/>
          <w:noProof/>
          <w:snapToGrid/>
          <w:color w:val="000000"/>
          <w:sz w:val="20"/>
        </w:rPr>
        <w:pict>
          <v:shape id="_x0000_s2402" type="#_x0000_t202" style="position:absolute;left:0;text-align:left;margin-left:204pt;margin-top:142.95pt;width:1in;height:24.45pt;z-index:133" o:regroupid="23" filled="f" fillcolor="#ffd9d9" stroked="f" strokecolor="#ffd9d9">
            <v:textbox>
              <w:txbxContent>
                <w:p w:rsidR="00692915" w:rsidRDefault="00692915">
                  <w:pPr>
                    <w:spacing w:line="180" w:lineRule="exact"/>
                    <w:ind w:firstLineChars="0" w:firstLine="0"/>
                    <w:jc w:val="center"/>
                    <w:rPr>
                      <w:sz w:val="15"/>
                    </w:rPr>
                  </w:pPr>
                  <w:r>
                    <w:rPr>
                      <w:rFonts w:hint="eastAsia"/>
                      <w:bCs/>
                      <w:sz w:val="15"/>
                    </w:rPr>
                    <w:t>农村</w:t>
                  </w:r>
                </w:p>
              </w:txbxContent>
            </v:textbox>
          </v:shape>
        </w:pict>
      </w:r>
      <w:r>
        <w:rPr>
          <w:bCs/>
          <w:noProof/>
          <w:snapToGrid/>
          <w:color w:val="000000"/>
          <w:sz w:val="20"/>
        </w:rPr>
        <w:pict>
          <v:shape id="_x0000_s2401" type="#_x0000_t202" style="position:absolute;left:0;text-align:left;margin-left:132pt;margin-top:142.95pt;width:1in;height:26.95pt;z-index:132" o:regroupid="23" filled="f" fillcolor="#ffd9d9" stroked="f" strokecolor="#ffd9d9">
            <v:textbox>
              <w:txbxContent>
                <w:p w:rsidR="00692915" w:rsidRDefault="00692915">
                  <w:pPr>
                    <w:spacing w:line="180" w:lineRule="exact"/>
                    <w:ind w:firstLineChars="0" w:firstLine="0"/>
                    <w:jc w:val="center"/>
                    <w:rPr>
                      <w:sz w:val="15"/>
                    </w:rPr>
                  </w:pPr>
                  <w:r>
                    <w:rPr>
                      <w:rFonts w:hint="eastAsia"/>
                      <w:bCs/>
                      <w:sz w:val="15"/>
                    </w:rPr>
                    <w:t>低于国家贫困线的人口比例</w:t>
                  </w:r>
                </w:p>
              </w:txbxContent>
            </v:textbox>
          </v:shape>
        </w:pict>
      </w:r>
      <w:r>
        <w:rPr>
          <w:bCs/>
          <w:noProof/>
          <w:snapToGrid/>
          <w:color w:val="000000"/>
          <w:sz w:val="20"/>
        </w:rPr>
        <w:pict>
          <v:shape id="_x0000_s2400" type="#_x0000_t202" style="position:absolute;left:0;text-align:left;margin-left:60pt;margin-top:142.95pt;width:1in;height:24.45pt;z-index:131" o:regroupid="23" filled="f" fillcolor="#ffd9d9" stroked="f" strokecolor="#ffd9d9">
            <v:textbox>
              <w:txbxContent>
                <w:p w:rsidR="00692915" w:rsidRDefault="00692915">
                  <w:pPr>
                    <w:spacing w:line="180" w:lineRule="exact"/>
                    <w:ind w:firstLineChars="0" w:firstLine="0"/>
                    <w:jc w:val="center"/>
                    <w:rPr>
                      <w:sz w:val="15"/>
                    </w:rPr>
                  </w:pPr>
                  <w:r>
                    <w:rPr>
                      <w:rFonts w:hint="eastAsia"/>
                      <w:bCs/>
                      <w:sz w:val="15"/>
                    </w:rPr>
                    <w:t>每天低于</w:t>
                  </w:r>
                  <w:r>
                    <w:rPr>
                      <w:rFonts w:hint="eastAsia"/>
                      <w:bCs/>
                      <w:sz w:val="15"/>
                    </w:rPr>
                    <w:t>2</w:t>
                  </w:r>
                  <w:r>
                    <w:rPr>
                      <w:rFonts w:hint="eastAsia"/>
                      <w:bCs/>
                      <w:sz w:val="15"/>
                    </w:rPr>
                    <w:t>美元的人口比例</w:t>
                  </w:r>
                </w:p>
              </w:txbxContent>
            </v:textbox>
          </v:shape>
        </w:pict>
      </w:r>
      <w:r>
        <w:rPr>
          <w:bCs/>
          <w:noProof/>
          <w:snapToGrid/>
          <w:color w:val="000000"/>
          <w:sz w:val="20"/>
        </w:rPr>
        <w:pict>
          <v:shape id="_x0000_s2398" type="#_x0000_t202" style="position:absolute;left:0;text-align:left;margin-left:60pt;margin-top:4.75pt;width:366pt;height:16.3pt;z-index:129" o:regroupid="23" filled="f" fillcolor="#ffc7c7" stroked="f">
            <v:fill color2="#ff6161" angle="-90" focus="100%" type="gradient"/>
            <v:textbox inset=",.3mm">
              <w:txbxContent>
                <w:p w:rsidR="00692915" w:rsidRDefault="00692915">
                  <w:pPr>
                    <w:ind w:firstLineChars="0" w:firstLine="0"/>
                    <w:jc w:val="center"/>
                    <w:rPr>
                      <w:rFonts w:ascii="SimHei" w:eastAsia="SimHei"/>
                      <w:bCs/>
                      <w:sz w:val="21"/>
                    </w:rPr>
                  </w:pPr>
                  <w:r>
                    <w:rPr>
                      <w:rFonts w:ascii="SimHei" w:eastAsia="SimHei" w:hint="eastAsia"/>
                      <w:bCs/>
                      <w:sz w:val="21"/>
                    </w:rPr>
                    <w:t>2001年40%的人口生活在国家贫困线以下</w:t>
                  </w:r>
                </w:p>
              </w:txbxContent>
            </v:textbox>
          </v:shape>
        </w:pict>
      </w:r>
      <w:bookmarkStart w:id="292" w:name="_MON_1261427574"/>
      <w:bookmarkStart w:id="293" w:name="_MON_1261427990"/>
      <w:bookmarkEnd w:id="292"/>
      <w:bookmarkEnd w:id="293"/>
      <w:r>
        <w:rPr>
          <w:b/>
          <w:color w:val="000000"/>
          <w:szCs w:val="24"/>
        </w:rPr>
        <w:object w:dxaOrig="7921" w:dyaOrig="3511">
          <v:shape id="_x0000_i1053" type="#_x0000_t75" style="width:396pt;height:175.5pt" o:ole="">
            <v:imagedata r:id="rId64" o:title=""/>
          </v:shape>
          <o:OLEObject Type="Embed" ProgID="Word.Picture.8" ShapeID="_x0000_i1053" DrawAspect="Content" ObjectID="_1395890562" r:id="rId65"/>
        </w:object>
      </w:r>
    </w:p>
    <w:p w:rsidR="00692915" w:rsidRDefault="00692915" w:rsidP="009A1C1B">
      <w:pPr>
        <w:tabs>
          <w:tab w:val="left" w:pos="1440"/>
        </w:tabs>
        <w:spacing w:after="240"/>
        <w:ind w:firstLine="31680"/>
        <w:rPr>
          <w:rFonts w:hint="eastAsia"/>
          <w:bCs/>
          <w:color w:val="000000"/>
          <w:sz w:val="21"/>
        </w:rPr>
      </w:pPr>
      <w:r>
        <w:rPr>
          <w:rFonts w:eastAsia="KaiTi_GB2312" w:hint="eastAsia"/>
          <w:bCs/>
          <w:color w:val="000000"/>
          <w:sz w:val="21"/>
        </w:rPr>
        <w:t>资料来源</w:t>
      </w:r>
      <w:r>
        <w:rPr>
          <w:rFonts w:hint="eastAsia"/>
          <w:bCs/>
          <w:color w:val="000000"/>
          <w:sz w:val="21"/>
        </w:rPr>
        <w:t>：《东帝汶：新国家中的贫穷：行动分析》，第</w:t>
      </w:r>
      <w:r>
        <w:rPr>
          <w:bCs/>
          <w:color w:val="000000"/>
          <w:sz w:val="21"/>
        </w:rPr>
        <w:t>xv</w:t>
      </w:r>
      <w:r>
        <w:rPr>
          <w:rFonts w:hint="eastAsia"/>
          <w:bCs/>
          <w:color w:val="000000"/>
          <w:sz w:val="21"/>
        </w:rPr>
        <w:t>页；世界银行统计信息管理与分析（</w:t>
      </w:r>
      <w:r>
        <w:rPr>
          <w:rFonts w:hint="eastAsia"/>
          <w:bCs/>
          <w:color w:val="000000"/>
          <w:sz w:val="21"/>
        </w:rPr>
        <w:t>SIMA</w:t>
      </w:r>
      <w:r>
        <w:rPr>
          <w:rFonts w:hint="eastAsia"/>
          <w:bCs/>
          <w:color w:val="000000"/>
          <w:sz w:val="21"/>
        </w:rPr>
        <w:t>）数据库中有关印度尼西亚的数据，</w:t>
      </w:r>
      <w:r>
        <w:rPr>
          <w:rFonts w:hint="eastAsia"/>
          <w:bCs/>
          <w:color w:val="000000"/>
          <w:sz w:val="21"/>
        </w:rPr>
        <w:t>2002</w:t>
      </w:r>
      <w:r>
        <w:rPr>
          <w:rFonts w:hint="eastAsia"/>
          <w:bCs/>
          <w:color w:val="000000"/>
          <w:sz w:val="21"/>
        </w:rPr>
        <w:t>年。</w:t>
      </w:r>
    </w:p>
    <w:p w:rsidR="00692915" w:rsidRDefault="00692915">
      <w:pPr>
        <w:pStyle w:val="Heading6"/>
        <w:ind w:firstLineChars="0" w:firstLine="0"/>
        <w:rPr>
          <w:rFonts w:eastAsia="SimHei" w:hint="eastAsia"/>
          <w:b w:val="0"/>
          <w:bCs/>
          <w:color w:val="000000"/>
          <w:spacing w:val="10"/>
          <w:kern w:val="32"/>
          <w:sz w:val="26"/>
          <w:lang w:eastAsia="zh-CN"/>
        </w:rPr>
      </w:pPr>
      <w:r>
        <w:rPr>
          <w:rFonts w:eastAsia="SimHei" w:hint="eastAsia"/>
          <w:b w:val="0"/>
          <w:bCs/>
          <w:color w:val="000000"/>
          <w:spacing w:val="10"/>
          <w:kern w:val="32"/>
          <w:sz w:val="26"/>
          <w:lang w:eastAsia="zh-CN"/>
        </w:rPr>
        <w:t>政治制度与司法统计的管理</w:t>
      </w:r>
    </w:p>
    <w:p w:rsidR="00692915" w:rsidRDefault="00692915">
      <w:pPr>
        <w:pStyle w:val="Heading3"/>
        <w:jc w:val="both"/>
        <w:rPr>
          <w:rFonts w:eastAsia="KaiTi_GB2312" w:hint="eastAsia"/>
          <w:color w:val="000000"/>
          <w:u w:val="none"/>
        </w:rPr>
      </w:pPr>
      <w:r>
        <w:rPr>
          <w:rFonts w:eastAsia="KaiTi_GB2312" w:hint="eastAsia"/>
          <w:color w:val="000000"/>
          <w:u w:val="none"/>
        </w:rPr>
        <w:t>选举及政治特征</w:t>
      </w:r>
    </w:p>
    <w:p w:rsidR="00692915" w:rsidRDefault="00692915">
      <w:pPr>
        <w:pStyle w:val="Heading5"/>
        <w:ind w:firstLineChars="0" w:firstLine="0"/>
        <w:rPr>
          <w:rFonts w:ascii="KaiTi_GB2312" w:eastAsia="KaiTi_GB2312" w:hint="eastAsia"/>
          <w:b w:val="0"/>
          <w:bCs/>
          <w:color w:val="000000"/>
          <w:lang w:eastAsia="zh-CN"/>
        </w:rPr>
      </w:pPr>
      <w:bookmarkStart w:id="294" w:name="_Toc132732241"/>
      <w:bookmarkStart w:id="295" w:name="_Toc135830097"/>
      <w:bookmarkStart w:id="296" w:name="_Toc150515105"/>
      <w:bookmarkStart w:id="297" w:name="_Toc150685028"/>
      <w:r>
        <w:rPr>
          <w:rFonts w:ascii="KaiTi_GB2312" w:eastAsia="KaiTi_GB2312"/>
          <w:b w:val="0"/>
          <w:bCs/>
          <w:i w:val="0"/>
          <w:iCs/>
          <w:color w:val="000000"/>
          <w:lang w:eastAsia="zh-CN"/>
        </w:rPr>
        <w:t>（a</w:t>
      </w:r>
      <w:bookmarkEnd w:id="294"/>
      <w:bookmarkEnd w:id="295"/>
      <w:bookmarkEnd w:id="296"/>
      <w:bookmarkEnd w:id="297"/>
      <w:r>
        <w:rPr>
          <w:rFonts w:ascii="KaiTi_GB2312" w:eastAsia="KaiTi_GB2312"/>
          <w:b w:val="0"/>
          <w:bCs/>
          <w:i w:val="0"/>
          <w:iCs/>
          <w:color w:val="000000"/>
          <w:lang w:eastAsia="zh-CN"/>
        </w:rPr>
        <w:t>）</w:t>
      </w:r>
      <w:r>
        <w:rPr>
          <w:rFonts w:ascii="KaiTi_GB2312" w:eastAsia="KaiTi_GB2312" w:hint="eastAsia"/>
          <w:b w:val="0"/>
          <w:bCs/>
          <w:i w:val="0"/>
          <w:iCs/>
          <w:color w:val="000000"/>
          <w:lang w:eastAsia="zh-CN"/>
        </w:rPr>
        <w:t>国家元首</w:t>
      </w:r>
    </w:p>
    <w:p w:rsidR="00692915" w:rsidRDefault="00692915" w:rsidP="009A1C1B">
      <w:pPr>
        <w:pStyle w:val="BodyTextIndent"/>
        <w:ind w:firstLine="31680"/>
        <w:rPr>
          <w:rFonts w:hint="eastAsia"/>
          <w:bCs w:val="0"/>
          <w:color w:val="000000"/>
        </w:rPr>
      </w:pPr>
      <w:r>
        <w:rPr>
          <w:rFonts w:hint="eastAsia"/>
          <w:bCs w:val="0"/>
          <w:color w:val="000000"/>
        </w:rPr>
        <w:t>总统主要起着象征性作用，但也有权否决立法、解散议会和决定进行选举。现任总统是于</w:t>
      </w:r>
      <w:r>
        <w:rPr>
          <w:rFonts w:hint="eastAsia"/>
          <w:bCs w:val="0"/>
          <w:color w:val="000000"/>
        </w:rPr>
        <w:t>2002</w:t>
      </w:r>
      <w:r>
        <w:rPr>
          <w:rFonts w:hint="eastAsia"/>
          <w:bCs w:val="0"/>
          <w:color w:val="000000"/>
        </w:rPr>
        <w:t>年</w:t>
      </w:r>
      <w:r>
        <w:rPr>
          <w:rFonts w:hint="eastAsia"/>
          <w:bCs w:val="0"/>
          <w:color w:val="000000"/>
        </w:rPr>
        <w:t>4</w:t>
      </w:r>
      <w:r>
        <w:rPr>
          <w:rFonts w:hint="eastAsia"/>
          <w:bCs w:val="0"/>
          <w:color w:val="000000"/>
        </w:rPr>
        <w:t>月</w:t>
      </w:r>
      <w:r>
        <w:rPr>
          <w:rFonts w:hint="eastAsia"/>
          <w:bCs w:val="0"/>
          <w:color w:val="000000"/>
        </w:rPr>
        <w:t>14</w:t>
      </w:r>
      <w:r>
        <w:rPr>
          <w:rFonts w:hint="eastAsia"/>
          <w:bCs w:val="0"/>
          <w:color w:val="000000"/>
        </w:rPr>
        <w:t>日通过普选产生的，并于</w:t>
      </w:r>
      <w:r>
        <w:rPr>
          <w:rFonts w:hint="eastAsia"/>
          <w:bCs w:val="0"/>
          <w:color w:val="000000"/>
        </w:rPr>
        <w:t>2002</w:t>
      </w:r>
      <w:r>
        <w:rPr>
          <w:rFonts w:hint="eastAsia"/>
          <w:bCs w:val="0"/>
          <w:color w:val="000000"/>
        </w:rPr>
        <w:t>年</w:t>
      </w:r>
      <w:r>
        <w:rPr>
          <w:rFonts w:hint="eastAsia"/>
          <w:bCs w:val="0"/>
          <w:color w:val="000000"/>
        </w:rPr>
        <w:t>5</w:t>
      </w:r>
      <w:r>
        <w:rPr>
          <w:rFonts w:hint="eastAsia"/>
          <w:bCs w:val="0"/>
          <w:color w:val="000000"/>
        </w:rPr>
        <w:t>月</w:t>
      </w:r>
      <w:r>
        <w:rPr>
          <w:rFonts w:hint="eastAsia"/>
          <w:bCs w:val="0"/>
          <w:color w:val="000000"/>
        </w:rPr>
        <w:t>20</w:t>
      </w:r>
      <w:r>
        <w:rPr>
          <w:rFonts w:hint="eastAsia"/>
          <w:bCs w:val="0"/>
          <w:color w:val="000000"/>
        </w:rPr>
        <w:t>日就职，任期</w:t>
      </w:r>
      <w:r>
        <w:rPr>
          <w:rFonts w:hint="eastAsia"/>
          <w:bCs w:val="0"/>
          <w:color w:val="000000"/>
        </w:rPr>
        <w:t>5</w:t>
      </w:r>
      <w:r>
        <w:rPr>
          <w:rFonts w:hint="eastAsia"/>
          <w:bCs w:val="0"/>
          <w:color w:val="000000"/>
        </w:rPr>
        <w:t>年。下一届总统选举将在</w:t>
      </w:r>
      <w:r>
        <w:rPr>
          <w:rFonts w:hint="eastAsia"/>
          <w:bCs w:val="0"/>
          <w:color w:val="000000"/>
        </w:rPr>
        <w:t>2007</w:t>
      </w:r>
      <w:r>
        <w:rPr>
          <w:rFonts w:hint="eastAsia"/>
          <w:bCs w:val="0"/>
          <w:color w:val="000000"/>
        </w:rPr>
        <w:t>年举行。</w:t>
      </w:r>
    </w:p>
    <w:p w:rsidR="00692915" w:rsidRDefault="00692915">
      <w:pPr>
        <w:pStyle w:val="Heading5"/>
        <w:ind w:firstLineChars="0" w:firstLine="0"/>
        <w:rPr>
          <w:rFonts w:ascii="KaiTi_GB2312" w:eastAsia="KaiTi_GB2312" w:hint="eastAsia"/>
          <w:b w:val="0"/>
          <w:bCs/>
          <w:i w:val="0"/>
          <w:iCs/>
          <w:color w:val="000000"/>
          <w:lang w:eastAsia="zh-CN"/>
        </w:rPr>
      </w:pPr>
      <w:bookmarkStart w:id="298" w:name="_Toc132732242"/>
      <w:bookmarkStart w:id="299" w:name="_Toc135830098"/>
      <w:bookmarkStart w:id="300" w:name="_Toc150515106"/>
      <w:bookmarkStart w:id="301" w:name="_Toc150685029"/>
      <w:r>
        <w:rPr>
          <w:rFonts w:ascii="KaiTi_GB2312" w:eastAsia="KaiTi_GB2312"/>
          <w:b w:val="0"/>
          <w:bCs/>
          <w:i w:val="0"/>
          <w:iCs/>
          <w:color w:val="000000"/>
          <w:lang w:eastAsia="zh-CN"/>
        </w:rPr>
        <w:t>（b</w:t>
      </w:r>
      <w:bookmarkEnd w:id="298"/>
      <w:bookmarkEnd w:id="299"/>
      <w:bookmarkEnd w:id="300"/>
      <w:bookmarkEnd w:id="301"/>
      <w:r>
        <w:rPr>
          <w:rFonts w:ascii="KaiTi_GB2312" w:eastAsia="KaiTi_GB2312"/>
          <w:b w:val="0"/>
          <w:bCs/>
          <w:i w:val="0"/>
          <w:iCs/>
          <w:color w:val="000000"/>
          <w:lang w:eastAsia="zh-CN"/>
        </w:rPr>
        <w:t>）</w:t>
      </w:r>
      <w:r>
        <w:rPr>
          <w:rFonts w:ascii="KaiTi_GB2312" w:eastAsia="KaiTi_GB2312" w:hint="eastAsia"/>
          <w:b w:val="0"/>
          <w:bCs/>
          <w:i w:val="0"/>
          <w:iCs/>
          <w:color w:val="000000"/>
          <w:lang w:eastAsia="zh-CN"/>
        </w:rPr>
        <w:t>政府首脑</w:t>
      </w:r>
    </w:p>
    <w:p w:rsidR="00692915" w:rsidRDefault="00692915" w:rsidP="009A1C1B">
      <w:pPr>
        <w:pStyle w:val="BodyTextIndent"/>
        <w:ind w:firstLine="31680"/>
        <w:rPr>
          <w:rFonts w:hint="eastAsia"/>
          <w:color w:val="000000"/>
        </w:rPr>
      </w:pPr>
      <w:r>
        <w:rPr>
          <w:rFonts w:hint="eastAsia"/>
          <w:color w:val="000000"/>
        </w:rPr>
        <w:t>在立法机关人员宣誓就职后，多数党领导人由总统任命为总理，这为未来开了一个先例。</w:t>
      </w:r>
    </w:p>
    <w:p w:rsidR="00692915" w:rsidRDefault="00692915">
      <w:pPr>
        <w:pStyle w:val="Heading5"/>
        <w:ind w:firstLineChars="0" w:firstLine="0"/>
        <w:rPr>
          <w:rFonts w:ascii="KaiTi_GB2312" w:eastAsia="KaiTi_GB2312" w:hint="eastAsia"/>
          <w:b w:val="0"/>
          <w:bCs/>
          <w:i w:val="0"/>
          <w:iCs/>
          <w:color w:val="000000"/>
          <w:lang w:eastAsia="zh-CN"/>
        </w:rPr>
      </w:pPr>
      <w:bookmarkStart w:id="302" w:name="_Toc132732243"/>
      <w:bookmarkStart w:id="303" w:name="_Toc135830099"/>
      <w:bookmarkStart w:id="304" w:name="_Toc150515107"/>
      <w:bookmarkStart w:id="305" w:name="_Toc150685030"/>
      <w:r>
        <w:rPr>
          <w:rFonts w:ascii="KaiTi_GB2312" w:eastAsia="KaiTi_GB2312"/>
          <w:b w:val="0"/>
          <w:bCs/>
          <w:i w:val="0"/>
          <w:iCs/>
          <w:color w:val="000000"/>
          <w:lang w:eastAsia="zh-CN"/>
        </w:rPr>
        <w:t>（c</w:t>
      </w:r>
      <w:bookmarkEnd w:id="302"/>
      <w:bookmarkEnd w:id="303"/>
      <w:bookmarkEnd w:id="304"/>
      <w:bookmarkEnd w:id="305"/>
      <w:r>
        <w:rPr>
          <w:rFonts w:ascii="KaiTi_GB2312" w:eastAsia="KaiTi_GB2312"/>
          <w:b w:val="0"/>
          <w:bCs/>
          <w:i w:val="0"/>
          <w:iCs/>
          <w:color w:val="000000"/>
          <w:lang w:eastAsia="zh-CN"/>
        </w:rPr>
        <w:t>）</w:t>
      </w:r>
      <w:r>
        <w:rPr>
          <w:rFonts w:ascii="KaiTi_GB2312" w:eastAsia="KaiTi_GB2312" w:hint="eastAsia"/>
          <w:b w:val="0"/>
          <w:bCs/>
          <w:i w:val="0"/>
          <w:iCs/>
          <w:color w:val="000000"/>
          <w:lang w:eastAsia="zh-CN"/>
        </w:rPr>
        <w:t>国民议会</w:t>
      </w:r>
    </w:p>
    <w:p w:rsidR="00692915" w:rsidRDefault="00692915" w:rsidP="009A1C1B">
      <w:pPr>
        <w:ind w:firstLine="31680"/>
        <w:rPr>
          <w:rFonts w:hint="eastAsia"/>
          <w:bCs/>
          <w:color w:val="000000"/>
        </w:rPr>
      </w:pPr>
      <w:r>
        <w:rPr>
          <w:rFonts w:hint="eastAsia"/>
          <w:bCs/>
          <w:color w:val="000000"/>
        </w:rPr>
        <w:t>东帝汶的国民议会实行一院制，席位的数量可以有变化，最少</w:t>
      </w:r>
      <w:r>
        <w:rPr>
          <w:rFonts w:hint="eastAsia"/>
          <w:bCs/>
          <w:color w:val="000000"/>
        </w:rPr>
        <w:t>52</w:t>
      </w:r>
      <w:r>
        <w:rPr>
          <w:rFonts w:hint="eastAsia"/>
          <w:bCs/>
          <w:color w:val="000000"/>
        </w:rPr>
        <w:t>个席位，最多</w:t>
      </w:r>
      <w:r>
        <w:rPr>
          <w:rFonts w:hint="eastAsia"/>
          <w:bCs/>
          <w:color w:val="000000"/>
        </w:rPr>
        <w:t>65</w:t>
      </w:r>
      <w:r>
        <w:rPr>
          <w:rFonts w:hint="eastAsia"/>
          <w:bCs/>
          <w:color w:val="000000"/>
        </w:rPr>
        <w:t>个席位。但是由于首次行使制宪议会的职能，第一届国民议会破例包括</w:t>
      </w:r>
      <w:r>
        <w:rPr>
          <w:rFonts w:hint="eastAsia"/>
          <w:bCs/>
          <w:color w:val="000000"/>
        </w:rPr>
        <w:t>88</w:t>
      </w:r>
      <w:r>
        <w:rPr>
          <w:rFonts w:hint="eastAsia"/>
          <w:bCs/>
          <w:color w:val="000000"/>
        </w:rPr>
        <w:t>名成员。</w:t>
      </w:r>
    </w:p>
    <w:p w:rsidR="00692915" w:rsidRDefault="00692915" w:rsidP="009A1C1B">
      <w:pPr>
        <w:spacing w:after="240"/>
        <w:ind w:firstLine="31680"/>
        <w:rPr>
          <w:rFonts w:hint="eastAsia"/>
          <w:bCs/>
          <w:color w:val="000000"/>
        </w:rPr>
      </w:pPr>
      <w:r>
        <w:rPr>
          <w:rFonts w:hint="eastAsia"/>
          <w:bCs/>
          <w:color w:val="000000"/>
        </w:rPr>
        <w:t>成员通过普选产生，任期</w:t>
      </w:r>
      <w:r>
        <w:rPr>
          <w:rFonts w:hint="eastAsia"/>
          <w:bCs/>
          <w:color w:val="000000"/>
        </w:rPr>
        <w:t>5</w:t>
      </w:r>
      <w:r>
        <w:rPr>
          <w:rFonts w:hint="eastAsia"/>
          <w:bCs/>
          <w:color w:val="000000"/>
        </w:rPr>
        <w:t>年。第一届国民议会选举将于</w:t>
      </w:r>
      <w:r>
        <w:rPr>
          <w:rFonts w:hint="eastAsia"/>
          <w:bCs/>
          <w:color w:val="000000"/>
        </w:rPr>
        <w:t>2006</w:t>
      </w:r>
      <w:r>
        <w:rPr>
          <w:rFonts w:hint="eastAsia"/>
          <w:bCs/>
          <w:color w:val="000000"/>
        </w:rPr>
        <w:t>年进行。</w:t>
      </w:r>
    </w:p>
    <w:p w:rsidR="00692915" w:rsidRDefault="00692915">
      <w:pPr>
        <w:pStyle w:val="Heading5"/>
        <w:ind w:firstLineChars="0" w:firstLine="0"/>
        <w:rPr>
          <w:rFonts w:ascii="KaiTi_GB2312" w:eastAsia="KaiTi_GB2312" w:hint="eastAsia"/>
          <w:b w:val="0"/>
          <w:bCs/>
          <w:i w:val="0"/>
          <w:iCs/>
          <w:color w:val="000000"/>
          <w:lang w:eastAsia="zh-CN"/>
        </w:rPr>
      </w:pPr>
      <w:bookmarkStart w:id="306" w:name="_Toc135830100"/>
      <w:bookmarkStart w:id="307" w:name="_Toc150515108"/>
      <w:bookmarkStart w:id="308" w:name="_Toc150685031"/>
      <w:r>
        <w:rPr>
          <w:rFonts w:ascii="KaiTi_GB2312" w:eastAsia="KaiTi_GB2312"/>
          <w:b w:val="0"/>
          <w:bCs/>
          <w:i w:val="0"/>
          <w:iCs/>
          <w:color w:val="000000"/>
          <w:lang w:eastAsia="zh-CN"/>
        </w:rPr>
        <w:t>（d</w:t>
      </w:r>
      <w:bookmarkEnd w:id="306"/>
      <w:bookmarkEnd w:id="307"/>
      <w:bookmarkEnd w:id="308"/>
      <w:r>
        <w:rPr>
          <w:rFonts w:ascii="KaiTi_GB2312" w:eastAsia="KaiTi_GB2312"/>
          <w:b w:val="0"/>
          <w:bCs/>
          <w:i w:val="0"/>
          <w:iCs/>
          <w:color w:val="000000"/>
          <w:lang w:eastAsia="zh-CN"/>
        </w:rPr>
        <w:t>）</w:t>
      </w:r>
      <w:r>
        <w:rPr>
          <w:rFonts w:ascii="KaiTi_GB2312" w:eastAsia="KaiTi_GB2312" w:hint="eastAsia"/>
          <w:b w:val="0"/>
          <w:bCs/>
          <w:i w:val="0"/>
          <w:iCs/>
          <w:color w:val="000000"/>
          <w:lang w:eastAsia="zh-CN"/>
        </w:rPr>
        <w:t>承认的政党</w:t>
      </w:r>
    </w:p>
    <w:p w:rsidR="00692915" w:rsidRDefault="00692915">
      <w:pPr>
        <w:pStyle w:val="Heading2"/>
        <w:rPr>
          <w:rFonts w:hint="eastAsia"/>
          <w:color w:val="000000"/>
          <w:sz w:val="24"/>
        </w:rPr>
      </w:pPr>
      <w:bookmarkStart w:id="309" w:name="_Toc132732657"/>
      <w:r>
        <w:rPr>
          <w:rFonts w:hint="eastAsia"/>
          <w:color w:val="000000"/>
          <w:sz w:val="24"/>
        </w:rPr>
        <w:t>表</w:t>
      </w:r>
      <w:r>
        <w:rPr>
          <w:color w:val="000000"/>
          <w:sz w:val="24"/>
        </w:rPr>
        <w:t xml:space="preserve"> </w:t>
      </w:r>
      <w:r>
        <w:rPr>
          <w:noProof/>
          <w:color w:val="000000"/>
          <w:sz w:val="24"/>
        </w:rPr>
        <w:t>3</w:t>
      </w:r>
      <w:r>
        <w:rPr>
          <w:rFonts w:hint="eastAsia"/>
          <w:noProof/>
          <w:color w:val="000000"/>
          <w:sz w:val="24"/>
        </w:rPr>
        <w:br/>
      </w:r>
      <w:r>
        <w:rPr>
          <w:color w:val="000000"/>
          <w:sz w:val="24"/>
        </w:rPr>
        <w:t>2001</w:t>
      </w:r>
      <w:bookmarkEnd w:id="309"/>
      <w:r>
        <w:rPr>
          <w:rFonts w:hint="eastAsia"/>
          <w:color w:val="000000"/>
          <w:sz w:val="24"/>
        </w:rPr>
        <w:t>年正式承认的政党数量</w:t>
      </w:r>
    </w:p>
    <w:tbl>
      <w:tblPr>
        <w:tblW w:w="0" w:type="auto"/>
        <w:jc w:val="center"/>
        <w:tblInd w:w="-88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087"/>
      </w:tblGrid>
      <w:tr w:rsidR="00692915">
        <w:tblPrEx>
          <w:tblCellMar>
            <w:top w:w="0" w:type="dxa"/>
            <w:bottom w:w="0" w:type="dxa"/>
          </w:tblCellMar>
        </w:tblPrEx>
        <w:trPr>
          <w:jc w:val="center"/>
        </w:trPr>
        <w:tc>
          <w:tcPr>
            <w:tcW w:w="5087" w:type="dxa"/>
            <w:tcBorders>
              <w:bottom w:val="single" w:sz="4" w:space="0" w:color="auto"/>
            </w:tcBorders>
          </w:tcPr>
          <w:p w:rsidR="00692915" w:rsidRDefault="00692915">
            <w:pPr>
              <w:pStyle w:val="a3"/>
              <w:keepNext w:val="0"/>
              <w:keepLines w:val="0"/>
              <w:widowControl/>
              <w:overflowPunct w:val="0"/>
              <w:snapToGrid w:val="0"/>
              <w:spacing w:after="0"/>
              <w:textAlignment w:val="auto"/>
              <w:rPr>
                <w:rFonts w:ascii="Times New Roman" w:eastAsia="SimSun" w:hAnsi="Times New Roman" w:hint="eastAsia"/>
                <w:snapToGrid w:val="0"/>
                <w:color w:val="000000"/>
                <w:kern w:val="0"/>
              </w:rPr>
            </w:pPr>
            <w:r>
              <w:rPr>
                <w:rFonts w:ascii="Times New Roman" w:eastAsia="SimSun" w:hAnsi="Times New Roman" w:hint="eastAsia"/>
                <w:snapToGrid w:val="0"/>
                <w:color w:val="000000"/>
                <w:kern w:val="0"/>
              </w:rPr>
              <w:t>政党</w:t>
            </w:r>
          </w:p>
        </w:tc>
      </w:tr>
      <w:tr w:rsidR="00692915">
        <w:tblPrEx>
          <w:tblCellMar>
            <w:top w:w="0" w:type="dxa"/>
            <w:bottom w:w="0" w:type="dxa"/>
          </w:tblCellMar>
        </w:tblPrEx>
        <w:trPr>
          <w:jc w:val="center"/>
        </w:trPr>
        <w:tc>
          <w:tcPr>
            <w:tcW w:w="5087" w:type="dxa"/>
            <w:tcBorders>
              <w:top w:val="single" w:sz="4" w:space="0" w:color="auto"/>
              <w:bottom w:val="nil"/>
            </w:tcBorders>
          </w:tcPr>
          <w:p w:rsidR="00692915" w:rsidRDefault="00692915">
            <w:pPr>
              <w:spacing w:line="288" w:lineRule="auto"/>
              <w:ind w:firstLineChars="0" w:firstLine="0"/>
              <w:rPr>
                <w:rFonts w:hint="eastAsia"/>
                <w:color w:val="000000"/>
              </w:rPr>
            </w:pPr>
            <w:r>
              <w:rPr>
                <w:rFonts w:hint="eastAsia"/>
                <w:color w:val="000000"/>
              </w:rPr>
              <w:t>东帝汶独立革命阵线</w:t>
            </w:r>
          </w:p>
        </w:tc>
      </w:tr>
      <w:tr w:rsidR="00692915">
        <w:tblPrEx>
          <w:tblCellMar>
            <w:top w:w="0" w:type="dxa"/>
            <w:bottom w:w="0" w:type="dxa"/>
          </w:tblCellMar>
        </w:tblPrEx>
        <w:trPr>
          <w:jc w:val="center"/>
        </w:trPr>
        <w:tc>
          <w:tcPr>
            <w:tcW w:w="5087" w:type="dxa"/>
            <w:tcBorders>
              <w:top w:val="nil"/>
            </w:tcBorders>
          </w:tcPr>
          <w:p w:rsidR="00692915" w:rsidRDefault="00692915">
            <w:pPr>
              <w:spacing w:line="288" w:lineRule="auto"/>
              <w:ind w:firstLineChars="0" w:firstLine="0"/>
              <w:rPr>
                <w:rFonts w:hint="eastAsia"/>
                <w:color w:val="000000"/>
              </w:rPr>
            </w:pPr>
            <w:r>
              <w:rPr>
                <w:rFonts w:hint="eastAsia"/>
                <w:color w:val="000000"/>
              </w:rPr>
              <w:t>民主党</w:t>
            </w:r>
          </w:p>
        </w:tc>
      </w:tr>
      <w:tr w:rsidR="00692915">
        <w:tblPrEx>
          <w:tblCellMar>
            <w:top w:w="0" w:type="dxa"/>
            <w:bottom w:w="0" w:type="dxa"/>
          </w:tblCellMar>
        </w:tblPrEx>
        <w:trPr>
          <w:jc w:val="center"/>
        </w:trPr>
        <w:tc>
          <w:tcPr>
            <w:tcW w:w="5087" w:type="dxa"/>
          </w:tcPr>
          <w:p w:rsidR="00692915" w:rsidRDefault="00692915">
            <w:pPr>
              <w:spacing w:line="288" w:lineRule="auto"/>
              <w:ind w:firstLineChars="0" w:firstLine="0"/>
              <w:rPr>
                <w:rFonts w:hint="eastAsia"/>
                <w:color w:val="000000"/>
              </w:rPr>
            </w:pPr>
            <w:r>
              <w:rPr>
                <w:rFonts w:hint="eastAsia"/>
                <w:color w:val="000000"/>
              </w:rPr>
              <w:t>社会民主党</w:t>
            </w:r>
          </w:p>
        </w:tc>
      </w:tr>
      <w:tr w:rsidR="00692915">
        <w:tblPrEx>
          <w:tblCellMar>
            <w:top w:w="0" w:type="dxa"/>
            <w:bottom w:w="0" w:type="dxa"/>
          </w:tblCellMar>
        </w:tblPrEx>
        <w:trPr>
          <w:jc w:val="center"/>
        </w:trPr>
        <w:tc>
          <w:tcPr>
            <w:tcW w:w="5087" w:type="dxa"/>
          </w:tcPr>
          <w:p w:rsidR="00692915" w:rsidRDefault="00692915">
            <w:pPr>
              <w:spacing w:line="288" w:lineRule="auto"/>
              <w:ind w:firstLineChars="0" w:firstLine="0"/>
              <w:rPr>
                <w:rFonts w:hint="eastAsia"/>
                <w:color w:val="000000"/>
              </w:rPr>
            </w:pPr>
            <w:r>
              <w:rPr>
                <w:rFonts w:hint="eastAsia"/>
                <w:color w:val="000000"/>
              </w:rPr>
              <w:t>帝汶社会民主协会</w:t>
            </w:r>
          </w:p>
        </w:tc>
      </w:tr>
      <w:tr w:rsidR="00692915">
        <w:tblPrEx>
          <w:tblCellMar>
            <w:top w:w="0" w:type="dxa"/>
            <w:bottom w:w="0" w:type="dxa"/>
          </w:tblCellMar>
        </w:tblPrEx>
        <w:trPr>
          <w:jc w:val="center"/>
        </w:trPr>
        <w:tc>
          <w:tcPr>
            <w:tcW w:w="5087" w:type="dxa"/>
          </w:tcPr>
          <w:p w:rsidR="00692915" w:rsidRDefault="00692915">
            <w:pPr>
              <w:spacing w:line="288" w:lineRule="auto"/>
              <w:ind w:firstLineChars="0" w:firstLine="0"/>
              <w:rPr>
                <w:rFonts w:hint="eastAsia"/>
                <w:color w:val="000000"/>
              </w:rPr>
            </w:pPr>
            <w:r>
              <w:rPr>
                <w:rFonts w:hint="eastAsia"/>
                <w:color w:val="000000"/>
              </w:rPr>
              <w:t>英雄党</w:t>
            </w:r>
          </w:p>
        </w:tc>
      </w:tr>
      <w:tr w:rsidR="00692915">
        <w:tblPrEx>
          <w:tblCellMar>
            <w:top w:w="0" w:type="dxa"/>
            <w:bottom w:w="0" w:type="dxa"/>
          </w:tblCellMar>
        </w:tblPrEx>
        <w:trPr>
          <w:jc w:val="center"/>
        </w:trPr>
        <w:tc>
          <w:tcPr>
            <w:tcW w:w="5087" w:type="dxa"/>
          </w:tcPr>
          <w:p w:rsidR="00692915" w:rsidRDefault="00692915">
            <w:pPr>
              <w:spacing w:line="288" w:lineRule="auto"/>
              <w:ind w:firstLineChars="0" w:firstLine="0"/>
              <w:rPr>
                <w:rFonts w:hint="eastAsia"/>
                <w:color w:val="000000"/>
              </w:rPr>
            </w:pPr>
            <w:r>
              <w:rPr>
                <w:rFonts w:hint="eastAsia"/>
                <w:color w:val="000000"/>
              </w:rPr>
              <w:t>全国工党</w:t>
            </w:r>
          </w:p>
        </w:tc>
      </w:tr>
      <w:tr w:rsidR="00692915">
        <w:tblPrEx>
          <w:tblCellMar>
            <w:top w:w="0" w:type="dxa"/>
            <w:bottom w:w="0" w:type="dxa"/>
          </w:tblCellMar>
        </w:tblPrEx>
        <w:trPr>
          <w:jc w:val="center"/>
        </w:trPr>
        <w:tc>
          <w:tcPr>
            <w:tcW w:w="5087" w:type="dxa"/>
          </w:tcPr>
          <w:p w:rsidR="00692915" w:rsidRDefault="00692915">
            <w:pPr>
              <w:spacing w:line="288" w:lineRule="auto"/>
              <w:ind w:firstLineChars="0" w:firstLine="0"/>
              <w:rPr>
                <w:rFonts w:hint="eastAsia"/>
                <w:color w:val="000000"/>
              </w:rPr>
            </w:pPr>
            <w:r>
              <w:rPr>
                <w:rFonts w:hint="eastAsia"/>
                <w:color w:val="000000"/>
              </w:rPr>
              <w:t>帝汶民主联盟</w:t>
            </w:r>
          </w:p>
        </w:tc>
      </w:tr>
      <w:tr w:rsidR="00692915">
        <w:tblPrEx>
          <w:tblCellMar>
            <w:top w:w="0" w:type="dxa"/>
            <w:bottom w:w="0" w:type="dxa"/>
          </w:tblCellMar>
        </w:tblPrEx>
        <w:trPr>
          <w:jc w:val="center"/>
        </w:trPr>
        <w:tc>
          <w:tcPr>
            <w:tcW w:w="5087" w:type="dxa"/>
          </w:tcPr>
          <w:p w:rsidR="00692915" w:rsidRDefault="00692915">
            <w:pPr>
              <w:spacing w:line="288" w:lineRule="auto"/>
              <w:ind w:firstLineChars="0" w:firstLine="0"/>
              <w:rPr>
                <w:rFonts w:hint="eastAsia"/>
                <w:color w:val="000000"/>
              </w:rPr>
            </w:pPr>
            <w:r>
              <w:rPr>
                <w:rFonts w:hint="eastAsia"/>
                <w:color w:val="000000"/>
              </w:rPr>
              <w:t>基督教民主党</w:t>
            </w:r>
          </w:p>
        </w:tc>
      </w:tr>
      <w:tr w:rsidR="00692915">
        <w:tblPrEx>
          <w:tblCellMar>
            <w:top w:w="0" w:type="dxa"/>
            <w:bottom w:w="0" w:type="dxa"/>
          </w:tblCellMar>
        </w:tblPrEx>
        <w:trPr>
          <w:jc w:val="center"/>
        </w:trPr>
        <w:tc>
          <w:tcPr>
            <w:tcW w:w="5087" w:type="dxa"/>
          </w:tcPr>
          <w:p w:rsidR="00692915" w:rsidRDefault="00692915">
            <w:pPr>
              <w:spacing w:line="288" w:lineRule="auto"/>
              <w:ind w:firstLineChars="0" w:firstLine="0"/>
              <w:rPr>
                <w:rFonts w:hint="eastAsia"/>
                <w:color w:val="000000"/>
              </w:rPr>
            </w:pPr>
            <w:r>
              <w:rPr>
                <w:rFonts w:hint="eastAsia"/>
                <w:color w:val="000000"/>
              </w:rPr>
              <w:t>帝汶人民党</w:t>
            </w:r>
          </w:p>
        </w:tc>
      </w:tr>
      <w:tr w:rsidR="00692915">
        <w:tblPrEx>
          <w:tblCellMar>
            <w:top w:w="0" w:type="dxa"/>
            <w:bottom w:w="0" w:type="dxa"/>
          </w:tblCellMar>
        </w:tblPrEx>
        <w:trPr>
          <w:jc w:val="center"/>
        </w:trPr>
        <w:tc>
          <w:tcPr>
            <w:tcW w:w="5087" w:type="dxa"/>
          </w:tcPr>
          <w:p w:rsidR="00692915" w:rsidRDefault="00692915">
            <w:pPr>
              <w:spacing w:line="288" w:lineRule="auto"/>
              <w:ind w:firstLineChars="0" w:firstLine="0"/>
              <w:rPr>
                <w:rFonts w:hint="eastAsia"/>
                <w:color w:val="000000"/>
              </w:rPr>
            </w:pPr>
            <w:r>
              <w:rPr>
                <w:rFonts w:hint="eastAsia"/>
                <w:color w:val="000000"/>
              </w:rPr>
              <w:t>基督教民主联盟</w:t>
            </w:r>
            <w:r>
              <w:rPr>
                <w:rFonts w:hint="eastAsia"/>
                <w:color w:val="000000"/>
              </w:rPr>
              <w:t>/</w:t>
            </w:r>
            <w:r>
              <w:rPr>
                <w:rFonts w:hint="eastAsia"/>
                <w:color w:val="000000"/>
              </w:rPr>
              <w:t>基督教民主党</w:t>
            </w:r>
          </w:p>
        </w:tc>
      </w:tr>
      <w:tr w:rsidR="00692915">
        <w:tblPrEx>
          <w:tblCellMar>
            <w:top w:w="0" w:type="dxa"/>
            <w:bottom w:w="0" w:type="dxa"/>
          </w:tblCellMar>
        </w:tblPrEx>
        <w:trPr>
          <w:jc w:val="center"/>
        </w:trPr>
        <w:tc>
          <w:tcPr>
            <w:tcW w:w="5087" w:type="dxa"/>
          </w:tcPr>
          <w:p w:rsidR="00692915" w:rsidRDefault="00692915">
            <w:pPr>
              <w:spacing w:line="288" w:lineRule="auto"/>
              <w:ind w:firstLineChars="0" w:firstLine="0"/>
              <w:rPr>
                <w:rFonts w:hint="eastAsia"/>
                <w:color w:val="000000"/>
              </w:rPr>
            </w:pPr>
            <w:r>
              <w:rPr>
                <w:rFonts w:hint="eastAsia"/>
                <w:color w:val="000000"/>
              </w:rPr>
              <w:t>帝汶社会党</w:t>
            </w:r>
          </w:p>
        </w:tc>
      </w:tr>
      <w:tr w:rsidR="00692915">
        <w:tblPrEx>
          <w:tblCellMar>
            <w:top w:w="0" w:type="dxa"/>
            <w:bottom w:w="0" w:type="dxa"/>
          </w:tblCellMar>
        </w:tblPrEx>
        <w:trPr>
          <w:jc w:val="center"/>
        </w:trPr>
        <w:tc>
          <w:tcPr>
            <w:tcW w:w="5087" w:type="dxa"/>
          </w:tcPr>
          <w:p w:rsidR="00692915" w:rsidRDefault="00692915">
            <w:pPr>
              <w:spacing w:line="288" w:lineRule="auto"/>
              <w:ind w:firstLineChars="0" w:firstLine="0"/>
              <w:rPr>
                <w:rFonts w:hint="eastAsia"/>
                <w:color w:val="000000"/>
              </w:rPr>
            </w:pPr>
            <w:r>
              <w:rPr>
                <w:rFonts w:hint="eastAsia"/>
                <w:color w:val="000000"/>
              </w:rPr>
              <w:t>自由党</w:t>
            </w:r>
          </w:p>
        </w:tc>
      </w:tr>
      <w:tr w:rsidR="00692915">
        <w:tblPrEx>
          <w:tblCellMar>
            <w:top w:w="0" w:type="dxa"/>
            <w:bottom w:w="0" w:type="dxa"/>
          </w:tblCellMar>
        </w:tblPrEx>
        <w:trPr>
          <w:jc w:val="center"/>
        </w:trPr>
        <w:tc>
          <w:tcPr>
            <w:tcW w:w="5087" w:type="dxa"/>
          </w:tcPr>
          <w:p w:rsidR="00692915" w:rsidRDefault="00692915">
            <w:pPr>
              <w:spacing w:line="288" w:lineRule="auto"/>
              <w:ind w:firstLineChars="0" w:firstLine="0"/>
              <w:rPr>
                <w:rFonts w:hint="eastAsia"/>
                <w:color w:val="000000"/>
              </w:rPr>
            </w:pPr>
            <w:r>
              <w:rPr>
                <w:rFonts w:hint="eastAsia"/>
                <w:color w:val="000000"/>
              </w:rPr>
              <w:t>毛贝雷民主党</w:t>
            </w:r>
          </w:p>
        </w:tc>
      </w:tr>
      <w:tr w:rsidR="00692915">
        <w:tblPrEx>
          <w:tblCellMar>
            <w:top w:w="0" w:type="dxa"/>
            <w:bottom w:w="0" w:type="dxa"/>
          </w:tblCellMar>
        </w:tblPrEx>
        <w:trPr>
          <w:jc w:val="center"/>
        </w:trPr>
        <w:tc>
          <w:tcPr>
            <w:tcW w:w="5087" w:type="dxa"/>
          </w:tcPr>
          <w:p w:rsidR="00692915" w:rsidRDefault="00692915">
            <w:pPr>
              <w:spacing w:line="288" w:lineRule="auto"/>
              <w:ind w:firstLineChars="0" w:firstLine="0"/>
              <w:rPr>
                <w:rFonts w:hint="eastAsia"/>
                <w:color w:val="000000"/>
              </w:rPr>
            </w:pPr>
            <w:r>
              <w:rPr>
                <w:rFonts w:hint="eastAsia"/>
                <w:color w:val="000000"/>
              </w:rPr>
              <w:t>帝汶工党</w:t>
            </w:r>
          </w:p>
        </w:tc>
      </w:tr>
      <w:tr w:rsidR="00692915">
        <w:tblPrEx>
          <w:tblCellMar>
            <w:top w:w="0" w:type="dxa"/>
            <w:bottom w:w="0" w:type="dxa"/>
          </w:tblCellMar>
        </w:tblPrEx>
        <w:trPr>
          <w:jc w:val="center"/>
        </w:trPr>
        <w:tc>
          <w:tcPr>
            <w:tcW w:w="5087" w:type="dxa"/>
          </w:tcPr>
          <w:p w:rsidR="00692915" w:rsidRDefault="00692915">
            <w:pPr>
              <w:spacing w:line="288" w:lineRule="auto"/>
              <w:ind w:firstLineChars="0" w:firstLine="0"/>
              <w:rPr>
                <w:rFonts w:hint="eastAsia"/>
                <w:color w:val="000000"/>
              </w:rPr>
            </w:pPr>
            <w:r>
              <w:rPr>
                <w:rFonts w:hint="eastAsia"/>
                <w:color w:val="000000"/>
              </w:rPr>
              <w:t>帝汶人民民主协会</w:t>
            </w:r>
          </w:p>
        </w:tc>
      </w:tr>
      <w:tr w:rsidR="00692915">
        <w:tblPrEx>
          <w:tblCellMar>
            <w:top w:w="0" w:type="dxa"/>
            <w:bottom w:w="0" w:type="dxa"/>
          </w:tblCellMar>
        </w:tblPrEx>
        <w:trPr>
          <w:jc w:val="center"/>
        </w:trPr>
        <w:tc>
          <w:tcPr>
            <w:tcW w:w="5087" w:type="dxa"/>
          </w:tcPr>
          <w:p w:rsidR="00692915" w:rsidRDefault="00692915">
            <w:pPr>
              <w:spacing w:line="288" w:lineRule="auto"/>
              <w:ind w:firstLineChars="0" w:firstLine="0"/>
              <w:rPr>
                <w:rFonts w:hint="eastAsia"/>
                <w:color w:val="000000"/>
              </w:rPr>
            </w:pPr>
            <w:r>
              <w:rPr>
                <w:rFonts w:hint="eastAsia"/>
                <w:color w:val="000000"/>
              </w:rPr>
              <w:t>东帝汶全国共和党</w:t>
            </w:r>
          </w:p>
        </w:tc>
      </w:tr>
    </w:tbl>
    <w:p w:rsidR="00692915" w:rsidRDefault="00692915">
      <w:pPr>
        <w:pStyle w:val="Heading5"/>
        <w:spacing w:beforeLines="50" w:before="180"/>
        <w:ind w:firstLineChars="0" w:firstLine="0"/>
        <w:rPr>
          <w:rFonts w:ascii="KaiTi_GB2312" w:eastAsia="KaiTi_GB2312" w:hint="eastAsia"/>
          <w:b w:val="0"/>
          <w:bCs/>
          <w:i w:val="0"/>
          <w:iCs/>
          <w:color w:val="000000"/>
          <w:lang w:eastAsia="zh-CN"/>
        </w:rPr>
      </w:pPr>
      <w:bookmarkStart w:id="310" w:name="_Toc132732245"/>
      <w:bookmarkStart w:id="311" w:name="_Toc135830101"/>
      <w:bookmarkStart w:id="312" w:name="_Toc150515109"/>
      <w:bookmarkStart w:id="313" w:name="_Toc150685032"/>
      <w:r>
        <w:rPr>
          <w:rFonts w:ascii="KaiTi_GB2312" w:eastAsia="KaiTi_GB2312"/>
          <w:b w:val="0"/>
          <w:bCs/>
          <w:i w:val="0"/>
          <w:iCs/>
          <w:color w:val="000000"/>
          <w:lang w:eastAsia="zh-CN"/>
        </w:rPr>
        <w:t>（e</w:t>
      </w:r>
      <w:bookmarkEnd w:id="310"/>
      <w:bookmarkEnd w:id="311"/>
      <w:bookmarkEnd w:id="312"/>
      <w:bookmarkEnd w:id="313"/>
      <w:r>
        <w:rPr>
          <w:rFonts w:ascii="KaiTi_GB2312" w:eastAsia="KaiTi_GB2312"/>
          <w:b w:val="0"/>
          <w:bCs/>
          <w:i w:val="0"/>
          <w:iCs/>
          <w:color w:val="000000"/>
          <w:lang w:eastAsia="zh-CN"/>
        </w:rPr>
        <w:t>）</w:t>
      </w:r>
      <w:r>
        <w:rPr>
          <w:rFonts w:ascii="KaiTi_GB2312" w:eastAsia="KaiTi_GB2312" w:hint="eastAsia"/>
          <w:b w:val="0"/>
          <w:bCs/>
          <w:i w:val="0"/>
          <w:iCs/>
          <w:color w:val="000000"/>
          <w:lang w:eastAsia="zh-CN"/>
        </w:rPr>
        <w:t>立法席位在不同党派中的分布情况</w:t>
      </w:r>
    </w:p>
    <w:p w:rsidR="00692915" w:rsidRDefault="00692915">
      <w:pPr>
        <w:pStyle w:val="Heading2"/>
        <w:spacing w:before="240"/>
        <w:rPr>
          <w:rFonts w:hint="eastAsia"/>
          <w:color w:val="000000"/>
          <w:sz w:val="24"/>
        </w:rPr>
      </w:pPr>
      <w:bookmarkStart w:id="314" w:name="_Toc132732658"/>
      <w:r>
        <w:rPr>
          <w:rFonts w:hint="eastAsia"/>
          <w:color w:val="000000"/>
          <w:sz w:val="24"/>
        </w:rPr>
        <w:t>表</w:t>
      </w:r>
      <w:r>
        <w:rPr>
          <w:color w:val="000000"/>
          <w:sz w:val="24"/>
        </w:rPr>
        <w:t xml:space="preserve"> </w:t>
      </w:r>
      <w:r>
        <w:rPr>
          <w:noProof/>
          <w:color w:val="000000"/>
          <w:sz w:val="24"/>
        </w:rPr>
        <w:t>4</w:t>
      </w:r>
      <w:r>
        <w:rPr>
          <w:rFonts w:hint="eastAsia"/>
          <w:noProof/>
          <w:color w:val="000000"/>
          <w:sz w:val="24"/>
        </w:rPr>
        <w:br/>
      </w:r>
      <w:bookmarkEnd w:id="314"/>
      <w:r>
        <w:rPr>
          <w:rFonts w:hint="eastAsia"/>
          <w:color w:val="000000"/>
          <w:sz w:val="24"/>
        </w:rPr>
        <w:t>不同政党在国家立法机构中的席位</w:t>
      </w:r>
    </w:p>
    <w:tbl>
      <w:tblPr>
        <w:tblW w:w="0" w:type="auto"/>
        <w:jc w:val="center"/>
        <w:tblInd w:w="-1815"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4495"/>
        <w:gridCol w:w="2990"/>
      </w:tblGrid>
      <w:tr w:rsidR="00692915">
        <w:tblPrEx>
          <w:tblCellMar>
            <w:top w:w="0" w:type="dxa"/>
            <w:bottom w:w="0" w:type="dxa"/>
          </w:tblCellMar>
        </w:tblPrEx>
        <w:trPr>
          <w:jc w:val="center"/>
        </w:trPr>
        <w:tc>
          <w:tcPr>
            <w:tcW w:w="4495" w:type="dxa"/>
            <w:tcBorders>
              <w:bottom w:val="single" w:sz="4" w:space="0" w:color="auto"/>
            </w:tcBorders>
          </w:tcPr>
          <w:p w:rsidR="00692915" w:rsidRDefault="00692915">
            <w:pPr>
              <w:ind w:firstLineChars="0" w:firstLine="0"/>
              <w:jc w:val="center"/>
              <w:rPr>
                <w:rFonts w:hint="eastAsia"/>
                <w:color w:val="000000"/>
              </w:rPr>
            </w:pPr>
            <w:r>
              <w:rPr>
                <w:rFonts w:hint="eastAsia"/>
                <w:color w:val="000000"/>
              </w:rPr>
              <w:t>党派</w:t>
            </w:r>
          </w:p>
        </w:tc>
        <w:tc>
          <w:tcPr>
            <w:tcW w:w="2990" w:type="dxa"/>
            <w:tcBorders>
              <w:bottom w:val="single" w:sz="4" w:space="0" w:color="auto"/>
            </w:tcBorders>
          </w:tcPr>
          <w:p w:rsidR="00692915" w:rsidRDefault="00692915">
            <w:pPr>
              <w:ind w:firstLineChars="0" w:firstLine="0"/>
              <w:jc w:val="center"/>
              <w:rPr>
                <w:rFonts w:hint="eastAsia"/>
                <w:color w:val="000000"/>
              </w:rPr>
            </w:pPr>
            <w:r>
              <w:rPr>
                <w:rFonts w:hint="eastAsia"/>
                <w:color w:val="000000"/>
              </w:rPr>
              <w:t>在立法机关中的席位</w:t>
            </w:r>
          </w:p>
        </w:tc>
      </w:tr>
      <w:tr w:rsidR="00692915">
        <w:tblPrEx>
          <w:tblCellMar>
            <w:top w:w="0" w:type="dxa"/>
            <w:bottom w:w="0" w:type="dxa"/>
          </w:tblCellMar>
        </w:tblPrEx>
        <w:trPr>
          <w:jc w:val="center"/>
        </w:trPr>
        <w:tc>
          <w:tcPr>
            <w:tcW w:w="4495" w:type="dxa"/>
            <w:tcBorders>
              <w:top w:val="single" w:sz="4" w:space="0" w:color="auto"/>
              <w:bottom w:val="nil"/>
            </w:tcBorders>
          </w:tcPr>
          <w:p w:rsidR="00692915" w:rsidRDefault="00692915">
            <w:pPr>
              <w:ind w:firstLineChars="0" w:firstLine="0"/>
              <w:rPr>
                <w:rFonts w:hint="eastAsia"/>
                <w:color w:val="000000"/>
              </w:rPr>
            </w:pPr>
            <w:r>
              <w:rPr>
                <w:rFonts w:hint="eastAsia"/>
                <w:color w:val="000000"/>
              </w:rPr>
              <w:t>东帝汶独立革命阵线</w:t>
            </w:r>
          </w:p>
        </w:tc>
        <w:tc>
          <w:tcPr>
            <w:tcW w:w="2990" w:type="dxa"/>
            <w:tcBorders>
              <w:top w:val="single" w:sz="4" w:space="0" w:color="auto"/>
              <w:bottom w:val="nil"/>
            </w:tcBorders>
          </w:tcPr>
          <w:p w:rsidR="00692915" w:rsidRDefault="00692915">
            <w:pPr>
              <w:ind w:right="1134" w:firstLineChars="0" w:firstLine="0"/>
              <w:jc w:val="right"/>
              <w:rPr>
                <w:color w:val="000000"/>
              </w:rPr>
            </w:pPr>
            <w:r>
              <w:rPr>
                <w:color w:val="000000"/>
              </w:rPr>
              <w:t>55</w:t>
            </w:r>
          </w:p>
        </w:tc>
      </w:tr>
      <w:tr w:rsidR="00692915">
        <w:tblPrEx>
          <w:tblCellMar>
            <w:top w:w="0" w:type="dxa"/>
            <w:bottom w:w="0" w:type="dxa"/>
          </w:tblCellMar>
        </w:tblPrEx>
        <w:trPr>
          <w:jc w:val="center"/>
        </w:trPr>
        <w:tc>
          <w:tcPr>
            <w:tcW w:w="4495" w:type="dxa"/>
            <w:tcBorders>
              <w:top w:val="nil"/>
            </w:tcBorders>
          </w:tcPr>
          <w:p w:rsidR="00692915" w:rsidRDefault="00692915">
            <w:pPr>
              <w:ind w:firstLineChars="0" w:firstLine="0"/>
              <w:rPr>
                <w:rFonts w:hint="eastAsia"/>
                <w:color w:val="000000"/>
              </w:rPr>
            </w:pPr>
            <w:r>
              <w:rPr>
                <w:rFonts w:hint="eastAsia"/>
                <w:color w:val="000000"/>
              </w:rPr>
              <w:t>民主党</w:t>
            </w:r>
          </w:p>
        </w:tc>
        <w:tc>
          <w:tcPr>
            <w:tcW w:w="2990" w:type="dxa"/>
            <w:tcBorders>
              <w:top w:val="nil"/>
            </w:tcBorders>
          </w:tcPr>
          <w:p w:rsidR="00692915" w:rsidRDefault="00692915">
            <w:pPr>
              <w:ind w:right="1134" w:firstLineChars="0" w:firstLine="0"/>
              <w:jc w:val="right"/>
              <w:rPr>
                <w:color w:val="000000"/>
              </w:rPr>
            </w:pPr>
            <w:r>
              <w:rPr>
                <w:color w:val="000000"/>
              </w:rPr>
              <w:t>7</w:t>
            </w:r>
          </w:p>
        </w:tc>
      </w:tr>
      <w:tr w:rsidR="00692915">
        <w:tblPrEx>
          <w:tblCellMar>
            <w:top w:w="0" w:type="dxa"/>
            <w:bottom w:w="0" w:type="dxa"/>
          </w:tblCellMar>
        </w:tblPrEx>
        <w:trPr>
          <w:jc w:val="center"/>
        </w:trPr>
        <w:tc>
          <w:tcPr>
            <w:tcW w:w="4495" w:type="dxa"/>
          </w:tcPr>
          <w:p w:rsidR="00692915" w:rsidRDefault="00692915">
            <w:pPr>
              <w:ind w:firstLineChars="0" w:firstLine="0"/>
              <w:rPr>
                <w:rFonts w:hint="eastAsia"/>
                <w:color w:val="000000"/>
              </w:rPr>
            </w:pPr>
            <w:r>
              <w:rPr>
                <w:rFonts w:hint="eastAsia"/>
                <w:color w:val="000000"/>
              </w:rPr>
              <w:t>社会民主党</w:t>
            </w:r>
          </w:p>
        </w:tc>
        <w:tc>
          <w:tcPr>
            <w:tcW w:w="2990" w:type="dxa"/>
          </w:tcPr>
          <w:p w:rsidR="00692915" w:rsidRDefault="00692915">
            <w:pPr>
              <w:ind w:right="1134" w:firstLineChars="0" w:firstLine="0"/>
              <w:jc w:val="right"/>
              <w:rPr>
                <w:color w:val="000000"/>
              </w:rPr>
            </w:pPr>
            <w:r>
              <w:rPr>
                <w:color w:val="000000"/>
              </w:rPr>
              <w:t>6</w:t>
            </w:r>
          </w:p>
        </w:tc>
      </w:tr>
      <w:tr w:rsidR="00692915">
        <w:tblPrEx>
          <w:tblCellMar>
            <w:top w:w="0" w:type="dxa"/>
            <w:bottom w:w="0" w:type="dxa"/>
          </w:tblCellMar>
        </w:tblPrEx>
        <w:trPr>
          <w:jc w:val="center"/>
        </w:trPr>
        <w:tc>
          <w:tcPr>
            <w:tcW w:w="4495" w:type="dxa"/>
          </w:tcPr>
          <w:p w:rsidR="00692915" w:rsidRDefault="00692915">
            <w:pPr>
              <w:ind w:firstLineChars="0" w:firstLine="0"/>
              <w:rPr>
                <w:rFonts w:hint="eastAsia"/>
                <w:color w:val="000000"/>
              </w:rPr>
            </w:pPr>
            <w:r>
              <w:rPr>
                <w:rFonts w:hint="eastAsia"/>
                <w:color w:val="000000"/>
              </w:rPr>
              <w:t>帝汶社会民主协会</w:t>
            </w:r>
          </w:p>
        </w:tc>
        <w:tc>
          <w:tcPr>
            <w:tcW w:w="2990" w:type="dxa"/>
          </w:tcPr>
          <w:p w:rsidR="00692915" w:rsidRDefault="00692915">
            <w:pPr>
              <w:ind w:right="1134" w:firstLineChars="0" w:firstLine="0"/>
              <w:jc w:val="right"/>
              <w:rPr>
                <w:color w:val="000000"/>
              </w:rPr>
            </w:pPr>
            <w:r>
              <w:rPr>
                <w:color w:val="000000"/>
              </w:rPr>
              <w:t>6</w:t>
            </w:r>
          </w:p>
        </w:tc>
      </w:tr>
      <w:tr w:rsidR="00692915">
        <w:tblPrEx>
          <w:tblCellMar>
            <w:top w:w="0" w:type="dxa"/>
            <w:bottom w:w="0" w:type="dxa"/>
          </w:tblCellMar>
        </w:tblPrEx>
        <w:trPr>
          <w:jc w:val="center"/>
        </w:trPr>
        <w:tc>
          <w:tcPr>
            <w:tcW w:w="4495" w:type="dxa"/>
          </w:tcPr>
          <w:p w:rsidR="00692915" w:rsidRDefault="00692915">
            <w:pPr>
              <w:ind w:firstLineChars="0" w:firstLine="0"/>
              <w:rPr>
                <w:rFonts w:hint="eastAsia"/>
                <w:color w:val="000000"/>
              </w:rPr>
            </w:pPr>
            <w:r>
              <w:rPr>
                <w:rFonts w:hint="eastAsia"/>
                <w:color w:val="000000"/>
              </w:rPr>
              <w:t>英雄党</w:t>
            </w:r>
          </w:p>
        </w:tc>
        <w:tc>
          <w:tcPr>
            <w:tcW w:w="2990" w:type="dxa"/>
          </w:tcPr>
          <w:p w:rsidR="00692915" w:rsidRDefault="00692915">
            <w:pPr>
              <w:ind w:right="1134" w:firstLineChars="0" w:firstLine="0"/>
              <w:jc w:val="right"/>
              <w:rPr>
                <w:color w:val="000000"/>
              </w:rPr>
            </w:pPr>
            <w:r>
              <w:rPr>
                <w:color w:val="000000"/>
              </w:rPr>
              <w:t>2</w:t>
            </w:r>
          </w:p>
        </w:tc>
      </w:tr>
      <w:tr w:rsidR="00692915">
        <w:tblPrEx>
          <w:tblCellMar>
            <w:top w:w="0" w:type="dxa"/>
            <w:bottom w:w="0" w:type="dxa"/>
          </w:tblCellMar>
        </w:tblPrEx>
        <w:trPr>
          <w:jc w:val="center"/>
        </w:trPr>
        <w:tc>
          <w:tcPr>
            <w:tcW w:w="4495" w:type="dxa"/>
          </w:tcPr>
          <w:p w:rsidR="00692915" w:rsidRDefault="00692915">
            <w:pPr>
              <w:ind w:firstLineChars="0" w:firstLine="0"/>
              <w:rPr>
                <w:color w:val="000000"/>
              </w:rPr>
            </w:pPr>
            <w:r>
              <w:rPr>
                <w:rFonts w:hint="eastAsia"/>
                <w:color w:val="000000"/>
              </w:rPr>
              <w:t>基督教民主党</w:t>
            </w:r>
          </w:p>
        </w:tc>
        <w:tc>
          <w:tcPr>
            <w:tcW w:w="2990" w:type="dxa"/>
          </w:tcPr>
          <w:p w:rsidR="00692915" w:rsidRDefault="00692915">
            <w:pPr>
              <w:ind w:right="1134" w:firstLineChars="0" w:firstLine="0"/>
              <w:jc w:val="right"/>
              <w:rPr>
                <w:color w:val="000000"/>
              </w:rPr>
            </w:pPr>
            <w:r>
              <w:rPr>
                <w:color w:val="000000"/>
              </w:rPr>
              <w:t>2</w:t>
            </w:r>
          </w:p>
        </w:tc>
      </w:tr>
      <w:tr w:rsidR="00692915">
        <w:tblPrEx>
          <w:tblCellMar>
            <w:top w:w="0" w:type="dxa"/>
            <w:bottom w:w="0" w:type="dxa"/>
          </w:tblCellMar>
        </w:tblPrEx>
        <w:trPr>
          <w:jc w:val="center"/>
        </w:trPr>
        <w:tc>
          <w:tcPr>
            <w:tcW w:w="4495" w:type="dxa"/>
          </w:tcPr>
          <w:p w:rsidR="00692915" w:rsidRDefault="00692915">
            <w:pPr>
              <w:tabs>
                <w:tab w:val="center" w:pos="1151"/>
              </w:tabs>
              <w:ind w:firstLineChars="0" w:firstLine="0"/>
              <w:rPr>
                <w:color w:val="000000"/>
              </w:rPr>
            </w:pPr>
            <w:r>
              <w:rPr>
                <w:rFonts w:hint="eastAsia"/>
                <w:color w:val="000000"/>
              </w:rPr>
              <w:t>全国工党</w:t>
            </w:r>
          </w:p>
        </w:tc>
        <w:tc>
          <w:tcPr>
            <w:tcW w:w="2990" w:type="dxa"/>
          </w:tcPr>
          <w:p w:rsidR="00692915" w:rsidRDefault="00692915">
            <w:pPr>
              <w:ind w:right="1134" w:firstLineChars="0" w:firstLine="0"/>
              <w:jc w:val="right"/>
              <w:rPr>
                <w:color w:val="000000"/>
              </w:rPr>
            </w:pPr>
            <w:r>
              <w:rPr>
                <w:color w:val="000000"/>
              </w:rPr>
              <w:t>2</w:t>
            </w:r>
          </w:p>
        </w:tc>
      </w:tr>
      <w:tr w:rsidR="00692915">
        <w:tblPrEx>
          <w:tblCellMar>
            <w:top w:w="0" w:type="dxa"/>
            <w:bottom w:w="0" w:type="dxa"/>
          </w:tblCellMar>
        </w:tblPrEx>
        <w:trPr>
          <w:jc w:val="center"/>
        </w:trPr>
        <w:tc>
          <w:tcPr>
            <w:tcW w:w="4495" w:type="dxa"/>
          </w:tcPr>
          <w:p w:rsidR="00692915" w:rsidRDefault="00692915">
            <w:pPr>
              <w:ind w:firstLineChars="0" w:firstLine="0"/>
              <w:rPr>
                <w:color w:val="000000"/>
              </w:rPr>
            </w:pPr>
            <w:r>
              <w:rPr>
                <w:rFonts w:hint="eastAsia"/>
                <w:color w:val="000000"/>
              </w:rPr>
              <w:t>帝汶人民党</w:t>
            </w:r>
          </w:p>
        </w:tc>
        <w:tc>
          <w:tcPr>
            <w:tcW w:w="2990" w:type="dxa"/>
          </w:tcPr>
          <w:p w:rsidR="00692915" w:rsidRDefault="00692915">
            <w:pPr>
              <w:ind w:right="1134" w:firstLineChars="0" w:firstLine="0"/>
              <w:jc w:val="right"/>
              <w:rPr>
                <w:color w:val="000000"/>
              </w:rPr>
            </w:pPr>
            <w:r>
              <w:rPr>
                <w:color w:val="000000"/>
              </w:rPr>
              <w:t>2</w:t>
            </w:r>
          </w:p>
        </w:tc>
      </w:tr>
      <w:tr w:rsidR="00692915">
        <w:tblPrEx>
          <w:tblCellMar>
            <w:top w:w="0" w:type="dxa"/>
            <w:bottom w:w="0" w:type="dxa"/>
          </w:tblCellMar>
        </w:tblPrEx>
        <w:trPr>
          <w:jc w:val="center"/>
        </w:trPr>
        <w:tc>
          <w:tcPr>
            <w:tcW w:w="4495" w:type="dxa"/>
          </w:tcPr>
          <w:p w:rsidR="00692915" w:rsidRDefault="00692915">
            <w:pPr>
              <w:ind w:firstLineChars="0" w:firstLine="0"/>
              <w:rPr>
                <w:color w:val="000000"/>
              </w:rPr>
            </w:pPr>
            <w:r>
              <w:rPr>
                <w:rFonts w:hint="eastAsia"/>
                <w:color w:val="000000"/>
              </w:rPr>
              <w:t>帝汶民主联盟</w:t>
            </w:r>
          </w:p>
        </w:tc>
        <w:tc>
          <w:tcPr>
            <w:tcW w:w="2990" w:type="dxa"/>
          </w:tcPr>
          <w:p w:rsidR="00692915" w:rsidRDefault="00692915">
            <w:pPr>
              <w:ind w:right="1134" w:firstLineChars="0" w:firstLine="0"/>
              <w:jc w:val="right"/>
              <w:rPr>
                <w:color w:val="000000"/>
              </w:rPr>
            </w:pPr>
            <w:r>
              <w:rPr>
                <w:color w:val="000000"/>
              </w:rPr>
              <w:t>2</w:t>
            </w:r>
          </w:p>
        </w:tc>
      </w:tr>
      <w:tr w:rsidR="00692915">
        <w:tblPrEx>
          <w:tblCellMar>
            <w:top w:w="0" w:type="dxa"/>
            <w:bottom w:w="0" w:type="dxa"/>
          </w:tblCellMar>
        </w:tblPrEx>
        <w:trPr>
          <w:jc w:val="center"/>
        </w:trPr>
        <w:tc>
          <w:tcPr>
            <w:tcW w:w="4495" w:type="dxa"/>
          </w:tcPr>
          <w:p w:rsidR="00692915" w:rsidRDefault="00692915">
            <w:pPr>
              <w:ind w:firstLineChars="0" w:firstLine="0"/>
              <w:rPr>
                <w:color w:val="000000"/>
              </w:rPr>
            </w:pPr>
            <w:r>
              <w:rPr>
                <w:rFonts w:hint="eastAsia"/>
                <w:color w:val="000000"/>
              </w:rPr>
              <w:t>基督教民主联盟</w:t>
            </w:r>
            <w:r>
              <w:rPr>
                <w:rFonts w:hint="eastAsia"/>
                <w:color w:val="000000"/>
              </w:rPr>
              <w:t>/</w:t>
            </w:r>
            <w:r>
              <w:rPr>
                <w:rFonts w:hint="eastAsia"/>
                <w:color w:val="000000"/>
              </w:rPr>
              <w:t>基督教民主党</w:t>
            </w:r>
          </w:p>
        </w:tc>
        <w:tc>
          <w:tcPr>
            <w:tcW w:w="2990" w:type="dxa"/>
          </w:tcPr>
          <w:p w:rsidR="00692915" w:rsidRDefault="00692915">
            <w:pPr>
              <w:ind w:right="1134" w:firstLineChars="0" w:firstLine="0"/>
              <w:jc w:val="right"/>
              <w:rPr>
                <w:color w:val="000000"/>
              </w:rPr>
            </w:pPr>
            <w:r>
              <w:rPr>
                <w:color w:val="000000"/>
              </w:rPr>
              <w:t>1</w:t>
            </w:r>
          </w:p>
        </w:tc>
      </w:tr>
      <w:tr w:rsidR="00692915">
        <w:tblPrEx>
          <w:tblCellMar>
            <w:top w:w="0" w:type="dxa"/>
            <w:bottom w:w="0" w:type="dxa"/>
          </w:tblCellMar>
        </w:tblPrEx>
        <w:trPr>
          <w:jc w:val="center"/>
        </w:trPr>
        <w:tc>
          <w:tcPr>
            <w:tcW w:w="4495" w:type="dxa"/>
          </w:tcPr>
          <w:p w:rsidR="00692915" w:rsidRDefault="00692915">
            <w:pPr>
              <w:ind w:firstLineChars="0" w:firstLine="0"/>
              <w:rPr>
                <w:color w:val="000000"/>
              </w:rPr>
            </w:pPr>
            <w:r>
              <w:rPr>
                <w:rFonts w:hint="eastAsia"/>
                <w:color w:val="000000"/>
              </w:rPr>
              <w:t>帝汶社会党</w:t>
            </w:r>
          </w:p>
        </w:tc>
        <w:tc>
          <w:tcPr>
            <w:tcW w:w="2990" w:type="dxa"/>
          </w:tcPr>
          <w:p w:rsidR="00692915" w:rsidRDefault="00692915">
            <w:pPr>
              <w:ind w:right="1134" w:firstLineChars="0" w:firstLine="0"/>
              <w:jc w:val="right"/>
              <w:rPr>
                <w:color w:val="000000"/>
              </w:rPr>
            </w:pPr>
            <w:r>
              <w:rPr>
                <w:color w:val="000000"/>
              </w:rPr>
              <w:t>1</w:t>
            </w:r>
          </w:p>
        </w:tc>
      </w:tr>
      <w:tr w:rsidR="00692915">
        <w:tblPrEx>
          <w:tblCellMar>
            <w:top w:w="0" w:type="dxa"/>
            <w:bottom w:w="0" w:type="dxa"/>
          </w:tblCellMar>
        </w:tblPrEx>
        <w:trPr>
          <w:jc w:val="center"/>
        </w:trPr>
        <w:tc>
          <w:tcPr>
            <w:tcW w:w="4495" w:type="dxa"/>
          </w:tcPr>
          <w:p w:rsidR="00692915" w:rsidRDefault="00692915">
            <w:pPr>
              <w:ind w:firstLineChars="0" w:firstLine="0"/>
              <w:rPr>
                <w:color w:val="000000"/>
              </w:rPr>
            </w:pPr>
            <w:r>
              <w:rPr>
                <w:rFonts w:hint="eastAsia"/>
                <w:color w:val="000000"/>
              </w:rPr>
              <w:t>自由党</w:t>
            </w:r>
          </w:p>
        </w:tc>
        <w:tc>
          <w:tcPr>
            <w:tcW w:w="2990" w:type="dxa"/>
          </w:tcPr>
          <w:p w:rsidR="00692915" w:rsidRDefault="00692915">
            <w:pPr>
              <w:ind w:right="1134" w:firstLineChars="0" w:firstLine="0"/>
              <w:jc w:val="right"/>
              <w:rPr>
                <w:color w:val="000000"/>
              </w:rPr>
            </w:pPr>
            <w:r>
              <w:rPr>
                <w:color w:val="000000"/>
              </w:rPr>
              <w:t>1</w:t>
            </w:r>
          </w:p>
        </w:tc>
      </w:tr>
      <w:tr w:rsidR="00692915">
        <w:tblPrEx>
          <w:tblCellMar>
            <w:top w:w="0" w:type="dxa"/>
            <w:bottom w:w="0" w:type="dxa"/>
          </w:tblCellMar>
        </w:tblPrEx>
        <w:trPr>
          <w:jc w:val="center"/>
        </w:trPr>
        <w:tc>
          <w:tcPr>
            <w:tcW w:w="4495" w:type="dxa"/>
            <w:tcBorders>
              <w:bottom w:val="single" w:sz="4" w:space="0" w:color="auto"/>
            </w:tcBorders>
          </w:tcPr>
          <w:p w:rsidR="00692915" w:rsidRDefault="00692915">
            <w:pPr>
              <w:ind w:firstLineChars="0" w:firstLine="0"/>
              <w:rPr>
                <w:rFonts w:hint="eastAsia"/>
                <w:color w:val="000000"/>
              </w:rPr>
            </w:pPr>
            <w:r>
              <w:rPr>
                <w:rFonts w:hint="eastAsia"/>
                <w:color w:val="000000"/>
              </w:rPr>
              <w:t>无党派人士</w:t>
            </w:r>
          </w:p>
        </w:tc>
        <w:tc>
          <w:tcPr>
            <w:tcW w:w="2990" w:type="dxa"/>
            <w:tcBorders>
              <w:bottom w:val="single" w:sz="4" w:space="0" w:color="auto"/>
            </w:tcBorders>
          </w:tcPr>
          <w:p w:rsidR="00692915" w:rsidRDefault="00692915">
            <w:pPr>
              <w:ind w:right="1134" w:firstLineChars="0" w:firstLine="0"/>
              <w:jc w:val="right"/>
              <w:rPr>
                <w:color w:val="000000"/>
              </w:rPr>
            </w:pPr>
            <w:r>
              <w:rPr>
                <w:color w:val="000000"/>
              </w:rPr>
              <w:t>1</w:t>
            </w:r>
          </w:p>
        </w:tc>
      </w:tr>
      <w:tr w:rsidR="00692915">
        <w:tblPrEx>
          <w:tblCellMar>
            <w:top w:w="0" w:type="dxa"/>
            <w:bottom w:w="0" w:type="dxa"/>
          </w:tblCellMar>
        </w:tblPrEx>
        <w:trPr>
          <w:jc w:val="center"/>
        </w:trPr>
        <w:tc>
          <w:tcPr>
            <w:tcW w:w="4495" w:type="dxa"/>
            <w:tcBorders>
              <w:top w:val="single" w:sz="4" w:space="0" w:color="auto"/>
              <w:bottom w:val="single" w:sz="4" w:space="0" w:color="auto"/>
            </w:tcBorders>
          </w:tcPr>
          <w:p w:rsidR="00692915" w:rsidRDefault="00692915">
            <w:pPr>
              <w:ind w:firstLineChars="0" w:firstLine="0"/>
              <w:rPr>
                <w:rFonts w:hint="eastAsia"/>
                <w:color w:val="000000"/>
              </w:rPr>
            </w:pPr>
            <w:r>
              <w:rPr>
                <w:rFonts w:hint="eastAsia"/>
                <w:color w:val="000000"/>
              </w:rPr>
              <w:t>总席位</w:t>
            </w:r>
          </w:p>
        </w:tc>
        <w:tc>
          <w:tcPr>
            <w:tcW w:w="2990" w:type="dxa"/>
            <w:tcBorders>
              <w:top w:val="single" w:sz="4" w:space="0" w:color="auto"/>
              <w:bottom w:val="single" w:sz="4" w:space="0" w:color="auto"/>
            </w:tcBorders>
          </w:tcPr>
          <w:p w:rsidR="00692915" w:rsidRDefault="00692915">
            <w:pPr>
              <w:ind w:right="1134" w:firstLineChars="0" w:firstLine="0"/>
              <w:jc w:val="right"/>
              <w:rPr>
                <w:color w:val="000000"/>
              </w:rPr>
            </w:pPr>
            <w:r>
              <w:rPr>
                <w:color w:val="000000"/>
              </w:rPr>
              <w:t>88</w:t>
            </w:r>
          </w:p>
        </w:tc>
      </w:tr>
    </w:tbl>
    <w:p w:rsidR="00692915" w:rsidRDefault="00692915">
      <w:pPr>
        <w:pStyle w:val="Heading5"/>
        <w:spacing w:beforeLines="50" w:before="180"/>
        <w:ind w:firstLineChars="0" w:firstLine="0"/>
        <w:rPr>
          <w:rFonts w:ascii="KaiTi_GB2312" w:eastAsia="KaiTi_GB2312" w:hint="eastAsia"/>
          <w:b w:val="0"/>
          <w:bCs/>
          <w:i w:val="0"/>
          <w:iCs/>
          <w:color w:val="000000"/>
          <w:lang w:eastAsia="zh-CN"/>
        </w:rPr>
      </w:pPr>
      <w:bookmarkStart w:id="315" w:name="_Toc132732246"/>
      <w:bookmarkStart w:id="316" w:name="_Toc135830102"/>
      <w:bookmarkStart w:id="317" w:name="_Toc150515110"/>
      <w:bookmarkStart w:id="318" w:name="_Toc150685033"/>
      <w:r>
        <w:rPr>
          <w:rFonts w:ascii="KaiTi_GB2312" w:eastAsia="KaiTi_GB2312"/>
          <w:b w:val="0"/>
          <w:bCs/>
          <w:i w:val="0"/>
          <w:iCs/>
          <w:color w:val="000000"/>
          <w:lang w:eastAsia="zh-CN"/>
        </w:rPr>
        <w:t>（f</w:t>
      </w:r>
      <w:bookmarkEnd w:id="315"/>
      <w:bookmarkEnd w:id="316"/>
      <w:bookmarkEnd w:id="317"/>
      <w:bookmarkEnd w:id="318"/>
      <w:r>
        <w:rPr>
          <w:rFonts w:ascii="KaiTi_GB2312" w:eastAsia="KaiTi_GB2312"/>
          <w:b w:val="0"/>
          <w:bCs/>
          <w:i w:val="0"/>
          <w:iCs/>
          <w:color w:val="000000"/>
          <w:lang w:eastAsia="zh-CN"/>
        </w:rPr>
        <w:t>）</w:t>
      </w:r>
      <w:r>
        <w:rPr>
          <w:rFonts w:ascii="KaiTi_GB2312" w:eastAsia="KaiTi_GB2312" w:hint="eastAsia"/>
          <w:b w:val="0"/>
          <w:bCs/>
          <w:i w:val="0"/>
          <w:iCs/>
          <w:color w:val="000000"/>
          <w:lang w:eastAsia="zh-CN"/>
        </w:rPr>
        <w:t>议会中妇女的百分比</w:t>
      </w:r>
    </w:p>
    <w:p w:rsidR="00692915" w:rsidRDefault="00692915" w:rsidP="009A1C1B">
      <w:pPr>
        <w:ind w:firstLine="31680"/>
        <w:rPr>
          <w:rFonts w:hint="eastAsia"/>
          <w:bCs/>
          <w:color w:val="000000"/>
        </w:rPr>
      </w:pPr>
      <w:r>
        <w:rPr>
          <w:rFonts w:hint="eastAsia"/>
          <w:bCs/>
          <w:color w:val="000000"/>
        </w:rPr>
        <w:t>2001</w:t>
      </w:r>
      <w:r>
        <w:rPr>
          <w:rFonts w:hint="eastAsia"/>
          <w:bCs/>
          <w:color w:val="000000"/>
        </w:rPr>
        <w:t>年制宪议会共有</w:t>
      </w:r>
      <w:r>
        <w:rPr>
          <w:rFonts w:hint="eastAsia"/>
          <w:bCs/>
          <w:color w:val="000000"/>
        </w:rPr>
        <w:t>22</w:t>
      </w:r>
      <w:r>
        <w:rPr>
          <w:rFonts w:hint="eastAsia"/>
          <w:bCs/>
          <w:color w:val="000000"/>
        </w:rPr>
        <w:t>名入选的妇女代表，占总数的</w:t>
      </w:r>
      <w:r>
        <w:rPr>
          <w:bCs/>
          <w:color w:val="000000"/>
        </w:rPr>
        <w:t>25.3 %</w:t>
      </w:r>
      <w:r>
        <w:rPr>
          <w:rFonts w:hint="eastAsia"/>
          <w:bCs/>
          <w:color w:val="000000"/>
        </w:rPr>
        <w:t>（图</w:t>
      </w:r>
      <w:r>
        <w:rPr>
          <w:rFonts w:hint="eastAsia"/>
          <w:bCs/>
          <w:color w:val="000000"/>
        </w:rPr>
        <w:t>29</w:t>
      </w:r>
      <w:r>
        <w:rPr>
          <w:rFonts w:hint="eastAsia"/>
          <w:bCs/>
          <w:color w:val="000000"/>
        </w:rPr>
        <w:t>）。其后，这</w:t>
      </w:r>
      <w:r>
        <w:rPr>
          <w:rFonts w:hint="eastAsia"/>
          <w:bCs/>
          <w:color w:val="000000"/>
        </w:rPr>
        <w:t>22</w:t>
      </w:r>
      <w:r>
        <w:rPr>
          <w:rFonts w:hint="eastAsia"/>
          <w:bCs/>
          <w:color w:val="000000"/>
        </w:rPr>
        <w:t>名妇女成了第一届国家立法机构的成员。</w:t>
      </w:r>
    </w:p>
    <w:p w:rsidR="00692915" w:rsidRDefault="00692915" w:rsidP="009A1C1B">
      <w:pPr>
        <w:ind w:firstLine="31680"/>
        <w:rPr>
          <w:rFonts w:hint="eastAsia"/>
          <w:bCs/>
          <w:color w:val="000000"/>
        </w:rPr>
      </w:pPr>
      <w:r>
        <w:rPr>
          <w:rFonts w:hint="eastAsia"/>
          <w:bCs/>
          <w:color w:val="000000"/>
        </w:rPr>
        <w:t>各国议会联盟关于妇女在国民议会中情况的数据库将东帝汶排在第</w:t>
      </w:r>
      <w:r>
        <w:rPr>
          <w:rFonts w:hint="eastAsia"/>
          <w:bCs/>
          <w:color w:val="000000"/>
        </w:rPr>
        <w:t>27</w:t>
      </w:r>
      <w:r>
        <w:rPr>
          <w:rFonts w:hint="eastAsia"/>
          <w:bCs/>
          <w:color w:val="000000"/>
        </w:rPr>
        <w:t>位。</w:t>
      </w:r>
      <w:r>
        <w:rPr>
          <w:rStyle w:val="FootnoteReference"/>
          <w:bCs/>
          <w:color w:val="000000"/>
        </w:rPr>
        <w:footnoteReference w:id="406"/>
      </w:r>
    </w:p>
    <w:p w:rsidR="00692915" w:rsidRDefault="00692915">
      <w:pPr>
        <w:pStyle w:val="Heading2"/>
        <w:spacing w:after="0"/>
        <w:rPr>
          <w:rFonts w:hint="eastAsia"/>
          <w:color w:val="000000"/>
          <w:sz w:val="24"/>
        </w:rPr>
      </w:pPr>
      <w:bookmarkStart w:id="319" w:name="_Toc132732329"/>
      <w:r>
        <w:rPr>
          <w:rFonts w:hint="eastAsia"/>
          <w:color w:val="000000"/>
          <w:sz w:val="24"/>
        </w:rPr>
        <w:t>图</w:t>
      </w:r>
      <w:r>
        <w:rPr>
          <w:rFonts w:hint="eastAsia"/>
          <w:color w:val="000000"/>
          <w:sz w:val="24"/>
        </w:rPr>
        <w:t>30</w:t>
      </w:r>
      <w:r>
        <w:rPr>
          <w:color w:val="000000"/>
          <w:sz w:val="24"/>
        </w:rPr>
        <w:br/>
      </w:r>
      <w:r>
        <w:rPr>
          <w:rFonts w:hint="eastAsia"/>
          <w:color w:val="000000"/>
          <w:sz w:val="24"/>
        </w:rPr>
        <w:t>按政党分列的</w:t>
      </w:r>
      <w:r>
        <w:rPr>
          <w:color w:val="000000"/>
          <w:sz w:val="24"/>
        </w:rPr>
        <w:t>2001</w:t>
      </w:r>
      <w:bookmarkEnd w:id="319"/>
      <w:r>
        <w:rPr>
          <w:rFonts w:hint="eastAsia"/>
          <w:color w:val="000000"/>
          <w:sz w:val="24"/>
        </w:rPr>
        <w:t>年妇女入选制宪议会的人数</w:t>
      </w:r>
    </w:p>
    <w:p w:rsidR="00692915" w:rsidRDefault="00692915" w:rsidP="009A1C1B">
      <w:pPr>
        <w:ind w:firstLine="31680"/>
        <w:jc w:val="center"/>
        <w:rPr>
          <w:bCs/>
          <w:color w:val="000000"/>
        </w:rPr>
      </w:pPr>
      <w:r>
        <w:rPr>
          <w:bCs/>
          <w:iCs/>
          <w:noProof/>
          <w:snapToGrid/>
          <w:color w:val="000000"/>
          <w:sz w:val="20"/>
        </w:rPr>
        <w:pict>
          <v:shape id="_x0000_s2408" type="#_x0000_t202" style="position:absolute;left:0;text-align:left;margin-left:148.5pt;margin-top:185.75pt;width:48pt;height:9.15pt;z-index:138" o:regroupid="24" filled="f" stroked="f">
            <v:textbox inset="0,0,0,0">
              <w:txbxContent>
                <w:p w:rsidR="00692915" w:rsidRDefault="00692915">
                  <w:pPr>
                    <w:spacing w:line="160" w:lineRule="exact"/>
                    <w:ind w:firstLineChars="0" w:firstLine="0"/>
                    <w:jc w:val="center"/>
                    <w:rPr>
                      <w:sz w:val="13"/>
                    </w:rPr>
                  </w:pPr>
                  <w:r>
                    <w:rPr>
                      <w:rFonts w:hint="eastAsia"/>
                      <w:spacing w:val="0"/>
                      <w:sz w:val="13"/>
                    </w:rPr>
                    <w:t>社会民主党</w:t>
                  </w:r>
                </w:p>
              </w:txbxContent>
            </v:textbox>
          </v:shape>
        </w:pict>
      </w:r>
      <w:r>
        <w:rPr>
          <w:bCs/>
          <w:iCs/>
          <w:noProof/>
          <w:snapToGrid/>
          <w:color w:val="000000"/>
          <w:sz w:val="20"/>
        </w:rPr>
        <w:pict>
          <v:shape id="_x0000_s2409" type="#_x0000_t202" style="position:absolute;left:0;text-align:left;margin-left:199.1pt;margin-top:185.3pt;width:53.4pt;height:10.05pt;z-index:139" o:regroupid="24" filled="f" stroked="f">
            <v:textbox inset="0,0,0,0">
              <w:txbxContent>
                <w:p w:rsidR="00692915" w:rsidRDefault="00692915">
                  <w:pPr>
                    <w:spacing w:line="160" w:lineRule="exact"/>
                    <w:ind w:firstLineChars="0" w:firstLine="0"/>
                    <w:jc w:val="center"/>
                    <w:rPr>
                      <w:sz w:val="13"/>
                    </w:rPr>
                  </w:pPr>
                  <w:r>
                    <w:rPr>
                      <w:rFonts w:hint="eastAsia"/>
                      <w:spacing w:val="0"/>
                      <w:sz w:val="13"/>
                    </w:rPr>
                    <w:t>帝汶社会民主协会</w:t>
                  </w:r>
                </w:p>
              </w:txbxContent>
            </v:textbox>
          </v:shape>
        </w:pict>
      </w:r>
      <w:r>
        <w:rPr>
          <w:bCs/>
          <w:iCs/>
          <w:noProof/>
          <w:snapToGrid/>
          <w:color w:val="000000"/>
          <w:sz w:val="20"/>
        </w:rPr>
        <w:pict>
          <v:shape id="_x0000_s2410" type="#_x0000_t202" style="position:absolute;left:0;text-align:left;margin-left:251.1pt;margin-top:185.3pt;width:53.4pt;height:10.05pt;z-index:140" o:regroupid="24" filled="f" fillcolor="#ffd5d5" stroked="f">
            <v:textbox inset="0,0,0,0">
              <w:txbxContent>
                <w:p w:rsidR="00692915" w:rsidRDefault="00692915">
                  <w:pPr>
                    <w:spacing w:line="160" w:lineRule="exact"/>
                    <w:ind w:firstLineChars="0" w:firstLine="0"/>
                    <w:jc w:val="center"/>
                    <w:rPr>
                      <w:sz w:val="13"/>
                    </w:rPr>
                  </w:pPr>
                  <w:r>
                    <w:rPr>
                      <w:rFonts w:hint="eastAsia"/>
                      <w:spacing w:val="0"/>
                      <w:sz w:val="13"/>
                    </w:rPr>
                    <w:t>英雄党</w:t>
                  </w:r>
                </w:p>
              </w:txbxContent>
            </v:textbox>
          </v:shape>
        </w:pict>
      </w:r>
      <w:r>
        <w:rPr>
          <w:bCs/>
          <w:iCs/>
          <w:noProof/>
          <w:snapToGrid/>
          <w:color w:val="000000"/>
          <w:sz w:val="20"/>
        </w:rPr>
        <w:pict>
          <v:shape id="_x0000_s2411" type="#_x0000_t202" style="position:absolute;left:0;text-align:left;margin-left:299.6pt;margin-top:185.3pt;width:53.4pt;height:10.05pt;z-index:141" o:regroupid="24" filled="f" fillcolor="#ffc7c7" stroked="f">
            <v:textbox inset="0,0,0,0">
              <w:txbxContent>
                <w:p w:rsidR="00692915" w:rsidRDefault="00692915">
                  <w:pPr>
                    <w:spacing w:line="160" w:lineRule="exact"/>
                    <w:ind w:firstLineChars="0" w:firstLine="0"/>
                    <w:jc w:val="center"/>
                    <w:rPr>
                      <w:sz w:val="13"/>
                    </w:rPr>
                  </w:pPr>
                  <w:r>
                    <w:rPr>
                      <w:rFonts w:hint="eastAsia"/>
                      <w:spacing w:val="0"/>
                      <w:sz w:val="13"/>
                    </w:rPr>
                    <w:t>全国工党</w:t>
                  </w:r>
                </w:p>
              </w:txbxContent>
            </v:textbox>
          </v:shape>
        </w:pict>
      </w:r>
      <w:r>
        <w:rPr>
          <w:bCs/>
          <w:iCs/>
          <w:noProof/>
          <w:snapToGrid/>
          <w:color w:val="000000"/>
          <w:sz w:val="20"/>
        </w:rPr>
        <w:pict>
          <v:shape id="_x0000_s2412" type="#_x0000_t202" style="position:absolute;left:0;text-align:left;margin-left:353pt;margin-top:185.3pt;width:53.4pt;height:10.05pt;z-index:142" o:regroupid="24" filled="f" fillcolor="#ffc7c7" stroked="f">
            <v:textbox inset="0,0,0,0">
              <w:txbxContent>
                <w:p w:rsidR="00692915" w:rsidRDefault="00692915">
                  <w:pPr>
                    <w:spacing w:line="160" w:lineRule="exact"/>
                    <w:ind w:firstLineChars="0" w:firstLine="0"/>
                    <w:jc w:val="center"/>
                    <w:rPr>
                      <w:b/>
                      <w:bCs/>
                      <w:sz w:val="13"/>
                    </w:rPr>
                  </w:pPr>
                  <w:r>
                    <w:rPr>
                      <w:rFonts w:hint="eastAsia"/>
                      <w:spacing w:val="0"/>
                      <w:sz w:val="13"/>
                    </w:rPr>
                    <w:t>总计</w:t>
                  </w:r>
                </w:p>
              </w:txbxContent>
            </v:textbox>
          </v:shape>
        </w:pict>
      </w:r>
      <w:r>
        <w:rPr>
          <w:bCs/>
          <w:iCs/>
          <w:noProof/>
          <w:snapToGrid/>
          <w:color w:val="000000"/>
          <w:sz w:val="20"/>
        </w:rPr>
        <w:pict>
          <v:shape id="_x0000_s2407" type="#_x0000_t202" style="position:absolute;left:0;text-align:left;margin-left:98pt;margin-top:181.3pt;width:48pt;height:18.85pt;z-index:137" o:regroupid="24" filled="f" stroked="f">
            <v:textbox inset="0,0,0,0">
              <w:txbxContent>
                <w:p w:rsidR="00692915" w:rsidRDefault="00692915">
                  <w:pPr>
                    <w:spacing w:line="160" w:lineRule="exact"/>
                    <w:ind w:firstLineChars="0" w:firstLine="0"/>
                    <w:jc w:val="center"/>
                    <w:rPr>
                      <w:spacing w:val="0"/>
                      <w:sz w:val="13"/>
                    </w:rPr>
                  </w:pPr>
                  <w:r>
                    <w:rPr>
                      <w:rFonts w:hint="eastAsia"/>
                      <w:spacing w:val="0"/>
                      <w:sz w:val="13"/>
                    </w:rPr>
                    <w:t>东帝汶独立</w:t>
                  </w:r>
                  <w:r>
                    <w:rPr>
                      <w:spacing w:val="0"/>
                      <w:sz w:val="13"/>
                    </w:rPr>
                    <w:br/>
                  </w:r>
                  <w:r>
                    <w:rPr>
                      <w:rFonts w:hint="eastAsia"/>
                      <w:spacing w:val="0"/>
                      <w:sz w:val="13"/>
                    </w:rPr>
                    <w:t>革命阵线</w:t>
                  </w:r>
                </w:p>
              </w:txbxContent>
            </v:textbox>
          </v:shape>
        </w:pict>
      </w:r>
      <w:r>
        <w:rPr>
          <w:bCs/>
          <w:iCs/>
          <w:noProof/>
          <w:snapToGrid/>
          <w:color w:val="000000"/>
          <w:sz w:val="20"/>
        </w:rPr>
        <w:pict>
          <v:shape id="_x0000_s2406" type="#_x0000_t202" style="position:absolute;left:0;text-align:left;margin-left:84pt;margin-top:3.6pt;width:312pt;height:24.45pt;z-index:136" o:regroupid="24" fillcolor="#f48080" stroked="f" strokecolor="#ffd9d9">
            <v:fill color2="#f7a5a5" angle="-90" type="gradient"/>
            <v:textbox>
              <w:txbxContent>
                <w:p w:rsidR="00692915" w:rsidRDefault="00692915">
                  <w:pPr>
                    <w:ind w:firstLineChars="0" w:firstLine="0"/>
                    <w:jc w:val="center"/>
                    <w:rPr>
                      <w:rFonts w:ascii="SimHei" w:eastAsia="SimHei"/>
                      <w:bCs/>
                      <w:sz w:val="21"/>
                    </w:rPr>
                  </w:pPr>
                  <w:r>
                    <w:rPr>
                      <w:rFonts w:ascii="SimHei" w:eastAsia="SimHei" w:hint="eastAsia"/>
                      <w:bCs/>
                      <w:iCs/>
                      <w:sz w:val="21"/>
                    </w:rPr>
                    <w:t>2001年有22名妇女入选制宪议会</w:t>
                  </w:r>
                </w:p>
              </w:txbxContent>
            </v:textbox>
          </v:shape>
        </w:pict>
      </w:r>
      <w:bookmarkStart w:id="320" w:name="_MON_1261427853"/>
      <w:bookmarkStart w:id="321" w:name="_MON_1261427991"/>
      <w:bookmarkEnd w:id="320"/>
      <w:bookmarkEnd w:id="321"/>
      <w:r>
        <w:rPr>
          <w:b/>
          <w:color w:val="000000"/>
        </w:rPr>
        <w:object w:dxaOrig="6841" w:dyaOrig="3976">
          <v:shape id="_x0000_i1054" type="#_x0000_t75" style="width:342pt;height:198.75pt" o:ole="">
            <v:imagedata r:id="rId66" o:title=""/>
          </v:shape>
          <o:OLEObject Type="Embed" ProgID="Word.Picture.8" ShapeID="_x0000_i1054" DrawAspect="Content" ObjectID="_1395890563" r:id="rId67"/>
        </w:object>
      </w:r>
    </w:p>
    <w:p w:rsidR="00692915" w:rsidRDefault="00692915" w:rsidP="009A1C1B">
      <w:pPr>
        <w:tabs>
          <w:tab w:val="left" w:pos="1928"/>
        </w:tabs>
        <w:spacing w:before="120" w:after="240"/>
        <w:ind w:firstLine="31680"/>
        <w:rPr>
          <w:rFonts w:hint="eastAsia"/>
          <w:bCs/>
          <w:iCs/>
          <w:color w:val="000000"/>
          <w:sz w:val="21"/>
        </w:rPr>
      </w:pPr>
      <w:r>
        <w:rPr>
          <w:rFonts w:eastAsia="KaiTi_GB2312" w:hint="eastAsia"/>
          <w:bCs/>
          <w:iCs/>
          <w:color w:val="000000"/>
          <w:sz w:val="21"/>
        </w:rPr>
        <w:t>资料来源：</w:t>
      </w:r>
      <w:r>
        <w:rPr>
          <w:bCs/>
          <w:iCs/>
          <w:color w:val="000000"/>
          <w:sz w:val="21"/>
        </w:rPr>
        <w:t>妇发基金</w:t>
      </w:r>
      <w:r>
        <w:rPr>
          <w:bCs/>
          <w:iCs/>
          <w:color w:val="000000"/>
          <w:sz w:val="21"/>
        </w:rPr>
        <w:t xml:space="preserve"> http://www.unifem-eseasia.org/projects/easttimor/EastTElection.htm</w:t>
      </w:r>
      <w:r>
        <w:rPr>
          <w:rFonts w:hint="eastAsia"/>
          <w:bCs/>
          <w:iCs/>
          <w:color w:val="000000"/>
          <w:sz w:val="21"/>
        </w:rPr>
        <w:t>。</w:t>
      </w:r>
    </w:p>
    <w:p w:rsidR="00692915" w:rsidRDefault="00692915">
      <w:pPr>
        <w:pStyle w:val="Heading5"/>
        <w:ind w:firstLineChars="0" w:firstLine="0"/>
        <w:rPr>
          <w:rFonts w:ascii="KaiTi_GB2312" w:eastAsia="KaiTi_GB2312" w:hint="eastAsia"/>
          <w:b w:val="0"/>
          <w:bCs/>
          <w:i w:val="0"/>
          <w:iCs/>
          <w:color w:val="000000"/>
          <w:lang w:eastAsia="zh-CN"/>
        </w:rPr>
      </w:pPr>
      <w:bookmarkStart w:id="322" w:name="_Toc132732247"/>
      <w:bookmarkStart w:id="323" w:name="_Toc135830103"/>
      <w:bookmarkStart w:id="324" w:name="_Toc150515111"/>
      <w:bookmarkStart w:id="325" w:name="_Toc150685034"/>
      <w:r>
        <w:rPr>
          <w:rFonts w:ascii="KaiTi_GB2312" w:eastAsia="KaiTi_GB2312"/>
          <w:b w:val="0"/>
          <w:bCs/>
          <w:i w:val="0"/>
          <w:iCs/>
          <w:color w:val="000000"/>
          <w:lang w:eastAsia="zh-CN"/>
        </w:rPr>
        <w:t>（g</w:t>
      </w:r>
      <w:bookmarkEnd w:id="322"/>
      <w:bookmarkEnd w:id="323"/>
      <w:bookmarkEnd w:id="324"/>
      <w:bookmarkEnd w:id="325"/>
      <w:r>
        <w:rPr>
          <w:rFonts w:ascii="KaiTi_GB2312" w:eastAsia="KaiTi_GB2312"/>
          <w:b w:val="0"/>
          <w:bCs/>
          <w:i w:val="0"/>
          <w:iCs/>
          <w:color w:val="000000"/>
          <w:lang w:eastAsia="zh-CN"/>
        </w:rPr>
        <w:t>）</w:t>
      </w:r>
      <w:r>
        <w:rPr>
          <w:rFonts w:ascii="KaiTi_GB2312" w:eastAsia="KaiTi_GB2312" w:hint="eastAsia"/>
          <w:b w:val="0"/>
          <w:bCs/>
          <w:i w:val="0"/>
          <w:iCs/>
          <w:color w:val="000000"/>
          <w:lang w:eastAsia="zh-CN"/>
        </w:rPr>
        <w:t>全国和地方选举周期</w:t>
      </w:r>
    </w:p>
    <w:p w:rsidR="00692915" w:rsidRDefault="00692915" w:rsidP="009A1C1B">
      <w:pPr>
        <w:ind w:firstLine="31680"/>
        <w:rPr>
          <w:rFonts w:hint="eastAsia"/>
          <w:bCs/>
          <w:color w:val="000000"/>
        </w:rPr>
      </w:pPr>
      <w:r>
        <w:rPr>
          <w:rFonts w:hint="eastAsia"/>
          <w:bCs/>
          <w:color w:val="000000"/>
        </w:rPr>
        <w:t>有关总统和议会的全国选举每</w:t>
      </w:r>
      <w:r>
        <w:rPr>
          <w:rFonts w:hint="eastAsia"/>
          <w:bCs/>
          <w:color w:val="000000"/>
        </w:rPr>
        <w:t>5</w:t>
      </w:r>
      <w:r>
        <w:rPr>
          <w:rFonts w:hint="eastAsia"/>
          <w:bCs/>
          <w:color w:val="000000"/>
        </w:rPr>
        <w:t>年举行一次。</w:t>
      </w:r>
      <w:r>
        <w:rPr>
          <w:rFonts w:hint="eastAsia"/>
          <w:bCs/>
          <w:color w:val="000000"/>
        </w:rPr>
        <w:t>2001</w:t>
      </w:r>
      <w:r>
        <w:rPr>
          <w:rFonts w:hint="eastAsia"/>
          <w:bCs/>
          <w:color w:val="000000"/>
        </w:rPr>
        <w:t>年进行了第一届制宪议会选举。</w:t>
      </w:r>
      <w:r>
        <w:rPr>
          <w:rFonts w:hint="eastAsia"/>
          <w:bCs/>
          <w:color w:val="000000"/>
        </w:rPr>
        <w:t>2006</w:t>
      </w:r>
      <w:r>
        <w:rPr>
          <w:rFonts w:hint="eastAsia"/>
          <w:bCs/>
          <w:color w:val="000000"/>
        </w:rPr>
        <w:t>年将进行第一届议会的全国选举。</w:t>
      </w:r>
      <w:r>
        <w:rPr>
          <w:rFonts w:hint="eastAsia"/>
          <w:bCs/>
          <w:color w:val="000000"/>
        </w:rPr>
        <w:t>2002</w:t>
      </w:r>
      <w:r>
        <w:rPr>
          <w:rFonts w:hint="eastAsia"/>
          <w:bCs/>
          <w:color w:val="000000"/>
        </w:rPr>
        <w:t>年</w:t>
      </w:r>
      <w:r>
        <w:rPr>
          <w:rFonts w:hint="eastAsia"/>
          <w:bCs/>
          <w:color w:val="000000"/>
        </w:rPr>
        <w:t>4</w:t>
      </w:r>
      <w:r>
        <w:rPr>
          <w:rFonts w:hint="eastAsia"/>
          <w:bCs/>
          <w:color w:val="000000"/>
        </w:rPr>
        <w:t>月</w:t>
      </w:r>
      <w:r>
        <w:rPr>
          <w:rFonts w:hint="eastAsia"/>
          <w:bCs/>
          <w:color w:val="000000"/>
        </w:rPr>
        <w:t>14</w:t>
      </w:r>
      <w:r>
        <w:rPr>
          <w:rFonts w:hint="eastAsia"/>
          <w:bCs/>
          <w:color w:val="000000"/>
        </w:rPr>
        <w:t>日进行了第一届总统选举。第二届选举将于</w:t>
      </w:r>
      <w:r>
        <w:rPr>
          <w:rFonts w:hint="eastAsia"/>
          <w:bCs/>
          <w:color w:val="000000"/>
        </w:rPr>
        <w:t>2007</w:t>
      </w:r>
      <w:r>
        <w:rPr>
          <w:rFonts w:hint="eastAsia"/>
          <w:bCs/>
          <w:color w:val="000000"/>
        </w:rPr>
        <w:t>年进行。</w:t>
      </w:r>
    </w:p>
    <w:p w:rsidR="00692915" w:rsidRDefault="00692915" w:rsidP="009A1C1B">
      <w:pPr>
        <w:spacing w:after="120"/>
        <w:ind w:firstLine="31680"/>
        <w:rPr>
          <w:rFonts w:hint="eastAsia"/>
          <w:bCs/>
          <w:color w:val="000000"/>
        </w:rPr>
      </w:pPr>
      <w:r>
        <w:rPr>
          <w:rFonts w:hint="eastAsia"/>
          <w:bCs/>
          <w:color w:val="000000"/>
        </w:rPr>
        <w:t>有关乡委会与村委会的地方政府选举也是每</w:t>
      </w:r>
      <w:r>
        <w:rPr>
          <w:rFonts w:hint="eastAsia"/>
          <w:bCs/>
          <w:color w:val="000000"/>
        </w:rPr>
        <w:t>5</w:t>
      </w:r>
      <w:r>
        <w:rPr>
          <w:rFonts w:hint="eastAsia"/>
          <w:bCs/>
          <w:color w:val="000000"/>
        </w:rPr>
        <w:t>年进行一次。</w:t>
      </w:r>
      <w:r>
        <w:rPr>
          <w:rFonts w:hint="eastAsia"/>
          <w:bCs/>
          <w:color w:val="000000"/>
        </w:rPr>
        <w:t>2005</w:t>
      </w:r>
      <w:r>
        <w:rPr>
          <w:rFonts w:hint="eastAsia"/>
          <w:bCs/>
          <w:color w:val="000000"/>
        </w:rPr>
        <w:t>年进行了第一次选举。</w:t>
      </w:r>
    </w:p>
    <w:p w:rsidR="00692915" w:rsidRDefault="00692915">
      <w:pPr>
        <w:pStyle w:val="Heading5"/>
        <w:ind w:firstLineChars="0" w:firstLine="0"/>
        <w:rPr>
          <w:rFonts w:ascii="KaiTi_GB2312" w:eastAsia="KaiTi_GB2312" w:hint="eastAsia"/>
          <w:b w:val="0"/>
          <w:bCs/>
          <w:i w:val="0"/>
          <w:iCs/>
          <w:color w:val="000000"/>
          <w:lang w:eastAsia="zh-CN"/>
        </w:rPr>
      </w:pPr>
      <w:bookmarkStart w:id="326" w:name="_Toc132732248"/>
      <w:bookmarkStart w:id="327" w:name="_Toc135830104"/>
      <w:bookmarkStart w:id="328" w:name="_Toc150515112"/>
      <w:bookmarkStart w:id="329" w:name="_Toc150685035"/>
      <w:r>
        <w:rPr>
          <w:rFonts w:ascii="KaiTi_GB2312" w:eastAsia="KaiTi_GB2312"/>
          <w:b w:val="0"/>
          <w:bCs/>
          <w:i w:val="0"/>
          <w:iCs/>
          <w:color w:val="000000"/>
          <w:lang w:eastAsia="zh-CN"/>
        </w:rPr>
        <w:t>（h）</w:t>
      </w:r>
      <w:bookmarkEnd w:id="326"/>
      <w:bookmarkEnd w:id="327"/>
      <w:bookmarkEnd w:id="328"/>
      <w:bookmarkEnd w:id="329"/>
      <w:r>
        <w:rPr>
          <w:rFonts w:ascii="KaiTi_GB2312" w:eastAsia="KaiTi_GB2312" w:hint="eastAsia"/>
          <w:b w:val="0"/>
          <w:bCs/>
          <w:i w:val="0"/>
          <w:iCs/>
          <w:color w:val="000000"/>
          <w:lang w:eastAsia="zh-CN"/>
        </w:rPr>
        <w:t>选民参选情况</w:t>
      </w:r>
    </w:p>
    <w:p w:rsidR="00692915" w:rsidRDefault="00692915" w:rsidP="009A1C1B">
      <w:pPr>
        <w:ind w:firstLine="31680"/>
        <w:rPr>
          <w:rFonts w:hint="eastAsia"/>
          <w:bCs/>
          <w:color w:val="000000"/>
        </w:rPr>
      </w:pPr>
      <w:r>
        <w:rPr>
          <w:rFonts w:hint="eastAsia"/>
          <w:bCs/>
          <w:color w:val="000000"/>
        </w:rPr>
        <w:t>2005</w:t>
      </w:r>
      <w:r>
        <w:rPr>
          <w:rFonts w:hint="eastAsia"/>
          <w:bCs/>
          <w:color w:val="000000"/>
        </w:rPr>
        <w:t>年地方选举中的选民参选人数很多，在很多地区，参选的女性人数超过了男性（图</w:t>
      </w:r>
      <w:r>
        <w:rPr>
          <w:rFonts w:hint="eastAsia"/>
          <w:bCs/>
          <w:color w:val="000000"/>
        </w:rPr>
        <w:t>31</w:t>
      </w:r>
      <w:r>
        <w:rPr>
          <w:rFonts w:hint="eastAsia"/>
          <w:bCs/>
          <w:color w:val="000000"/>
        </w:rPr>
        <w:t>）。</w:t>
      </w:r>
    </w:p>
    <w:p w:rsidR="00692915" w:rsidRDefault="00692915">
      <w:pPr>
        <w:pStyle w:val="Heading2"/>
        <w:spacing w:after="0"/>
        <w:rPr>
          <w:rFonts w:hint="eastAsia"/>
          <w:color w:val="000000"/>
          <w:sz w:val="24"/>
        </w:rPr>
      </w:pPr>
      <w:bookmarkStart w:id="330" w:name="_Toc132732330"/>
      <w:r>
        <w:rPr>
          <w:rFonts w:hint="eastAsia"/>
          <w:color w:val="000000"/>
          <w:sz w:val="24"/>
        </w:rPr>
        <w:t>图</w:t>
      </w:r>
      <w:r>
        <w:rPr>
          <w:noProof/>
          <w:color w:val="000000"/>
          <w:sz w:val="24"/>
        </w:rPr>
        <w:t>3</w:t>
      </w:r>
      <w:r>
        <w:rPr>
          <w:rFonts w:hint="eastAsia"/>
          <w:noProof/>
          <w:color w:val="000000"/>
          <w:sz w:val="24"/>
        </w:rPr>
        <w:t>1</w:t>
      </w:r>
      <w:r>
        <w:rPr>
          <w:rFonts w:hint="eastAsia"/>
          <w:noProof/>
          <w:color w:val="000000"/>
          <w:sz w:val="24"/>
        </w:rPr>
        <w:br/>
      </w:r>
      <w:r>
        <w:rPr>
          <w:rFonts w:hint="eastAsia"/>
          <w:color w:val="000000"/>
          <w:sz w:val="24"/>
        </w:rPr>
        <w:t>按地区和性别分列的</w:t>
      </w:r>
      <w:r>
        <w:rPr>
          <w:color w:val="000000"/>
          <w:sz w:val="24"/>
        </w:rPr>
        <w:br/>
        <w:t>2005</w:t>
      </w:r>
      <w:bookmarkEnd w:id="330"/>
      <w:r>
        <w:rPr>
          <w:rFonts w:hint="eastAsia"/>
          <w:color w:val="000000"/>
          <w:sz w:val="24"/>
        </w:rPr>
        <w:t>年乡选举中选民的参选情况</w:t>
      </w:r>
    </w:p>
    <w:p w:rsidR="00692915" w:rsidRDefault="00692915">
      <w:pPr>
        <w:ind w:firstLineChars="0" w:firstLine="0"/>
        <w:jc w:val="center"/>
        <w:rPr>
          <w:bCs/>
          <w:color w:val="000000"/>
        </w:rPr>
      </w:pPr>
      <w:r>
        <w:rPr>
          <w:noProof/>
          <w:snapToGrid/>
          <w:color w:val="000000"/>
          <w:sz w:val="20"/>
        </w:rPr>
        <w:pict>
          <v:shape id="_x0000_s2415" type="#_x0000_t202" style="position:absolute;left:0;text-align:left;margin-left:78.45pt;margin-top:226.25pt;width:321.05pt;height:58pt;z-index:144" o:regroupid="25" filled="f" fillcolor="#ffbfbf" stroked="f">
            <v:textbox style="layout-flow:vertical;mso-layout-flow-alt:bottom-to-top">
              <w:txbxContent>
                <w:p w:rsidR="00692915" w:rsidRDefault="00692915" w:rsidP="009A1C1B">
                  <w:pPr>
                    <w:pStyle w:val="FootnoteText"/>
                    <w:spacing w:line="588" w:lineRule="auto"/>
                    <w:ind w:firstLine="31680"/>
                    <w:jc w:val="right"/>
                    <w:rPr>
                      <w:rFonts w:ascii="SimSun" w:eastAsia="SimSun" w:hAnsi="SimSun" w:hint="eastAsia"/>
                      <w:iCs/>
                      <w:sz w:val="15"/>
                      <w:szCs w:val="30"/>
                    </w:rPr>
                  </w:pPr>
                  <w:r>
                    <w:rPr>
                      <w:rFonts w:ascii="SimSun" w:eastAsia="SimSun" w:hAnsi="SimSun" w:hint="eastAsia"/>
                      <w:iCs/>
                      <w:sz w:val="15"/>
                      <w:szCs w:val="30"/>
                    </w:rPr>
                    <w:t>帝力</w:t>
                  </w:r>
                </w:p>
                <w:p w:rsidR="00692915" w:rsidRDefault="00692915" w:rsidP="009A1C1B">
                  <w:pPr>
                    <w:pStyle w:val="FootnoteText"/>
                    <w:spacing w:line="588" w:lineRule="auto"/>
                    <w:ind w:firstLine="31680"/>
                    <w:jc w:val="right"/>
                    <w:rPr>
                      <w:rFonts w:ascii="SimSun" w:eastAsia="SimSun" w:hAnsi="SimSun" w:hint="eastAsia"/>
                      <w:iCs/>
                      <w:sz w:val="15"/>
                      <w:szCs w:val="30"/>
                    </w:rPr>
                  </w:pPr>
                  <w:r>
                    <w:rPr>
                      <w:rFonts w:ascii="SimSun" w:eastAsia="SimSun" w:hAnsi="SimSun" w:hint="eastAsia"/>
                      <w:iCs/>
                      <w:sz w:val="15"/>
                      <w:szCs w:val="30"/>
                    </w:rPr>
                    <w:t>包考</w:t>
                  </w:r>
                </w:p>
                <w:p w:rsidR="00692915" w:rsidRDefault="00692915" w:rsidP="009A1C1B">
                  <w:pPr>
                    <w:pStyle w:val="FootnoteText"/>
                    <w:spacing w:line="588" w:lineRule="auto"/>
                    <w:ind w:firstLine="31680"/>
                    <w:jc w:val="right"/>
                    <w:rPr>
                      <w:rFonts w:ascii="SimSun" w:eastAsia="SimSun" w:hAnsi="SimSun" w:hint="eastAsia"/>
                      <w:iCs/>
                      <w:sz w:val="15"/>
                      <w:szCs w:val="30"/>
                    </w:rPr>
                  </w:pPr>
                  <w:r>
                    <w:rPr>
                      <w:rFonts w:ascii="SimSun" w:eastAsia="SimSun" w:hAnsi="SimSun" w:hint="eastAsia"/>
                      <w:iCs/>
                      <w:sz w:val="15"/>
                      <w:szCs w:val="30"/>
                    </w:rPr>
                    <w:t>埃尔梅拉</w:t>
                  </w:r>
                </w:p>
                <w:p w:rsidR="00692915" w:rsidRDefault="00692915" w:rsidP="009A1C1B">
                  <w:pPr>
                    <w:pStyle w:val="FootnoteText"/>
                    <w:spacing w:line="588" w:lineRule="auto"/>
                    <w:ind w:firstLine="31680"/>
                    <w:jc w:val="right"/>
                    <w:rPr>
                      <w:rFonts w:ascii="SimSun" w:eastAsia="SimSun" w:hAnsi="SimSun" w:hint="eastAsia"/>
                      <w:iCs/>
                      <w:sz w:val="15"/>
                      <w:szCs w:val="30"/>
                    </w:rPr>
                  </w:pPr>
                  <w:r>
                    <w:rPr>
                      <w:rFonts w:ascii="SimSun" w:eastAsia="SimSun" w:hAnsi="SimSun" w:hint="eastAsia"/>
                      <w:iCs/>
                      <w:sz w:val="15"/>
                      <w:szCs w:val="30"/>
                    </w:rPr>
                    <w:t>波波纳罗</w:t>
                  </w:r>
                </w:p>
                <w:p w:rsidR="00692915" w:rsidRDefault="00692915" w:rsidP="009A1C1B">
                  <w:pPr>
                    <w:pStyle w:val="FootnoteText"/>
                    <w:spacing w:line="588" w:lineRule="auto"/>
                    <w:ind w:firstLine="31680"/>
                    <w:jc w:val="right"/>
                    <w:rPr>
                      <w:rFonts w:ascii="SimSun" w:eastAsia="SimSun" w:hAnsi="SimSun" w:hint="eastAsia"/>
                      <w:iCs/>
                      <w:sz w:val="15"/>
                      <w:szCs w:val="30"/>
                    </w:rPr>
                  </w:pPr>
                  <w:r>
                    <w:rPr>
                      <w:rFonts w:ascii="SimSun" w:eastAsia="SimSun" w:hAnsi="SimSun" w:hint="eastAsia"/>
                      <w:iCs/>
                      <w:sz w:val="15"/>
                      <w:szCs w:val="30"/>
                    </w:rPr>
                    <w:t>维克克</w:t>
                  </w:r>
                </w:p>
                <w:p w:rsidR="00692915" w:rsidRDefault="00692915" w:rsidP="009A1C1B">
                  <w:pPr>
                    <w:pStyle w:val="FootnoteText"/>
                    <w:spacing w:line="588" w:lineRule="auto"/>
                    <w:ind w:firstLine="31680"/>
                    <w:jc w:val="right"/>
                    <w:rPr>
                      <w:rFonts w:ascii="SimSun" w:eastAsia="SimSun" w:hAnsi="SimSun" w:hint="eastAsia"/>
                      <w:iCs/>
                      <w:sz w:val="15"/>
                      <w:szCs w:val="30"/>
                    </w:rPr>
                  </w:pPr>
                  <w:r>
                    <w:rPr>
                      <w:rFonts w:ascii="SimSun" w:eastAsia="SimSun" w:hAnsi="SimSun" w:hint="eastAsia"/>
                      <w:iCs/>
                      <w:sz w:val="15"/>
                      <w:szCs w:val="30"/>
                    </w:rPr>
                    <w:t>欧库西</w:t>
                  </w:r>
                </w:p>
                <w:p w:rsidR="00692915" w:rsidRDefault="00692915" w:rsidP="009A1C1B">
                  <w:pPr>
                    <w:pStyle w:val="FootnoteText"/>
                    <w:spacing w:line="588" w:lineRule="auto"/>
                    <w:ind w:firstLine="31680"/>
                    <w:jc w:val="right"/>
                    <w:rPr>
                      <w:rFonts w:ascii="SimSun" w:eastAsia="SimSun" w:hAnsi="SimSun" w:hint="eastAsia"/>
                      <w:iCs/>
                      <w:sz w:val="15"/>
                      <w:szCs w:val="30"/>
                    </w:rPr>
                  </w:pPr>
                  <w:r>
                    <w:rPr>
                      <w:rFonts w:ascii="SimSun" w:eastAsia="SimSun" w:hAnsi="SimSun" w:hint="eastAsia"/>
                      <w:iCs/>
                      <w:sz w:val="15"/>
                      <w:szCs w:val="30"/>
                    </w:rPr>
                    <w:t>劳滕</w:t>
                  </w:r>
                </w:p>
                <w:p w:rsidR="00692915" w:rsidRDefault="00692915" w:rsidP="009A1C1B">
                  <w:pPr>
                    <w:pStyle w:val="FootnoteText"/>
                    <w:spacing w:line="588" w:lineRule="auto"/>
                    <w:ind w:firstLine="31680"/>
                    <w:jc w:val="right"/>
                    <w:rPr>
                      <w:rFonts w:ascii="SimSun" w:eastAsia="SimSun" w:hAnsi="SimSun" w:hint="eastAsia"/>
                      <w:iCs/>
                      <w:sz w:val="15"/>
                      <w:szCs w:val="30"/>
                    </w:rPr>
                  </w:pPr>
                  <w:r>
                    <w:rPr>
                      <w:rFonts w:ascii="SimSun" w:eastAsia="SimSun" w:hAnsi="SimSun" w:hint="eastAsia"/>
                      <w:iCs/>
                      <w:sz w:val="15"/>
                      <w:szCs w:val="30"/>
                    </w:rPr>
                    <w:t>利基萨</w:t>
                  </w:r>
                </w:p>
                <w:p w:rsidR="00692915" w:rsidRDefault="00692915" w:rsidP="009A1C1B">
                  <w:pPr>
                    <w:pStyle w:val="FootnoteText"/>
                    <w:spacing w:line="588" w:lineRule="auto"/>
                    <w:ind w:firstLine="31680"/>
                    <w:jc w:val="right"/>
                    <w:rPr>
                      <w:rFonts w:ascii="SimSun" w:eastAsia="SimSun" w:hAnsi="SimSun" w:hint="eastAsia"/>
                      <w:iCs/>
                      <w:sz w:val="15"/>
                      <w:szCs w:val="30"/>
                    </w:rPr>
                  </w:pPr>
                  <w:r>
                    <w:rPr>
                      <w:rFonts w:ascii="SimSun" w:eastAsia="SimSun" w:hAnsi="SimSun" w:hint="eastAsia"/>
                      <w:iCs/>
                      <w:sz w:val="15"/>
                      <w:szCs w:val="30"/>
                    </w:rPr>
                    <w:t>艾纳鲁</w:t>
                  </w:r>
                </w:p>
                <w:p w:rsidR="00692915" w:rsidRDefault="00692915" w:rsidP="009A1C1B">
                  <w:pPr>
                    <w:pStyle w:val="FootnoteText"/>
                    <w:spacing w:line="588" w:lineRule="auto"/>
                    <w:ind w:firstLine="31680"/>
                    <w:jc w:val="right"/>
                    <w:rPr>
                      <w:rFonts w:ascii="SimSun" w:eastAsia="SimSun" w:hAnsi="SimSun" w:hint="eastAsia"/>
                      <w:iCs/>
                      <w:sz w:val="15"/>
                      <w:szCs w:val="30"/>
                    </w:rPr>
                  </w:pPr>
                  <w:r>
                    <w:rPr>
                      <w:rFonts w:ascii="SimSun" w:eastAsia="SimSun" w:hAnsi="SimSun" w:hint="eastAsia"/>
                      <w:iCs/>
                      <w:sz w:val="15"/>
                      <w:szCs w:val="30"/>
                    </w:rPr>
                    <w:t>科瓦利马</w:t>
                  </w:r>
                </w:p>
                <w:p w:rsidR="00692915" w:rsidRDefault="00692915" w:rsidP="009A1C1B">
                  <w:pPr>
                    <w:pStyle w:val="FootnoteText"/>
                    <w:spacing w:line="588" w:lineRule="auto"/>
                    <w:ind w:firstLine="31680"/>
                    <w:jc w:val="right"/>
                    <w:rPr>
                      <w:rFonts w:ascii="SimSun" w:eastAsia="SimSun" w:hAnsi="SimSun" w:hint="eastAsia"/>
                      <w:iCs/>
                      <w:sz w:val="15"/>
                      <w:szCs w:val="30"/>
                    </w:rPr>
                  </w:pPr>
                  <w:r>
                    <w:rPr>
                      <w:rFonts w:ascii="SimSun" w:eastAsia="SimSun" w:hAnsi="SimSun" w:hint="eastAsia"/>
                      <w:iCs/>
                      <w:sz w:val="15"/>
                      <w:szCs w:val="30"/>
                    </w:rPr>
                    <w:t>马努法希</w:t>
                  </w:r>
                </w:p>
                <w:p w:rsidR="00692915" w:rsidRDefault="00692915" w:rsidP="009A1C1B">
                  <w:pPr>
                    <w:pStyle w:val="FootnoteText"/>
                    <w:spacing w:line="588" w:lineRule="auto"/>
                    <w:ind w:firstLine="31680"/>
                    <w:jc w:val="right"/>
                    <w:rPr>
                      <w:rFonts w:ascii="SimSun" w:eastAsia="SimSun" w:hAnsi="SimSun" w:hint="eastAsia"/>
                      <w:iCs/>
                      <w:sz w:val="15"/>
                      <w:szCs w:val="30"/>
                    </w:rPr>
                  </w:pPr>
                  <w:r>
                    <w:rPr>
                      <w:rFonts w:ascii="SimSun" w:eastAsia="SimSun" w:hAnsi="SimSun" w:hint="eastAsia"/>
                      <w:iCs/>
                      <w:sz w:val="15"/>
                      <w:szCs w:val="30"/>
                    </w:rPr>
                    <w:t>马纳图托</w:t>
                  </w:r>
                </w:p>
                <w:p w:rsidR="00692915" w:rsidRDefault="00692915" w:rsidP="009A1C1B">
                  <w:pPr>
                    <w:pStyle w:val="FootnoteText"/>
                    <w:spacing w:line="588" w:lineRule="auto"/>
                    <w:ind w:firstLine="31680"/>
                    <w:jc w:val="right"/>
                    <w:rPr>
                      <w:rFonts w:eastAsia="SimSun"/>
                      <w:sz w:val="15"/>
                    </w:rPr>
                  </w:pPr>
                  <w:r>
                    <w:rPr>
                      <w:rFonts w:ascii="SimSun" w:eastAsia="SimSun" w:hAnsi="SimSun" w:hint="eastAsia"/>
                      <w:iCs/>
                      <w:sz w:val="15"/>
                      <w:szCs w:val="30"/>
                    </w:rPr>
                    <w:t>阿伊莱乌</w:t>
                  </w:r>
                </w:p>
              </w:txbxContent>
            </v:textbox>
          </v:shape>
        </w:pict>
      </w:r>
      <w:r>
        <w:rPr>
          <w:noProof/>
          <w:snapToGrid/>
          <w:color w:val="000000"/>
          <w:sz w:val="20"/>
        </w:rPr>
        <w:pict>
          <v:shape id="_x0000_s2420" type="#_x0000_t202" style="position:absolute;left:0;text-align:left;margin-left:393.5pt;margin-top:261pt;width:42pt;height:40.75pt;z-index:149" o:regroupid="25" filled="f" fillcolor="#ffbfbf" stroked="f">
            <v:textbox inset=",0,,0">
              <w:txbxContent>
                <w:p w:rsidR="00692915" w:rsidRDefault="00692915">
                  <w:pPr>
                    <w:pStyle w:val="FootnoteText"/>
                    <w:spacing w:line="180" w:lineRule="exact"/>
                    <w:ind w:firstLineChars="0" w:firstLine="0"/>
                    <w:jc w:val="left"/>
                    <w:rPr>
                      <w:b/>
                      <w:bCs/>
                      <w:sz w:val="18"/>
                    </w:rPr>
                  </w:pPr>
                  <w:r>
                    <w:rPr>
                      <w:rFonts w:eastAsia="SimSun" w:hint="eastAsia"/>
                      <w:sz w:val="15"/>
                    </w:rPr>
                    <w:t>地区中的选民总数</w:t>
                  </w:r>
                </w:p>
              </w:txbxContent>
            </v:textbox>
          </v:shape>
        </w:pict>
      </w:r>
      <w:r>
        <w:rPr>
          <w:noProof/>
          <w:snapToGrid/>
          <w:color w:val="000000"/>
          <w:sz w:val="20"/>
        </w:rPr>
        <w:pict>
          <v:shape id="_x0000_s2419" type="#_x0000_t202" style="position:absolute;left:0;text-align:left;margin-left:291.5pt;margin-top:274.85pt;width:108pt;height:11.35pt;z-index:148" o:regroupid="25" filled="f" fillcolor="#ffbfbf" stroked="f">
            <v:textbox inset="0,0,1.5mm,0">
              <w:txbxContent>
                <w:p w:rsidR="00692915" w:rsidRDefault="00692915">
                  <w:pPr>
                    <w:pStyle w:val="FootnoteText"/>
                    <w:spacing w:line="180" w:lineRule="exact"/>
                    <w:ind w:firstLineChars="0" w:firstLine="0"/>
                    <w:jc w:val="left"/>
                    <w:rPr>
                      <w:b/>
                      <w:bCs/>
                      <w:sz w:val="18"/>
                    </w:rPr>
                  </w:pPr>
                  <w:r>
                    <w:rPr>
                      <w:rFonts w:eastAsia="SimSun" w:hint="eastAsia"/>
                      <w:sz w:val="15"/>
                    </w:rPr>
                    <w:t>每个地区的选民总数</w:t>
                  </w:r>
                </w:p>
              </w:txbxContent>
            </v:textbox>
          </v:shape>
        </w:pict>
      </w:r>
      <w:r>
        <w:rPr>
          <w:noProof/>
          <w:snapToGrid/>
          <w:color w:val="000000"/>
          <w:sz w:val="20"/>
        </w:rPr>
        <w:pict>
          <v:shape id="_x0000_s2418" type="#_x0000_t202" style="position:absolute;left:0;text-align:left;margin-left:187pt;margin-top:276.35pt;width:35.95pt;height:11.35pt;z-index:147" o:regroupid="25" filled="f" fillcolor="#ffbfbf" stroked="f">
            <v:textbox inset=",0,,0">
              <w:txbxContent>
                <w:p w:rsidR="00692915" w:rsidRDefault="00692915">
                  <w:pPr>
                    <w:pStyle w:val="FootnoteText"/>
                    <w:spacing w:line="180" w:lineRule="exact"/>
                    <w:ind w:firstLineChars="0" w:firstLine="0"/>
                    <w:jc w:val="left"/>
                    <w:rPr>
                      <w:b/>
                      <w:bCs/>
                      <w:sz w:val="18"/>
                    </w:rPr>
                  </w:pPr>
                  <w:r>
                    <w:rPr>
                      <w:rFonts w:eastAsia="SimSun" w:hint="eastAsia"/>
                      <w:sz w:val="15"/>
                    </w:rPr>
                    <w:t>男性</w:t>
                  </w:r>
                </w:p>
              </w:txbxContent>
            </v:textbox>
          </v:shape>
        </w:pict>
      </w:r>
      <w:r>
        <w:rPr>
          <w:noProof/>
          <w:snapToGrid/>
          <w:color w:val="000000"/>
          <w:sz w:val="20"/>
        </w:rPr>
        <w:pict>
          <v:shape id="_x0000_s2417" type="#_x0000_t202" style="position:absolute;left:0;text-align:left;margin-left:78pt;margin-top:273.85pt;width:35.95pt;height:11.35pt;z-index:146" o:regroupid="25" filled="f" fillcolor="#ffbfbf" stroked="f">
            <v:textbox inset=",0,,0">
              <w:txbxContent>
                <w:p w:rsidR="00692915" w:rsidRDefault="00692915">
                  <w:pPr>
                    <w:pStyle w:val="FootnoteText"/>
                    <w:spacing w:line="180" w:lineRule="exact"/>
                    <w:ind w:firstLineChars="0" w:firstLine="0"/>
                    <w:jc w:val="left"/>
                    <w:rPr>
                      <w:b/>
                      <w:bCs/>
                      <w:sz w:val="18"/>
                    </w:rPr>
                  </w:pPr>
                  <w:r>
                    <w:rPr>
                      <w:rFonts w:eastAsia="SimSun" w:hint="eastAsia"/>
                      <w:sz w:val="15"/>
                    </w:rPr>
                    <w:t>女性</w:t>
                  </w:r>
                </w:p>
              </w:txbxContent>
            </v:textbox>
          </v:shape>
        </w:pict>
      </w:r>
      <w:r>
        <w:rPr>
          <w:noProof/>
          <w:snapToGrid/>
          <w:color w:val="000000"/>
          <w:sz w:val="20"/>
        </w:rPr>
        <w:pict>
          <v:shape id="_x0000_s2416" type="#_x0000_t202" style="position:absolute;left:0;text-align:left;margin-left:36pt;margin-top:249.4pt;width:54pt;height:24.45pt;z-index:145" o:regroupid="25" filled="f" fillcolor="#ffbfbf" stroked="f">
            <v:textbox>
              <w:txbxContent>
                <w:p w:rsidR="00692915" w:rsidRDefault="00692915">
                  <w:pPr>
                    <w:pStyle w:val="FootnoteText"/>
                    <w:spacing w:line="180" w:lineRule="exact"/>
                    <w:ind w:firstLineChars="0" w:firstLine="0"/>
                    <w:jc w:val="left"/>
                    <w:rPr>
                      <w:rFonts w:eastAsia="SimSun"/>
                      <w:sz w:val="15"/>
                    </w:rPr>
                  </w:pPr>
                  <w:r>
                    <w:rPr>
                      <w:rFonts w:eastAsia="SimSun" w:hint="eastAsia"/>
                      <w:sz w:val="15"/>
                    </w:rPr>
                    <w:t>男、女选民的百分比</w:t>
                  </w:r>
                </w:p>
              </w:txbxContent>
            </v:textbox>
          </v:shape>
        </w:pict>
      </w:r>
      <w:r>
        <w:rPr>
          <w:noProof/>
          <w:snapToGrid/>
          <w:color w:val="000000"/>
          <w:sz w:val="20"/>
        </w:rPr>
        <w:pict>
          <v:shape id="_x0000_s2414" type="#_x0000_t202" style="position:absolute;left:0;text-align:left;margin-left:78pt;margin-top:6.1pt;width:318pt;height:32.6pt;z-index:143" o:regroupid="25" filled="f" fillcolor="#f48080" stroked="f">
            <v:fill color2="#f7a5a5" angle="-90" focus="100%" type="gradient"/>
            <v:textbox inset=",3.3mm">
              <w:txbxContent>
                <w:p w:rsidR="00692915" w:rsidRDefault="00692915">
                  <w:pPr>
                    <w:ind w:firstLineChars="0" w:firstLine="0"/>
                    <w:jc w:val="center"/>
                    <w:rPr>
                      <w:rFonts w:eastAsia="SimHei"/>
                      <w:sz w:val="21"/>
                    </w:rPr>
                  </w:pPr>
                  <w:r>
                    <w:rPr>
                      <w:rFonts w:eastAsia="SimHei" w:hint="eastAsia"/>
                      <w:sz w:val="21"/>
                    </w:rPr>
                    <w:t>地方政府选举中男女选民的参选人数很多</w:t>
                  </w:r>
                </w:p>
              </w:txbxContent>
            </v:textbox>
          </v:shape>
        </w:pict>
      </w:r>
      <w:bookmarkStart w:id="331" w:name="_MON_1246279172"/>
      <w:bookmarkStart w:id="332" w:name="_MON_1246279354"/>
      <w:bookmarkStart w:id="333" w:name="_MON_1246279497"/>
      <w:bookmarkStart w:id="334" w:name="_MON_1246279540"/>
      <w:bookmarkStart w:id="335" w:name="_MON_1246279726"/>
      <w:bookmarkStart w:id="336" w:name="_MON_1246279954"/>
      <w:bookmarkStart w:id="337" w:name="_MON_1247658559"/>
      <w:bookmarkStart w:id="338" w:name="_MON_1247658569"/>
      <w:bookmarkStart w:id="339" w:name="_MON_1247658584"/>
      <w:bookmarkStart w:id="340" w:name="_MON_1247661264"/>
      <w:bookmarkStart w:id="341" w:name="_MON_1247662189"/>
      <w:bookmarkStart w:id="342" w:name="_MON_1247666059"/>
      <w:bookmarkStart w:id="343" w:name="_MON_1247896154"/>
      <w:bookmarkStart w:id="344" w:name="_MON_1247896454"/>
      <w:bookmarkStart w:id="345" w:name="_MON_1247916796"/>
      <w:bookmarkStart w:id="346" w:name="_MON_1247916927"/>
      <w:bookmarkStart w:id="347" w:name="_MON_1257842951"/>
      <w:bookmarkStart w:id="348" w:name="_MON_1257848309"/>
      <w:bookmarkStart w:id="349" w:name="_MON_1257966544"/>
      <w:bookmarkStart w:id="350" w:name="_MON_1257966821"/>
      <w:bookmarkStart w:id="351" w:name="_MON_1261428138"/>
      <w:bookmarkStart w:id="352" w:name="_MON_1261428193"/>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r>
        <w:rPr>
          <w:b/>
          <w:color w:val="000000"/>
        </w:rPr>
        <w:object w:dxaOrig="8089" w:dyaOrig="5979">
          <v:shape id="_x0000_i1055" type="#_x0000_t75" style="width:404.25pt;height:299.25pt" o:ole="">
            <v:imagedata r:id="rId68" o:title=""/>
          </v:shape>
          <o:OLEObject Type="Embed" ProgID="Word.Picture.8" ShapeID="_x0000_i1055" DrawAspect="Content" ObjectID="_1395890564" r:id="rId69"/>
        </w:object>
      </w:r>
    </w:p>
    <w:p w:rsidR="00692915" w:rsidRDefault="00692915" w:rsidP="009A1C1B">
      <w:pPr>
        <w:spacing w:after="240"/>
        <w:ind w:firstLine="31680"/>
        <w:rPr>
          <w:rFonts w:hint="eastAsia"/>
          <w:color w:val="000000"/>
          <w:sz w:val="21"/>
        </w:rPr>
      </w:pPr>
      <w:r>
        <w:rPr>
          <w:rFonts w:eastAsia="KaiTi_GB2312" w:hint="eastAsia"/>
          <w:color w:val="000000"/>
          <w:sz w:val="21"/>
        </w:rPr>
        <w:t>资料来源</w:t>
      </w:r>
      <w:r>
        <w:rPr>
          <w:rFonts w:hint="eastAsia"/>
          <w:color w:val="000000"/>
          <w:sz w:val="21"/>
        </w:rPr>
        <w:t>：</w:t>
      </w:r>
      <w:r>
        <w:rPr>
          <w:color w:val="000000"/>
          <w:sz w:val="21"/>
        </w:rPr>
        <w:t>http://www.stae.tl/DADOS_ELEITORES.htm</w:t>
      </w:r>
      <w:r>
        <w:rPr>
          <w:rFonts w:hint="eastAsia"/>
          <w:color w:val="000000"/>
          <w:sz w:val="21"/>
        </w:rPr>
        <w:t>。</w:t>
      </w:r>
    </w:p>
    <w:p w:rsidR="00692915" w:rsidRDefault="00692915">
      <w:pPr>
        <w:pStyle w:val="Heading5"/>
        <w:ind w:firstLineChars="0" w:firstLine="0"/>
        <w:rPr>
          <w:rFonts w:hint="eastAsia"/>
          <w:color w:val="000000"/>
          <w:lang w:eastAsia="zh-CN"/>
        </w:rPr>
      </w:pPr>
      <w:r>
        <w:rPr>
          <w:rFonts w:eastAsia="KaiTi_GB2312" w:hint="eastAsia"/>
          <w:i w:val="0"/>
          <w:iCs/>
          <w:color w:val="000000"/>
          <w:lang w:eastAsia="zh-CN"/>
        </w:rPr>
        <w:t>犯罪统计与司法管理信息</w:t>
      </w:r>
    </w:p>
    <w:p w:rsidR="00692915" w:rsidRDefault="00692915">
      <w:pPr>
        <w:pStyle w:val="Heading4"/>
        <w:ind w:firstLineChars="0" w:firstLine="0"/>
        <w:rPr>
          <w:rFonts w:hint="eastAsia"/>
          <w:color w:val="000000"/>
          <w:u w:val="none"/>
        </w:rPr>
      </w:pPr>
      <w:r>
        <w:rPr>
          <w:rFonts w:ascii="KaiTi_GB2312" w:eastAsia="KaiTi_GB2312" w:hint="eastAsia"/>
          <w:color w:val="000000"/>
          <w:u w:val="none"/>
        </w:rPr>
        <w:t>自2002年以来刑事案件的数量</w:t>
      </w:r>
      <w:r>
        <w:rPr>
          <w:rStyle w:val="FootnoteReference"/>
          <w:color w:val="000000"/>
          <w:szCs w:val="24"/>
          <w:u w:val="none"/>
        </w:rPr>
        <w:footnoteReference w:id="407"/>
      </w:r>
    </w:p>
    <w:p w:rsidR="00692915" w:rsidRDefault="00692915" w:rsidP="009A1C1B">
      <w:pPr>
        <w:autoSpaceDE w:val="0"/>
        <w:autoSpaceDN w:val="0"/>
        <w:ind w:firstLine="31680"/>
        <w:rPr>
          <w:rFonts w:hint="eastAsia"/>
          <w:bCs/>
          <w:color w:val="000000"/>
        </w:rPr>
      </w:pPr>
      <w:r>
        <w:rPr>
          <w:rFonts w:hint="eastAsia"/>
          <w:bCs/>
          <w:color w:val="000000"/>
        </w:rPr>
        <w:t>没有关于</w:t>
      </w:r>
      <w:r>
        <w:rPr>
          <w:rFonts w:hint="eastAsia"/>
          <w:bCs/>
          <w:color w:val="000000"/>
        </w:rPr>
        <w:t>2002</w:t>
      </w:r>
      <w:r>
        <w:rPr>
          <w:rFonts w:hint="eastAsia"/>
          <w:bCs/>
          <w:color w:val="000000"/>
        </w:rPr>
        <w:t>年以来刑事案件数量的明确数据。仅</w:t>
      </w:r>
      <w:r>
        <w:rPr>
          <w:rFonts w:hint="eastAsia"/>
          <w:bCs/>
          <w:color w:val="000000"/>
        </w:rPr>
        <w:t>2005</w:t>
      </w:r>
      <w:r>
        <w:rPr>
          <w:rFonts w:hint="eastAsia"/>
          <w:bCs/>
          <w:color w:val="000000"/>
        </w:rPr>
        <w:t>年在地区法院备案的刑事案件就多达</w:t>
      </w:r>
      <w:r>
        <w:rPr>
          <w:rFonts w:hint="eastAsia"/>
          <w:bCs/>
          <w:color w:val="000000"/>
        </w:rPr>
        <w:t>159</w:t>
      </w:r>
      <w:r>
        <w:rPr>
          <w:rFonts w:hint="eastAsia"/>
          <w:bCs/>
          <w:color w:val="000000"/>
        </w:rPr>
        <w:t>起（甚至可能更多）。截止</w:t>
      </w:r>
      <w:r>
        <w:rPr>
          <w:rFonts w:hint="eastAsia"/>
          <w:bCs/>
          <w:color w:val="000000"/>
        </w:rPr>
        <w:t>2004</w:t>
      </w:r>
      <w:r>
        <w:rPr>
          <w:rFonts w:hint="eastAsia"/>
          <w:bCs/>
          <w:color w:val="000000"/>
        </w:rPr>
        <w:t>年</w:t>
      </w:r>
      <w:r>
        <w:rPr>
          <w:rFonts w:hint="eastAsia"/>
          <w:bCs/>
          <w:color w:val="000000"/>
        </w:rPr>
        <w:t>12</w:t>
      </w:r>
      <w:r>
        <w:rPr>
          <w:rFonts w:hint="eastAsia"/>
          <w:bCs/>
          <w:color w:val="000000"/>
        </w:rPr>
        <w:t>月，已提交给上诉法院的案件有</w:t>
      </w:r>
      <w:r>
        <w:rPr>
          <w:rFonts w:hint="eastAsia"/>
          <w:bCs/>
          <w:color w:val="000000"/>
        </w:rPr>
        <w:t>203</w:t>
      </w:r>
      <w:r>
        <w:rPr>
          <w:rFonts w:hint="eastAsia"/>
          <w:bCs/>
          <w:color w:val="000000"/>
        </w:rPr>
        <w:t>起，其中已判决的有</w:t>
      </w:r>
      <w:r>
        <w:rPr>
          <w:rFonts w:hint="eastAsia"/>
          <w:bCs/>
          <w:color w:val="000000"/>
        </w:rPr>
        <w:t>135</w:t>
      </w:r>
      <w:r>
        <w:rPr>
          <w:rFonts w:hint="eastAsia"/>
          <w:bCs/>
          <w:color w:val="000000"/>
        </w:rPr>
        <w:t>起，未解决的有</w:t>
      </w:r>
      <w:r>
        <w:rPr>
          <w:rFonts w:hint="eastAsia"/>
          <w:bCs/>
          <w:color w:val="000000"/>
        </w:rPr>
        <w:t>68</w:t>
      </w:r>
      <w:r>
        <w:rPr>
          <w:rFonts w:hint="eastAsia"/>
          <w:bCs/>
          <w:color w:val="000000"/>
        </w:rPr>
        <w:t>起，但不清楚其中有多少为刑事案件。</w:t>
      </w:r>
    </w:p>
    <w:p w:rsidR="00692915" w:rsidRDefault="00692915" w:rsidP="009A1C1B">
      <w:pPr>
        <w:ind w:firstLine="31680"/>
        <w:rPr>
          <w:rFonts w:hint="eastAsia"/>
          <w:bCs/>
          <w:color w:val="000000"/>
        </w:rPr>
      </w:pPr>
      <w:r>
        <w:rPr>
          <w:rFonts w:hint="eastAsia"/>
          <w:bCs/>
          <w:color w:val="000000"/>
        </w:rPr>
        <w:t>有关妇女和儿童案件的信息，请参照与条约有关的专门文件。</w:t>
      </w:r>
    </w:p>
    <w:p w:rsidR="00692915" w:rsidRDefault="00692915" w:rsidP="009A1C1B">
      <w:pPr>
        <w:keepNext/>
        <w:keepLines/>
        <w:spacing w:afterLines="50" w:after="180"/>
        <w:ind w:leftChars="-1" w:left="31680" w:firstLineChars="0" w:firstLine="0"/>
        <w:jc w:val="center"/>
        <w:rPr>
          <w:rFonts w:hint="eastAsia"/>
          <w:color w:val="000000"/>
        </w:rPr>
      </w:pPr>
      <w:r>
        <w:rPr>
          <w:rFonts w:hint="eastAsia"/>
          <w:color w:val="000000"/>
        </w:rPr>
        <w:t>积压案件</w:t>
      </w:r>
    </w:p>
    <w:p w:rsidR="00692915" w:rsidRDefault="00692915" w:rsidP="009A1C1B">
      <w:pPr>
        <w:keepNext/>
        <w:keepLines/>
        <w:spacing w:afterLines="50" w:after="180"/>
        <w:ind w:leftChars="-1" w:left="31680" w:firstLineChars="0" w:firstLine="0"/>
        <w:jc w:val="center"/>
        <w:rPr>
          <w:rFonts w:hint="eastAsia"/>
          <w:color w:val="000000"/>
        </w:rPr>
      </w:pPr>
      <w:bookmarkStart w:id="353" w:name="_Toc135830108"/>
      <w:bookmarkStart w:id="354" w:name="_Toc150515116"/>
      <w:bookmarkStart w:id="355" w:name="_Toc150685039"/>
      <w:r>
        <w:rPr>
          <w:rFonts w:hint="eastAsia"/>
          <w:color w:val="000000"/>
        </w:rPr>
        <w:t>截止</w:t>
      </w:r>
      <w:r>
        <w:rPr>
          <w:rFonts w:hint="eastAsia"/>
          <w:color w:val="000000"/>
        </w:rPr>
        <w:t>20</w:t>
      </w:r>
      <w:r>
        <w:rPr>
          <w:color w:val="000000"/>
        </w:rPr>
        <w:t>06</w:t>
      </w:r>
      <w:bookmarkEnd w:id="353"/>
      <w:bookmarkEnd w:id="354"/>
      <w:bookmarkEnd w:id="355"/>
      <w:r>
        <w:rPr>
          <w:rFonts w:hint="eastAsia"/>
          <w:color w:val="000000"/>
        </w:rPr>
        <w:t>年</w:t>
      </w:r>
      <w:r>
        <w:rPr>
          <w:rFonts w:hint="eastAsia"/>
          <w:color w:val="000000"/>
        </w:rPr>
        <w:t>4</w:t>
      </w:r>
      <w:r>
        <w:rPr>
          <w:rFonts w:hint="eastAsia"/>
          <w:color w:val="000000"/>
        </w:rPr>
        <w:t>月在押犯人总数</w:t>
      </w:r>
    </w:p>
    <w:tbl>
      <w:tblPr>
        <w:tblW w:w="5353" w:type="dxa"/>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8"/>
        <w:gridCol w:w="1338"/>
        <w:gridCol w:w="1338"/>
        <w:gridCol w:w="1339"/>
      </w:tblGrid>
      <w:tr w:rsidR="00692915">
        <w:trPr>
          <w:trHeight w:val="255"/>
          <w:jc w:val="center"/>
        </w:trPr>
        <w:tc>
          <w:tcPr>
            <w:tcW w:w="1338" w:type="dxa"/>
            <w:noWrap/>
            <w:vAlign w:val="bottom"/>
          </w:tcPr>
          <w:p w:rsidR="00692915" w:rsidRDefault="00692915">
            <w:pPr>
              <w:keepNext/>
              <w:keepLines/>
              <w:ind w:firstLineChars="0" w:firstLine="0"/>
              <w:rPr>
                <w:rFonts w:hint="eastAsia"/>
                <w:bCs/>
                <w:color w:val="000000"/>
              </w:rPr>
            </w:pPr>
            <w:r>
              <w:rPr>
                <w:rFonts w:hint="eastAsia"/>
                <w:bCs/>
                <w:color w:val="000000"/>
              </w:rPr>
              <w:t>监狱</w:t>
            </w:r>
          </w:p>
        </w:tc>
        <w:tc>
          <w:tcPr>
            <w:tcW w:w="1338" w:type="dxa"/>
            <w:noWrap/>
            <w:vAlign w:val="bottom"/>
          </w:tcPr>
          <w:p w:rsidR="00692915" w:rsidRDefault="00692915">
            <w:pPr>
              <w:keepNext/>
              <w:keepLines/>
              <w:ind w:firstLineChars="0" w:firstLine="0"/>
              <w:jc w:val="center"/>
              <w:rPr>
                <w:rFonts w:hint="eastAsia"/>
                <w:bCs/>
                <w:color w:val="000000"/>
              </w:rPr>
            </w:pPr>
            <w:r>
              <w:rPr>
                <w:rFonts w:hint="eastAsia"/>
                <w:bCs/>
                <w:color w:val="000000"/>
              </w:rPr>
              <w:t>在押犯人</w:t>
            </w:r>
          </w:p>
        </w:tc>
        <w:tc>
          <w:tcPr>
            <w:tcW w:w="1338" w:type="dxa"/>
            <w:noWrap/>
            <w:vAlign w:val="bottom"/>
          </w:tcPr>
          <w:p w:rsidR="00692915" w:rsidRDefault="00692915">
            <w:pPr>
              <w:keepNext/>
              <w:keepLines/>
              <w:ind w:firstLineChars="0" w:firstLine="0"/>
              <w:jc w:val="center"/>
              <w:rPr>
                <w:rFonts w:hint="eastAsia"/>
                <w:bCs/>
                <w:color w:val="000000"/>
              </w:rPr>
            </w:pPr>
            <w:r>
              <w:rPr>
                <w:rFonts w:hint="eastAsia"/>
                <w:bCs/>
                <w:color w:val="000000"/>
              </w:rPr>
              <w:t>少年犯</w:t>
            </w:r>
          </w:p>
        </w:tc>
        <w:tc>
          <w:tcPr>
            <w:tcW w:w="1339" w:type="dxa"/>
            <w:noWrap/>
            <w:vAlign w:val="bottom"/>
          </w:tcPr>
          <w:p w:rsidR="00692915" w:rsidRDefault="00692915">
            <w:pPr>
              <w:keepNext/>
              <w:keepLines/>
              <w:ind w:firstLineChars="0" w:firstLine="0"/>
              <w:jc w:val="center"/>
              <w:rPr>
                <w:rFonts w:hint="eastAsia"/>
                <w:bCs/>
                <w:color w:val="000000"/>
              </w:rPr>
            </w:pPr>
            <w:r>
              <w:rPr>
                <w:rFonts w:hint="eastAsia"/>
                <w:bCs/>
                <w:color w:val="000000"/>
              </w:rPr>
              <w:t>女犯人</w:t>
            </w:r>
          </w:p>
        </w:tc>
      </w:tr>
      <w:tr w:rsidR="00692915">
        <w:trPr>
          <w:trHeight w:val="255"/>
          <w:jc w:val="center"/>
        </w:trPr>
        <w:tc>
          <w:tcPr>
            <w:tcW w:w="1338" w:type="dxa"/>
            <w:tcBorders>
              <w:bottom w:val="nil"/>
            </w:tcBorders>
            <w:noWrap/>
            <w:vAlign w:val="bottom"/>
          </w:tcPr>
          <w:p w:rsidR="00692915" w:rsidRDefault="00692915">
            <w:pPr>
              <w:ind w:firstLineChars="0" w:firstLine="0"/>
              <w:rPr>
                <w:rFonts w:hint="eastAsia"/>
                <w:bCs/>
                <w:color w:val="000000"/>
              </w:rPr>
            </w:pPr>
            <w:r>
              <w:rPr>
                <w:rFonts w:hint="eastAsia"/>
                <w:bCs/>
                <w:color w:val="000000"/>
              </w:rPr>
              <w:t>贝克拉</w:t>
            </w:r>
          </w:p>
        </w:tc>
        <w:tc>
          <w:tcPr>
            <w:tcW w:w="1338" w:type="dxa"/>
            <w:tcBorders>
              <w:bottom w:val="nil"/>
            </w:tcBorders>
            <w:noWrap/>
            <w:vAlign w:val="bottom"/>
          </w:tcPr>
          <w:p w:rsidR="00692915" w:rsidRDefault="00692915">
            <w:pPr>
              <w:ind w:right="340" w:firstLineChars="0" w:firstLine="0"/>
              <w:jc w:val="right"/>
              <w:rPr>
                <w:bCs/>
                <w:color w:val="000000"/>
              </w:rPr>
            </w:pPr>
            <w:r>
              <w:rPr>
                <w:bCs/>
                <w:color w:val="000000"/>
              </w:rPr>
              <w:t>173</w:t>
            </w:r>
          </w:p>
        </w:tc>
        <w:tc>
          <w:tcPr>
            <w:tcW w:w="1338" w:type="dxa"/>
            <w:tcBorders>
              <w:bottom w:val="nil"/>
            </w:tcBorders>
            <w:noWrap/>
            <w:vAlign w:val="bottom"/>
          </w:tcPr>
          <w:p w:rsidR="00692915" w:rsidRDefault="00692915">
            <w:pPr>
              <w:ind w:firstLineChars="0" w:firstLine="0"/>
              <w:jc w:val="center"/>
              <w:rPr>
                <w:bCs/>
                <w:color w:val="000000"/>
              </w:rPr>
            </w:pPr>
            <w:r>
              <w:rPr>
                <w:bCs/>
                <w:color w:val="000000"/>
              </w:rPr>
              <w:t>5</w:t>
            </w:r>
          </w:p>
        </w:tc>
        <w:tc>
          <w:tcPr>
            <w:tcW w:w="1339" w:type="dxa"/>
            <w:tcBorders>
              <w:bottom w:val="nil"/>
            </w:tcBorders>
            <w:noWrap/>
            <w:vAlign w:val="bottom"/>
          </w:tcPr>
          <w:p w:rsidR="00692915" w:rsidRDefault="00692915">
            <w:pPr>
              <w:ind w:firstLineChars="0" w:firstLine="0"/>
              <w:rPr>
                <w:bCs/>
                <w:color w:val="000000"/>
              </w:rPr>
            </w:pPr>
          </w:p>
        </w:tc>
      </w:tr>
      <w:tr w:rsidR="00692915">
        <w:trPr>
          <w:trHeight w:val="255"/>
          <w:jc w:val="center"/>
        </w:trPr>
        <w:tc>
          <w:tcPr>
            <w:tcW w:w="1338" w:type="dxa"/>
            <w:tcBorders>
              <w:top w:val="nil"/>
              <w:bottom w:val="nil"/>
            </w:tcBorders>
            <w:noWrap/>
            <w:vAlign w:val="bottom"/>
          </w:tcPr>
          <w:p w:rsidR="00692915" w:rsidRDefault="00692915">
            <w:pPr>
              <w:ind w:firstLineChars="0" w:firstLine="0"/>
              <w:rPr>
                <w:rFonts w:hint="eastAsia"/>
                <w:bCs/>
                <w:color w:val="000000"/>
              </w:rPr>
            </w:pPr>
            <w:r>
              <w:rPr>
                <w:rFonts w:hint="eastAsia"/>
                <w:bCs/>
                <w:color w:val="000000"/>
              </w:rPr>
              <w:t>包考</w:t>
            </w:r>
          </w:p>
        </w:tc>
        <w:tc>
          <w:tcPr>
            <w:tcW w:w="1338" w:type="dxa"/>
            <w:tcBorders>
              <w:top w:val="nil"/>
              <w:bottom w:val="nil"/>
            </w:tcBorders>
            <w:noWrap/>
            <w:vAlign w:val="bottom"/>
          </w:tcPr>
          <w:p w:rsidR="00692915" w:rsidRDefault="00692915">
            <w:pPr>
              <w:ind w:right="340" w:firstLineChars="0" w:firstLine="0"/>
              <w:jc w:val="right"/>
              <w:rPr>
                <w:bCs/>
                <w:color w:val="000000"/>
              </w:rPr>
            </w:pPr>
            <w:r>
              <w:rPr>
                <w:bCs/>
                <w:color w:val="000000"/>
              </w:rPr>
              <w:t>39</w:t>
            </w:r>
          </w:p>
        </w:tc>
        <w:tc>
          <w:tcPr>
            <w:tcW w:w="1338" w:type="dxa"/>
            <w:tcBorders>
              <w:top w:val="nil"/>
              <w:bottom w:val="nil"/>
            </w:tcBorders>
            <w:noWrap/>
            <w:vAlign w:val="bottom"/>
          </w:tcPr>
          <w:p w:rsidR="00692915" w:rsidRDefault="00692915">
            <w:pPr>
              <w:ind w:firstLineChars="0" w:firstLine="0"/>
              <w:rPr>
                <w:bCs/>
                <w:color w:val="000000"/>
              </w:rPr>
            </w:pPr>
          </w:p>
        </w:tc>
        <w:tc>
          <w:tcPr>
            <w:tcW w:w="1339" w:type="dxa"/>
            <w:tcBorders>
              <w:top w:val="nil"/>
              <w:bottom w:val="nil"/>
            </w:tcBorders>
            <w:noWrap/>
            <w:vAlign w:val="bottom"/>
          </w:tcPr>
          <w:p w:rsidR="00692915" w:rsidRDefault="00692915">
            <w:pPr>
              <w:ind w:firstLineChars="0" w:firstLine="0"/>
              <w:rPr>
                <w:bCs/>
                <w:color w:val="000000"/>
              </w:rPr>
            </w:pPr>
          </w:p>
        </w:tc>
      </w:tr>
      <w:tr w:rsidR="00692915">
        <w:trPr>
          <w:trHeight w:val="255"/>
          <w:jc w:val="center"/>
        </w:trPr>
        <w:tc>
          <w:tcPr>
            <w:tcW w:w="1338" w:type="dxa"/>
            <w:tcBorders>
              <w:top w:val="nil"/>
            </w:tcBorders>
            <w:noWrap/>
            <w:vAlign w:val="bottom"/>
          </w:tcPr>
          <w:p w:rsidR="00692915" w:rsidRDefault="00692915">
            <w:pPr>
              <w:ind w:firstLineChars="0" w:firstLine="0"/>
              <w:rPr>
                <w:rFonts w:hint="eastAsia"/>
                <w:bCs/>
                <w:color w:val="000000"/>
              </w:rPr>
            </w:pPr>
            <w:r>
              <w:rPr>
                <w:rFonts w:hint="eastAsia"/>
                <w:bCs/>
                <w:color w:val="000000"/>
              </w:rPr>
              <w:t>格莱诺</w:t>
            </w:r>
          </w:p>
        </w:tc>
        <w:tc>
          <w:tcPr>
            <w:tcW w:w="1338" w:type="dxa"/>
            <w:tcBorders>
              <w:top w:val="nil"/>
            </w:tcBorders>
            <w:noWrap/>
            <w:vAlign w:val="bottom"/>
          </w:tcPr>
          <w:p w:rsidR="00692915" w:rsidRDefault="00692915">
            <w:pPr>
              <w:ind w:right="340" w:firstLineChars="0" w:firstLine="0"/>
              <w:jc w:val="right"/>
              <w:rPr>
                <w:bCs/>
                <w:color w:val="000000"/>
              </w:rPr>
            </w:pPr>
            <w:r>
              <w:rPr>
                <w:bCs/>
                <w:color w:val="000000"/>
              </w:rPr>
              <w:t>24</w:t>
            </w:r>
          </w:p>
        </w:tc>
        <w:tc>
          <w:tcPr>
            <w:tcW w:w="1338" w:type="dxa"/>
            <w:tcBorders>
              <w:top w:val="nil"/>
            </w:tcBorders>
            <w:noWrap/>
            <w:vAlign w:val="bottom"/>
          </w:tcPr>
          <w:p w:rsidR="00692915" w:rsidRDefault="00692915">
            <w:pPr>
              <w:ind w:firstLineChars="0" w:firstLine="0"/>
              <w:rPr>
                <w:bCs/>
                <w:color w:val="000000"/>
              </w:rPr>
            </w:pPr>
          </w:p>
        </w:tc>
        <w:tc>
          <w:tcPr>
            <w:tcW w:w="1339" w:type="dxa"/>
            <w:tcBorders>
              <w:top w:val="nil"/>
            </w:tcBorders>
            <w:noWrap/>
            <w:vAlign w:val="bottom"/>
          </w:tcPr>
          <w:p w:rsidR="00692915" w:rsidRDefault="00692915">
            <w:pPr>
              <w:ind w:firstLineChars="0" w:firstLine="0"/>
              <w:jc w:val="center"/>
              <w:rPr>
                <w:bCs/>
                <w:color w:val="000000"/>
              </w:rPr>
            </w:pPr>
            <w:r>
              <w:rPr>
                <w:bCs/>
                <w:color w:val="000000"/>
              </w:rPr>
              <w:t>4</w:t>
            </w:r>
          </w:p>
        </w:tc>
      </w:tr>
      <w:tr w:rsidR="00692915">
        <w:trPr>
          <w:trHeight w:val="255"/>
          <w:jc w:val="center"/>
        </w:trPr>
        <w:tc>
          <w:tcPr>
            <w:tcW w:w="1338" w:type="dxa"/>
            <w:noWrap/>
            <w:vAlign w:val="bottom"/>
          </w:tcPr>
          <w:p w:rsidR="00692915" w:rsidRDefault="00692915">
            <w:pPr>
              <w:ind w:firstLineChars="0" w:firstLine="0"/>
              <w:rPr>
                <w:rFonts w:hint="eastAsia"/>
                <w:bCs/>
                <w:color w:val="000000"/>
              </w:rPr>
            </w:pPr>
            <w:r>
              <w:rPr>
                <w:rFonts w:hint="eastAsia"/>
                <w:bCs/>
                <w:color w:val="000000"/>
              </w:rPr>
              <w:t>总计</w:t>
            </w:r>
          </w:p>
        </w:tc>
        <w:tc>
          <w:tcPr>
            <w:tcW w:w="1338" w:type="dxa"/>
            <w:noWrap/>
            <w:vAlign w:val="bottom"/>
          </w:tcPr>
          <w:p w:rsidR="00692915" w:rsidRDefault="00692915">
            <w:pPr>
              <w:ind w:right="340" w:firstLineChars="0" w:firstLine="0"/>
              <w:jc w:val="right"/>
              <w:rPr>
                <w:bCs/>
                <w:color w:val="000000"/>
              </w:rPr>
            </w:pPr>
            <w:r>
              <w:rPr>
                <w:bCs/>
                <w:color w:val="000000"/>
              </w:rPr>
              <w:t>236</w:t>
            </w:r>
          </w:p>
        </w:tc>
        <w:tc>
          <w:tcPr>
            <w:tcW w:w="1338" w:type="dxa"/>
            <w:noWrap/>
            <w:vAlign w:val="bottom"/>
          </w:tcPr>
          <w:p w:rsidR="00692915" w:rsidRDefault="00692915">
            <w:pPr>
              <w:ind w:firstLineChars="0" w:firstLine="0"/>
              <w:jc w:val="center"/>
              <w:rPr>
                <w:bCs/>
                <w:color w:val="000000"/>
              </w:rPr>
            </w:pPr>
            <w:r>
              <w:rPr>
                <w:bCs/>
                <w:color w:val="000000"/>
              </w:rPr>
              <w:t>5</w:t>
            </w:r>
          </w:p>
        </w:tc>
        <w:tc>
          <w:tcPr>
            <w:tcW w:w="1339" w:type="dxa"/>
            <w:noWrap/>
            <w:vAlign w:val="bottom"/>
          </w:tcPr>
          <w:p w:rsidR="00692915" w:rsidRDefault="00692915">
            <w:pPr>
              <w:ind w:firstLineChars="0" w:firstLine="0"/>
              <w:jc w:val="center"/>
              <w:rPr>
                <w:bCs/>
                <w:color w:val="000000"/>
              </w:rPr>
            </w:pPr>
            <w:r>
              <w:rPr>
                <w:bCs/>
                <w:color w:val="000000"/>
              </w:rPr>
              <w:t>4</w:t>
            </w:r>
          </w:p>
        </w:tc>
      </w:tr>
    </w:tbl>
    <w:p w:rsidR="00692915" w:rsidRDefault="00692915" w:rsidP="009A1C1B">
      <w:pPr>
        <w:pStyle w:val="Header"/>
        <w:ind w:firstLine="31680"/>
        <w:rPr>
          <w:bCs/>
          <w:color w:val="000000"/>
          <w:lang w:eastAsia="zh-CN"/>
        </w:rPr>
      </w:pPr>
    </w:p>
    <w:p w:rsidR="00692915" w:rsidRDefault="00692915">
      <w:pPr>
        <w:pStyle w:val="Heading2"/>
        <w:rPr>
          <w:rFonts w:hint="eastAsia"/>
          <w:color w:val="000000"/>
        </w:rPr>
      </w:pPr>
      <w:r>
        <w:rPr>
          <w:color w:val="000000"/>
        </w:rPr>
        <w:br w:type="page"/>
      </w:r>
      <w:r>
        <w:rPr>
          <w:rFonts w:hint="eastAsia"/>
          <w:color w:val="000000"/>
        </w:rPr>
        <w:t>附件二</w:t>
      </w:r>
    </w:p>
    <w:p w:rsidR="00692915" w:rsidRDefault="00692915" w:rsidP="009A1C1B">
      <w:pPr>
        <w:pStyle w:val="Heading1"/>
        <w:spacing w:after="120"/>
        <w:ind w:leftChars="-50" w:left="31680" w:hangingChars="40" w:firstLine="31680"/>
        <w:rPr>
          <w:rFonts w:eastAsia="SimHei" w:hint="eastAsia"/>
          <w:b w:val="0"/>
          <w:bCs/>
          <w:color w:val="000000"/>
        </w:rPr>
      </w:pPr>
      <w:r>
        <w:rPr>
          <w:rFonts w:eastAsia="SimHei" w:hint="eastAsia"/>
          <w:b w:val="0"/>
          <w:bCs/>
          <w:color w:val="000000"/>
        </w:rPr>
        <w:t>按国家机关分列的政府支出情况</w:t>
      </w:r>
    </w:p>
    <w:p w:rsidR="00692915" w:rsidRDefault="00692915">
      <w:pPr>
        <w:pStyle w:val="Heading2"/>
        <w:spacing w:after="120"/>
        <w:rPr>
          <w:rFonts w:hint="eastAsia"/>
          <w:color w:val="000000"/>
          <w:sz w:val="24"/>
        </w:rPr>
      </w:pPr>
    </w:p>
    <w:p w:rsidR="00692915" w:rsidRDefault="00692915">
      <w:pPr>
        <w:pStyle w:val="Heading2"/>
        <w:spacing w:after="120"/>
        <w:rPr>
          <w:color w:val="000000"/>
          <w:sz w:val="24"/>
        </w:rPr>
      </w:pPr>
      <w:r>
        <w:rPr>
          <w:rFonts w:hint="eastAsia"/>
          <w:color w:val="000000"/>
          <w:sz w:val="24"/>
        </w:rPr>
        <w:t>表</w:t>
      </w:r>
      <w:r>
        <w:rPr>
          <w:color w:val="000000"/>
          <w:sz w:val="24"/>
        </w:rPr>
        <w:t>6.1</w:t>
      </w:r>
    </w:p>
    <w:p w:rsidR="00692915" w:rsidRDefault="00692915">
      <w:pPr>
        <w:pStyle w:val="Heading2"/>
        <w:spacing w:after="120"/>
        <w:rPr>
          <w:rFonts w:hint="eastAsia"/>
          <w:color w:val="000000"/>
          <w:sz w:val="24"/>
        </w:rPr>
      </w:pPr>
      <w:r>
        <w:rPr>
          <w:color w:val="000000"/>
          <w:sz w:val="24"/>
        </w:rPr>
        <w:t>2005</w:t>
      </w:r>
      <w:r>
        <w:rPr>
          <w:rFonts w:hint="eastAsia"/>
          <w:color w:val="000000"/>
          <w:sz w:val="24"/>
        </w:rPr>
        <w:t>-20</w:t>
      </w:r>
      <w:r>
        <w:rPr>
          <w:color w:val="000000"/>
          <w:sz w:val="24"/>
        </w:rPr>
        <w:t>06</w:t>
      </w:r>
      <w:r>
        <w:rPr>
          <w:rFonts w:hint="eastAsia"/>
          <w:color w:val="000000"/>
          <w:sz w:val="24"/>
        </w:rPr>
        <w:t>年各来源的合并预算（千美元）</w:t>
      </w:r>
      <w:r>
        <w:rPr>
          <w:rFonts w:hint="eastAsia"/>
          <w:color w:val="000000"/>
          <w:sz w:val="24"/>
        </w:rPr>
        <w:t xml:space="preserve"> </w:t>
      </w:r>
    </w:p>
    <w:p w:rsidR="00692915" w:rsidRDefault="00692915">
      <w:pPr>
        <w:ind w:firstLineChars="0" w:firstLine="0"/>
        <w:rPr>
          <w:color w:val="000000"/>
        </w:rPr>
        <w:sectPr w:rsidR="00692915" w:rsidSect="00B67F62">
          <w:headerReference w:type="even" r:id="rId70"/>
          <w:headerReference w:type="default" r:id="rId71"/>
          <w:footerReference w:type="even" r:id="rId72"/>
          <w:footerReference w:type="default" r:id="rId73"/>
          <w:headerReference w:type="first" r:id="rId74"/>
          <w:footerReference w:type="first" r:id="rId75"/>
          <w:pgSz w:w="11906" w:h="16838"/>
          <w:pgMar w:top="1985" w:right="851" w:bottom="1985" w:left="1701" w:header="794" w:footer="1588" w:gutter="0"/>
          <w:cols w:space="425"/>
          <w:titlePg/>
          <w:docGrid w:type="lines" w:linePitch="360"/>
        </w:sectPr>
      </w:pPr>
    </w:p>
    <w:p w:rsidR="00692915" w:rsidRDefault="00692915">
      <w:pPr>
        <w:spacing w:line="20" w:lineRule="exact"/>
        <w:ind w:firstLineChars="0" w:firstLine="0"/>
        <w:rPr>
          <w:rFonts w:hint="eastAsia"/>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1"/>
        <w:gridCol w:w="874"/>
        <w:gridCol w:w="874"/>
        <w:gridCol w:w="877"/>
        <w:gridCol w:w="874"/>
        <w:gridCol w:w="877"/>
        <w:gridCol w:w="874"/>
        <w:gridCol w:w="874"/>
        <w:gridCol w:w="877"/>
        <w:gridCol w:w="874"/>
        <w:gridCol w:w="877"/>
        <w:gridCol w:w="874"/>
        <w:gridCol w:w="877"/>
      </w:tblGrid>
      <w:tr w:rsidR="00692915">
        <w:tblPrEx>
          <w:tblCellMar>
            <w:top w:w="0" w:type="dxa"/>
            <w:bottom w:w="0" w:type="dxa"/>
          </w:tblCellMar>
        </w:tblPrEx>
        <w:trPr>
          <w:cantSplit/>
        </w:trPr>
        <w:tc>
          <w:tcPr>
            <w:tcW w:w="986" w:type="pct"/>
            <w:vMerge w:val="restart"/>
            <w:vAlign w:val="bottom"/>
          </w:tcPr>
          <w:p w:rsidR="00692915" w:rsidRDefault="00692915">
            <w:pPr>
              <w:spacing w:before="20" w:after="20" w:line="220" w:lineRule="exact"/>
              <w:ind w:firstLineChars="0" w:firstLine="0"/>
              <w:rPr>
                <w:rFonts w:hint="eastAsia"/>
                <w:color w:val="000000"/>
                <w:spacing w:val="0"/>
                <w:sz w:val="18"/>
              </w:rPr>
            </w:pPr>
            <w:bookmarkStart w:id="358" w:name="_Toc124610908"/>
            <w:bookmarkStart w:id="359" w:name="_Toc124611270"/>
            <w:bookmarkStart w:id="360" w:name="_Toc135834093"/>
            <w:bookmarkStart w:id="361" w:name="_Toc135834310"/>
            <w:bookmarkStart w:id="362" w:name="_Toc150515118"/>
            <w:bookmarkStart w:id="363" w:name="_Toc150685041"/>
            <w:r>
              <w:rPr>
                <w:rFonts w:hint="eastAsia"/>
                <w:color w:val="000000"/>
                <w:sz w:val="15"/>
              </w:rPr>
              <w:t>国家机构</w:t>
            </w:r>
          </w:p>
        </w:tc>
        <w:tc>
          <w:tcPr>
            <w:tcW w:w="1003" w:type="pct"/>
            <w:gridSpan w:val="3"/>
          </w:tcPr>
          <w:p w:rsidR="00692915" w:rsidRDefault="00692915">
            <w:pPr>
              <w:spacing w:before="20" w:after="20" w:line="220" w:lineRule="exact"/>
              <w:ind w:firstLineChars="0" w:firstLine="0"/>
              <w:jc w:val="center"/>
              <w:rPr>
                <w:rFonts w:hint="eastAsia"/>
                <w:color w:val="000000"/>
                <w:spacing w:val="0"/>
                <w:sz w:val="18"/>
              </w:rPr>
            </w:pPr>
            <w:r>
              <w:rPr>
                <w:rFonts w:hint="eastAsia"/>
                <w:color w:val="000000"/>
                <w:sz w:val="15"/>
              </w:rPr>
              <w:t>国家一般预算</w:t>
            </w:r>
          </w:p>
        </w:tc>
        <w:tc>
          <w:tcPr>
            <w:tcW w:w="1003" w:type="pct"/>
            <w:gridSpan w:val="3"/>
          </w:tcPr>
          <w:p w:rsidR="00692915" w:rsidRDefault="00692915">
            <w:pPr>
              <w:spacing w:before="20" w:after="20" w:line="220" w:lineRule="exact"/>
              <w:ind w:firstLineChars="0" w:firstLine="0"/>
              <w:jc w:val="center"/>
              <w:rPr>
                <w:rFonts w:hint="eastAsia"/>
                <w:color w:val="000000"/>
                <w:spacing w:val="0"/>
                <w:sz w:val="18"/>
              </w:rPr>
            </w:pPr>
            <w:r>
              <w:rPr>
                <w:rFonts w:hint="eastAsia"/>
                <w:color w:val="000000"/>
                <w:sz w:val="15"/>
              </w:rPr>
              <w:t>资助的部门投资方案活动</w:t>
            </w:r>
          </w:p>
        </w:tc>
        <w:tc>
          <w:tcPr>
            <w:tcW w:w="1003" w:type="pct"/>
            <w:gridSpan w:val="3"/>
          </w:tcPr>
          <w:p w:rsidR="00692915" w:rsidRDefault="00692915">
            <w:pPr>
              <w:spacing w:before="20" w:after="20" w:line="220" w:lineRule="exact"/>
              <w:ind w:firstLineChars="0" w:firstLine="0"/>
              <w:jc w:val="center"/>
              <w:rPr>
                <w:rFonts w:hint="eastAsia"/>
                <w:color w:val="000000"/>
                <w:spacing w:val="0"/>
                <w:sz w:val="18"/>
              </w:rPr>
            </w:pPr>
            <w:r>
              <w:rPr>
                <w:rFonts w:hint="eastAsia"/>
                <w:color w:val="000000"/>
                <w:sz w:val="15"/>
              </w:rPr>
              <w:t>未资助的部门投资方案活动</w:t>
            </w:r>
          </w:p>
        </w:tc>
        <w:tc>
          <w:tcPr>
            <w:tcW w:w="1004" w:type="pct"/>
            <w:gridSpan w:val="3"/>
          </w:tcPr>
          <w:p w:rsidR="00692915" w:rsidRDefault="00692915">
            <w:pPr>
              <w:spacing w:before="20" w:after="20" w:line="220" w:lineRule="exact"/>
              <w:ind w:firstLineChars="0" w:firstLine="0"/>
              <w:jc w:val="center"/>
              <w:rPr>
                <w:rFonts w:hint="eastAsia"/>
                <w:color w:val="000000"/>
                <w:spacing w:val="0"/>
                <w:sz w:val="18"/>
              </w:rPr>
            </w:pPr>
            <w:r>
              <w:rPr>
                <w:rFonts w:hint="eastAsia"/>
                <w:color w:val="000000"/>
                <w:sz w:val="15"/>
              </w:rPr>
              <w:t>总计</w:t>
            </w:r>
          </w:p>
        </w:tc>
      </w:tr>
      <w:tr w:rsidR="00692915">
        <w:tblPrEx>
          <w:tblCellMar>
            <w:top w:w="0" w:type="dxa"/>
            <w:bottom w:w="0" w:type="dxa"/>
          </w:tblCellMar>
        </w:tblPrEx>
        <w:trPr>
          <w:cantSplit/>
        </w:trPr>
        <w:tc>
          <w:tcPr>
            <w:tcW w:w="986" w:type="pct"/>
            <w:vMerge/>
          </w:tcPr>
          <w:p w:rsidR="00692915" w:rsidRDefault="00692915">
            <w:pPr>
              <w:spacing w:before="20" w:after="20" w:line="220" w:lineRule="exact"/>
              <w:ind w:firstLineChars="0" w:firstLine="0"/>
              <w:rPr>
                <w:rFonts w:hint="eastAsia"/>
                <w:color w:val="000000"/>
                <w:spacing w:val="0"/>
                <w:sz w:val="18"/>
              </w:rPr>
            </w:pPr>
          </w:p>
        </w:tc>
        <w:tc>
          <w:tcPr>
            <w:tcW w:w="334" w:type="pct"/>
          </w:tcPr>
          <w:p w:rsidR="00692915" w:rsidRDefault="00692915">
            <w:pPr>
              <w:spacing w:before="20" w:after="20" w:line="220" w:lineRule="exact"/>
              <w:ind w:firstLineChars="0" w:firstLine="0"/>
              <w:jc w:val="center"/>
              <w:rPr>
                <w:rFonts w:hint="eastAsia"/>
                <w:color w:val="000000"/>
                <w:spacing w:val="0"/>
                <w:sz w:val="18"/>
              </w:rPr>
            </w:pPr>
            <w:r>
              <w:rPr>
                <w:rFonts w:hint="eastAsia"/>
                <w:color w:val="000000"/>
                <w:spacing w:val="0"/>
                <w:sz w:val="15"/>
              </w:rPr>
              <w:t>经常预算</w:t>
            </w:r>
          </w:p>
        </w:tc>
        <w:tc>
          <w:tcPr>
            <w:tcW w:w="334" w:type="pct"/>
          </w:tcPr>
          <w:p w:rsidR="00692915" w:rsidRDefault="00692915">
            <w:pPr>
              <w:spacing w:before="20" w:after="20" w:line="220" w:lineRule="exact"/>
              <w:ind w:firstLineChars="0" w:firstLine="0"/>
              <w:jc w:val="center"/>
              <w:rPr>
                <w:rFonts w:hint="eastAsia"/>
                <w:color w:val="000000"/>
                <w:spacing w:val="0"/>
                <w:sz w:val="18"/>
              </w:rPr>
            </w:pPr>
            <w:r>
              <w:rPr>
                <w:rFonts w:hint="eastAsia"/>
                <w:color w:val="000000"/>
                <w:spacing w:val="0"/>
                <w:sz w:val="15"/>
              </w:rPr>
              <w:t>资本</w:t>
            </w:r>
          </w:p>
        </w:tc>
        <w:tc>
          <w:tcPr>
            <w:tcW w:w="335" w:type="pct"/>
          </w:tcPr>
          <w:p w:rsidR="00692915" w:rsidRDefault="00692915">
            <w:pPr>
              <w:spacing w:before="20" w:after="20" w:line="220" w:lineRule="exact"/>
              <w:ind w:firstLineChars="0" w:firstLine="0"/>
              <w:jc w:val="center"/>
              <w:rPr>
                <w:rFonts w:hint="eastAsia"/>
                <w:color w:val="000000"/>
                <w:spacing w:val="0"/>
                <w:sz w:val="18"/>
              </w:rPr>
            </w:pPr>
            <w:r>
              <w:rPr>
                <w:rFonts w:hint="eastAsia"/>
                <w:color w:val="000000"/>
                <w:spacing w:val="0"/>
                <w:sz w:val="15"/>
              </w:rPr>
              <w:t>总计</w:t>
            </w:r>
          </w:p>
        </w:tc>
        <w:tc>
          <w:tcPr>
            <w:tcW w:w="334" w:type="pct"/>
          </w:tcPr>
          <w:p w:rsidR="00692915" w:rsidRDefault="00692915">
            <w:pPr>
              <w:spacing w:before="20" w:after="20" w:line="220" w:lineRule="exact"/>
              <w:ind w:firstLineChars="0" w:firstLine="0"/>
              <w:jc w:val="center"/>
              <w:rPr>
                <w:rFonts w:hint="eastAsia"/>
                <w:color w:val="000000"/>
                <w:spacing w:val="0"/>
                <w:sz w:val="18"/>
              </w:rPr>
            </w:pPr>
            <w:r>
              <w:rPr>
                <w:rFonts w:hint="eastAsia"/>
                <w:color w:val="000000"/>
                <w:spacing w:val="0"/>
                <w:sz w:val="15"/>
              </w:rPr>
              <w:t>经常预算</w:t>
            </w:r>
          </w:p>
        </w:tc>
        <w:tc>
          <w:tcPr>
            <w:tcW w:w="335" w:type="pct"/>
          </w:tcPr>
          <w:p w:rsidR="00692915" w:rsidRDefault="00692915">
            <w:pPr>
              <w:spacing w:before="20" w:after="20" w:line="220" w:lineRule="exact"/>
              <w:ind w:firstLineChars="0" w:firstLine="0"/>
              <w:jc w:val="center"/>
              <w:rPr>
                <w:rFonts w:hint="eastAsia"/>
                <w:color w:val="000000"/>
                <w:spacing w:val="0"/>
                <w:sz w:val="18"/>
              </w:rPr>
            </w:pPr>
            <w:r>
              <w:rPr>
                <w:rFonts w:hint="eastAsia"/>
                <w:color w:val="000000"/>
                <w:spacing w:val="0"/>
                <w:sz w:val="15"/>
              </w:rPr>
              <w:t>资本</w:t>
            </w:r>
          </w:p>
        </w:tc>
        <w:tc>
          <w:tcPr>
            <w:tcW w:w="334" w:type="pct"/>
          </w:tcPr>
          <w:p w:rsidR="00692915" w:rsidRDefault="00692915">
            <w:pPr>
              <w:spacing w:before="20" w:after="20" w:line="220" w:lineRule="exact"/>
              <w:ind w:firstLineChars="0" w:firstLine="0"/>
              <w:jc w:val="center"/>
              <w:rPr>
                <w:rFonts w:hint="eastAsia"/>
                <w:color w:val="000000"/>
                <w:spacing w:val="0"/>
                <w:sz w:val="18"/>
              </w:rPr>
            </w:pPr>
            <w:r>
              <w:rPr>
                <w:rFonts w:hint="eastAsia"/>
                <w:color w:val="000000"/>
                <w:spacing w:val="0"/>
                <w:sz w:val="15"/>
              </w:rPr>
              <w:t>总计</w:t>
            </w:r>
          </w:p>
        </w:tc>
        <w:tc>
          <w:tcPr>
            <w:tcW w:w="334" w:type="pct"/>
          </w:tcPr>
          <w:p w:rsidR="00692915" w:rsidRDefault="00692915">
            <w:pPr>
              <w:spacing w:before="20" w:after="20" w:line="220" w:lineRule="exact"/>
              <w:ind w:firstLineChars="0" w:firstLine="0"/>
              <w:jc w:val="center"/>
              <w:rPr>
                <w:rFonts w:hint="eastAsia"/>
                <w:color w:val="000000"/>
                <w:spacing w:val="0"/>
                <w:sz w:val="18"/>
              </w:rPr>
            </w:pPr>
            <w:r>
              <w:rPr>
                <w:rFonts w:hint="eastAsia"/>
                <w:color w:val="000000"/>
                <w:spacing w:val="0"/>
                <w:sz w:val="15"/>
              </w:rPr>
              <w:t>经常预算</w:t>
            </w:r>
          </w:p>
        </w:tc>
        <w:tc>
          <w:tcPr>
            <w:tcW w:w="335" w:type="pct"/>
          </w:tcPr>
          <w:p w:rsidR="00692915" w:rsidRDefault="00692915">
            <w:pPr>
              <w:spacing w:before="20" w:after="20" w:line="220" w:lineRule="exact"/>
              <w:ind w:firstLineChars="0" w:firstLine="0"/>
              <w:jc w:val="center"/>
              <w:rPr>
                <w:rFonts w:hint="eastAsia"/>
                <w:color w:val="000000"/>
                <w:spacing w:val="0"/>
                <w:sz w:val="18"/>
              </w:rPr>
            </w:pPr>
            <w:r>
              <w:rPr>
                <w:rFonts w:hint="eastAsia"/>
                <w:color w:val="000000"/>
                <w:spacing w:val="0"/>
                <w:sz w:val="15"/>
              </w:rPr>
              <w:t>资本</w:t>
            </w:r>
          </w:p>
        </w:tc>
        <w:tc>
          <w:tcPr>
            <w:tcW w:w="334" w:type="pct"/>
          </w:tcPr>
          <w:p w:rsidR="00692915" w:rsidRDefault="00692915">
            <w:pPr>
              <w:spacing w:before="20" w:after="20" w:line="220" w:lineRule="exact"/>
              <w:ind w:firstLineChars="0" w:firstLine="0"/>
              <w:jc w:val="center"/>
              <w:rPr>
                <w:rFonts w:hint="eastAsia"/>
                <w:color w:val="000000"/>
                <w:spacing w:val="0"/>
                <w:sz w:val="18"/>
              </w:rPr>
            </w:pPr>
            <w:r>
              <w:rPr>
                <w:rFonts w:hint="eastAsia"/>
                <w:color w:val="000000"/>
                <w:spacing w:val="0"/>
                <w:sz w:val="15"/>
              </w:rPr>
              <w:t>总计</w:t>
            </w:r>
          </w:p>
        </w:tc>
        <w:tc>
          <w:tcPr>
            <w:tcW w:w="335" w:type="pct"/>
          </w:tcPr>
          <w:p w:rsidR="00692915" w:rsidRDefault="00692915">
            <w:pPr>
              <w:spacing w:before="20" w:after="20" w:line="220" w:lineRule="exact"/>
              <w:ind w:firstLineChars="0" w:firstLine="0"/>
              <w:jc w:val="center"/>
              <w:rPr>
                <w:rFonts w:hint="eastAsia"/>
                <w:color w:val="000000"/>
                <w:spacing w:val="0"/>
                <w:sz w:val="18"/>
              </w:rPr>
            </w:pPr>
            <w:r>
              <w:rPr>
                <w:rFonts w:hint="eastAsia"/>
                <w:color w:val="000000"/>
                <w:spacing w:val="0"/>
                <w:sz w:val="15"/>
              </w:rPr>
              <w:t>经常预算</w:t>
            </w:r>
          </w:p>
        </w:tc>
        <w:tc>
          <w:tcPr>
            <w:tcW w:w="334" w:type="pct"/>
          </w:tcPr>
          <w:p w:rsidR="00692915" w:rsidRDefault="00692915">
            <w:pPr>
              <w:spacing w:before="20" w:after="20" w:line="220" w:lineRule="exact"/>
              <w:ind w:firstLineChars="0" w:firstLine="0"/>
              <w:jc w:val="center"/>
              <w:rPr>
                <w:rFonts w:hint="eastAsia"/>
                <w:color w:val="000000"/>
                <w:spacing w:val="0"/>
                <w:sz w:val="18"/>
              </w:rPr>
            </w:pPr>
            <w:r>
              <w:rPr>
                <w:rFonts w:hint="eastAsia"/>
                <w:color w:val="000000"/>
                <w:spacing w:val="0"/>
                <w:sz w:val="15"/>
              </w:rPr>
              <w:t>资本</w:t>
            </w:r>
          </w:p>
        </w:tc>
        <w:tc>
          <w:tcPr>
            <w:tcW w:w="335" w:type="pct"/>
          </w:tcPr>
          <w:p w:rsidR="00692915" w:rsidRDefault="00692915">
            <w:pPr>
              <w:spacing w:before="20" w:after="20" w:line="220" w:lineRule="exact"/>
              <w:ind w:firstLineChars="0" w:firstLine="0"/>
              <w:jc w:val="center"/>
              <w:rPr>
                <w:rFonts w:hint="eastAsia"/>
                <w:color w:val="000000"/>
                <w:spacing w:val="0"/>
                <w:sz w:val="18"/>
              </w:rPr>
            </w:pPr>
            <w:r>
              <w:rPr>
                <w:rFonts w:hint="eastAsia"/>
                <w:color w:val="000000"/>
                <w:spacing w:val="0"/>
                <w:sz w:val="15"/>
              </w:rPr>
              <w:t>总计</w:t>
            </w:r>
          </w:p>
        </w:tc>
      </w:tr>
      <w:tr w:rsidR="00692915">
        <w:tblPrEx>
          <w:tblCellMar>
            <w:top w:w="0" w:type="dxa"/>
            <w:bottom w:w="0" w:type="dxa"/>
          </w:tblCellMar>
        </w:tblPrEx>
        <w:tc>
          <w:tcPr>
            <w:tcW w:w="986" w:type="pct"/>
          </w:tcPr>
          <w:p w:rsidR="00692915" w:rsidRDefault="00692915">
            <w:pPr>
              <w:spacing w:before="20" w:after="20" w:line="220" w:lineRule="exact"/>
              <w:ind w:firstLineChars="0" w:firstLine="0"/>
              <w:rPr>
                <w:rFonts w:hint="eastAsia"/>
                <w:color w:val="000000"/>
                <w:spacing w:val="0"/>
                <w:sz w:val="15"/>
              </w:rPr>
            </w:pPr>
            <w:r>
              <w:rPr>
                <w:rFonts w:hint="eastAsia"/>
                <w:color w:val="000000"/>
                <w:spacing w:val="0"/>
                <w:sz w:val="15"/>
              </w:rPr>
              <w:t xml:space="preserve">A-1 </w:t>
            </w:r>
            <w:r>
              <w:rPr>
                <w:rFonts w:hint="eastAsia"/>
                <w:color w:val="000000"/>
                <w:spacing w:val="0"/>
                <w:sz w:val="15"/>
              </w:rPr>
              <w:t>共和国总统办公室</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595</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595</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300</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150</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450</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895</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150</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1 045</w:t>
            </w:r>
          </w:p>
        </w:tc>
      </w:tr>
      <w:tr w:rsidR="00692915">
        <w:tblPrEx>
          <w:tblCellMar>
            <w:top w:w="0" w:type="dxa"/>
            <w:bottom w:w="0" w:type="dxa"/>
          </w:tblCellMar>
        </w:tblPrEx>
        <w:tc>
          <w:tcPr>
            <w:tcW w:w="986" w:type="pct"/>
          </w:tcPr>
          <w:p w:rsidR="00692915" w:rsidRDefault="00692915">
            <w:pPr>
              <w:spacing w:before="20" w:after="20" w:line="220" w:lineRule="exact"/>
              <w:ind w:firstLineChars="0" w:firstLine="0"/>
              <w:rPr>
                <w:rFonts w:hint="eastAsia"/>
                <w:color w:val="000000"/>
                <w:spacing w:val="0"/>
                <w:sz w:val="15"/>
              </w:rPr>
            </w:pPr>
            <w:r>
              <w:rPr>
                <w:rFonts w:hint="eastAsia"/>
                <w:color w:val="000000"/>
                <w:spacing w:val="0"/>
                <w:sz w:val="15"/>
              </w:rPr>
              <w:t xml:space="preserve">B-1 </w:t>
            </w:r>
            <w:r>
              <w:rPr>
                <w:rFonts w:hint="eastAsia"/>
                <w:color w:val="000000"/>
                <w:spacing w:val="0"/>
                <w:sz w:val="15"/>
              </w:rPr>
              <w:t>国民议会</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1 198</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113</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1 311</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528</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528</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400</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400</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2 126</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113</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2 239</w:t>
            </w:r>
          </w:p>
        </w:tc>
      </w:tr>
      <w:tr w:rsidR="00692915">
        <w:tblPrEx>
          <w:tblCellMar>
            <w:top w:w="0" w:type="dxa"/>
            <w:bottom w:w="0" w:type="dxa"/>
          </w:tblCellMar>
        </w:tblPrEx>
        <w:tc>
          <w:tcPr>
            <w:tcW w:w="986" w:type="pct"/>
          </w:tcPr>
          <w:p w:rsidR="00692915" w:rsidRDefault="00692915">
            <w:pPr>
              <w:spacing w:before="20" w:after="20" w:line="220" w:lineRule="exact"/>
              <w:ind w:firstLineChars="0" w:firstLine="0"/>
              <w:rPr>
                <w:rFonts w:hint="eastAsia"/>
                <w:color w:val="000000"/>
                <w:spacing w:val="0"/>
                <w:sz w:val="15"/>
              </w:rPr>
            </w:pPr>
            <w:r>
              <w:rPr>
                <w:rFonts w:hint="eastAsia"/>
                <w:color w:val="000000"/>
                <w:spacing w:val="0"/>
                <w:sz w:val="15"/>
              </w:rPr>
              <w:t xml:space="preserve">C-1 </w:t>
            </w:r>
            <w:r>
              <w:rPr>
                <w:rFonts w:hint="eastAsia"/>
                <w:color w:val="000000"/>
                <w:spacing w:val="0"/>
                <w:sz w:val="15"/>
              </w:rPr>
              <w:t>总理与部长理事会办公室</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3 448</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2 000</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5 448</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793</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793</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955</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955</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5 196</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2 000</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7 196</w:t>
            </w:r>
          </w:p>
        </w:tc>
      </w:tr>
      <w:tr w:rsidR="00692915">
        <w:tblPrEx>
          <w:tblCellMar>
            <w:top w:w="0" w:type="dxa"/>
            <w:bottom w:w="0" w:type="dxa"/>
          </w:tblCellMar>
        </w:tblPrEx>
        <w:tc>
          <w:tcPr>
            <w:tcW w:w="986" w:type="pct"/>
          </w:tcPr>
          <w:p w:rsidR="00692915" w:rsidRDefault="00692915">
            <w:pPr>
              <w:spacing w:before="20" w:after="20" w:line="220" w:lineRule="exact"/>
              <w:ind w:firstLineChars="0" w:firstLine="0"/>
              <w:rPr>
                <w:rFonts w:hint="eastAsia"/>
                <w:color w:val="000000"/>
                <w:spacing w:val="0"/>
                <w:sz w:val="15"/>
              </w:rPr>
            </w:pPr>
            <w:r>
              <w:rPr>
                <w:rFonts w:hint="eastAsia"/>
                <w:color w:val="000000"/>
                <w:spacing w:val="0"/>
                <w:sz w:val="15"/>
              </w:rPr>
              <w:t xml:space="preserve">D-1 </w:t>
            </w:r>
            <w:r>
              <w:rPr>
                <w:rFonts w:hint="eastAsia"/>
                <w:color w:val="000000"/>
                <w:spacing w:val="0"/>
                <w:sz w:val="15"/>
              </w:rPr>
              <w:t>国防部</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8 177</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1 600</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9 777</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11 800</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11 800</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8 177</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13 400</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21 577</w:t>
            </w:r>
          </w:p>
        </w:tc>
      </w:tr>
      <w:tr w:rsidR="00692915">
        <w:tblPrEx>
          <w:tblCellMar>
            <w:top w:w="0" w:type="dxa"/>
            <w:bottom w:w="0" w:type="dxa"/>
          </w:tblCellMar>
        </w:tblPrEx>
        <w:tc>
          <w:tcPr>
            <w:tcW w:w="986" w:type="pct"/>
          </w:tcPr>
          <w:p w:rsidR="00692915" w:rsidRDefault="00692915">
            <w:pPr>
              <w:spacing w:before="20" w:after="20" w:line="220" w:lineRule="exact"/>
              <w:ind w:firstLineChars="0" w:firstLine="0"/>
              <w:rPr>
                <w:rFonts w:hint="eastAsia"/>
                <w:color w:val="000000"/>
                <w:spacing w:val="0"/>
                <w:sz w:val="15"/>
              </w:rPr>
            </w:pPr>
            <w:r>
              <w:rPr>
                <w:rFonts w:hint="eastAsia"/>
                <w:color w:val="000000"/>
                <w:spacing w:val="0"/>
                <w:sz w:val="15"/>
              </w:rPr>
              <w:t xml:space="preserve">E-1 </w:t>
            </w:r>
            <w:r>
              <w:rPr>
                <w:rFonts w:hint="eastAsia"/>
                <w:color w:val="000000"/>
                <w:spacing w:val="0"/>
                <w:sz w:val="15"/>
              </w:rPr>
              <w:t>部长理事会国务秘书处</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393</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393</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393</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393</w:t>
            </w:r>
          </w:p>
        </w:tc>
      </w:tr>
      <w:tr w:rsidR="00692915">
        <w:tblPrEx>
          <w:tblCellMar>
            <w:top w:w="0" w:type="dxa"/>
            <w:bottom w:w="0" w:type="dxa"/>
          </w:tblCellMar>
        </w:tblPrEx>
        <w:tc>
          <w:tcPr>
            <w:tcW w:w="986" w:type="pct"/>
          </w:tcPr>
          <w:p w:rsidR="00692915" w:rsidRDefault="00692915">
            <w:pPr>
              <w:spacing w:before="20" w:after="20" w:line="220" w:lineRule="exact"/>
              <w:ind w:firstLineChars="0" w:firstLine="0"/>
              <w:rPr>
                <w:rFonts w:hint="eastAsia"/>
                <w:color w:val="000000"/>
                <w:spacing w:val="0"/>
                <w:sz w:val="15"/>
              </w:rPr>
            </w:pPr>
            <w:r>
              <w:rPr>
                <w:rFonts w:hint="eastAsia"/>
                <w:color w:val="000000"/>
                <w:spacing w:val="0"/>
                <w:sz w:val="15"/>
              </w:rPr>
              <w:t xml:space="preserve">F-1 </w:t>
            </w:r>
            <w:r>
              <w:rPr>
                <w:rFonts w:hint="eastAsia"/>
                <w:color w:val="000000"/>
                <w:spacing w:val="0"/>
                <w:sz w:val="15"/>
              </w:rPr>
              <w:t>国务部</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3 172</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935</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4 107</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3 830</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374</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4 203</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3 856</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2 325</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6 181</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10 857</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3 634</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14 491</w:t>
            </w:r>
          </w:p>
        </w:tc>
      </w:tr>
      <w:tr w:rsidR="00692915">
        <w:tblPrEx>
          <w:tblCellMar>
            <w:top w:w="0" w:type="dxa"/>
            <w:bottom w:w="0" w:type="dxa"/>
          </w:tblCellMar>
        </w:tblPrEx>
        <w:tc>
          <w:tcPr>
            <w:tcW w:w="986" w:type="pct"/>
          </w:tcPr>
          <w:p w:rsidR="00692915" w:rsidRDefault="00692915">
            <w:pPr>
              <w:spacing w:before="20" w:after="20" w:line="220" w:lineRule="exact"/>
              <w:ind w:firstLineChars="0" w:firstLine="0"/>
              <w:rPr>
                <w:rFonts w:hint="eastAsia"/>
                <w:color w:val="000000"/>
                <w:spacing w:val="0"/>
                <w:sz w:val="15"/>
              </w:rPr>
            </w:pPr>
            <w:r>
              <w:rPr>
                <w:rFonts w:hint="eastAsia"/>
                <w:color w:val="000000"/>
                <w:spacing w:val="0"/>
                <w:sz w:val="15"/>
              </w:rPr>
              <w:t xml:space="preserve">G-1 </w:t>
            </w:r>
            <w:r>
              <w:rPr>
                <w:rFonts w:hint="eastAsia"/>
                <w:color w:val="000000"/>
                <w:spacing w:val="0"/>
                <w:sz w:val="15"/>
              </w:rPr>
              <w:t>内政部</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1 366</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90</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1 456</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600</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600</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1 966</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90</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2 056</w:t>
            </w:r>
          </w:p>
        </w:tc>
      </w:tr>
      <w:tr w:rsidR="00692915">
        <w:tblPrEx>
          <w:tblCellMar>
            <w:top w:w="0" w:type="dxa"/>
            <w:bottom w:w="0" w:type="dxa"/>
          </w:tblCellMar>
        </w:tblPrEx>
        <w:tc>
          <w:tcPr>
            <w:tcW w:w="986" w:type="pct"/>
          </w:tcPr>
          <w:p w:rsidR="00692915" w:rsidRDefault="00692915">
            <w:pPr>
              <w:spacing w:before="20" w:after="20" w:line="220" w:lineRule="exact"/>
              <w:ind w:firstLineChars="0" w:firstLine="0"/>
              <w:rPr>
                <w:rFonts w:hint="eastAsia"/>
                <w:color w:val="000000"/>
                <w:spacing w:val="0"/>
                <w:sz w:val="15"/>
              </w:rPr>
            </w:pPr>
            <w:r>
              <w:rPr>
                <w:rFonts w:hint="eastAsia"/>
                <w:color w:val="000000"/>
                <w:spacing w:val="0"/>
                <w:sz w:val="15"/>
              </w:rPr>
              <w:t xml:space="preserve">G-4 </w:t>
            </w:r>
            <w:r>
              <w:rPr>
                <w:rFonts w:hint="eastAsia"/>
                <w:color w:val="000000"/>
                <w:spacing w:val="0"/>
                <w:sz w:val="15"/>
              </w:rPr>
              <w:t>东帝汶国家警察</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8 437</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406</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8 843</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5 769</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5 769</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3 250</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3 250</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14 206</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3 656</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17 862</w:t>
            </w:r>
          </w:p>
        </w:tc>
      </w:tr>
      <w:tr w:rsidR="00692915">
        <w:tblPrEx>
          <w:tblCellMar>
            <w:top w:w="0" w:type="dxa"/>
            <w:bottom w:w="0" w:type="dxa"/>
          </w:tblCellMar>
        </w:tblPrEx>
        <w:tc>
          <w:tcPr>
            <w:tcW w:w="986" w:type="pct"/>
          </w:tcPr>
          <w:p w:rsidR="00692915" w:rsidRDefault="00692915">
            <w:pPr>
              <w:spacing w:before="20" w:after="20" w:line="220" w:lineRule="exact"/>
              <w:ind w:firstLineChars="0" w:firstLine="0"/>
              <w:rPr>
                <w:rFonts w:hint="eastAsia"/>
                <w:color w:val="000000"/>
                <w:spacing w:val="0"/>
                <w:sz w:val="15"/>
              </w:rPr>
            </w:pPr>
            <w:r>
              <w:rPr>
                <w:rFonts w:hint="eastAsia"/>
                <w:color w:val="000000"/>
                <w:spacing w:val="0"/>
                <w:sz w:val="15"/>
              </w:rPr>
              <w:t xml:space="preserve">H-1 </w:t>
            </w:r>
            <w:r>
              <w:rPr>
                <w:rFonts w:hint="eastAsia"/>
                <w:color w:val="000000"/>
                <w:spacing w:val="0"/>
                <w:sz w:val="15"/>
              </w:rPr>
              <w:t>发展部</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404</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404</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5 509</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791</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6 300</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5 913</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791</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6 704</w:t>
            </w:r>
          </w:p>
        </w:tc>
      </w:tr>
      <w:tr w:rsidR="00692915">
        <w:tblPrEx>
          <w:tblCellMar>
            <w:top w:w="0" w:type="dxa"/>
            <w:bottom w:w="0" w:type="dxa"/>
          </w:tblCellMar>
        </w:tblPrEx>
        <w:tc>
          <w:tcPr>
            <w:tcW w:w="986" w:type="pct"/>
          </w:tcPr>
          <w:p w:rsidR="00692915" w:rsidRDefault="00692915">
            <w:pPr>
              <w:spacing w:before="20" w:after="20" w:line="220" w:lineRule="exact"/>
              <w:ind w:firstLineChars="0" w:firstLine="0"/>
              <w:rPr>
                <w:rFonts w:hint="eastAsia"/>
                <w:color w:val="000000"/>
                <w:spacing w:val="0"/>
                <w:sz w:val="15"/>
              </w:rPr>
            </w:pPr>
            <w:r>
              <w:rPr>
                <w:rFonts w:hint="eastAsia"/>
                <w:color w:val="000000"/>
                <w:spacing w:val="0"/>
                <w:sz w:val="15"/>
              </w:rPr>
              <w:t xml:space="preserve">S-1 </w:t>
            </w:r>
            <w:r>
              <w:rPr>
                <w:rFonts w:hint="eastAsia"/>
                <w:color w:val="000000"/>
                <w:spacing w:val="0"/>
                <w:sz w:val="15"/>
              </w:rPr>
              <w:t>旅游及环境国务秘书处</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177</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177</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1 070</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1 070</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1 247</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1 247</w:t>
            </w:r>
          </w:p>
        </w:tc>
      </w:tr>
      <w:tr w:rsidR="00692915">
        <w:tblPrEx>
          <w:tblCellMar>
            <w:top w:w="0" w:type="dxa"/>
            <w:bottom w:w="0" w:type="dxa"/>
          </w:tblCellMar>
        </w:tblPrEx>
        <w:tc>
          <w:tcPr>
            <w:tcW w:w="986" w:type="pct"/>
          </w:tcPr>
          <w:p w:rsidR="00692915" w:rsidRDefault="00692915">
            <w:pPr>
              <w:spacing w:before="20" w:after="20" w:line="220" w:lineRule="exact"/>
              <w:ind w:firstLineChars="0" w:firstLine="0"/>
              <w:rPr>
                <w:rFonts w:hint="eastAsia"/>
                <w:color w:val="000000"/>
                <w:spacing w:val="0"/>
                <w:sz w:val="15"/>
              </w:rPr>
            </w:pPr>
            <w:r>
              <w:rPr>
                <w:rFonts w:hint="eastAsia"/>
                <w:color w:val="000000"/>
                <w:spacing w:val="0"/>
                <w:sz w:val="15"/>
              </w:rPr>
              <w:t xml:space="preserve">I-1 </w:t>
            </w:r>
            <w:r>
              <w:rPr>
                <w:rFonts w:hint="eastAsia"/>
                <w:color w:val="000000"/>
                <w:spacing w:val="0"/>
                <w:sz w:val="15"/>
              </w:rPr>
              <w:t>司法部</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4 176</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1 465</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5 641</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1 498</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1 498</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2 945</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795</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3 740</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8 619</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2 260</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10 879</w:t>
            </w:r>
          </w:p>
        </w:tc>
      </w:tr>
      <w:tr w:rsidR="00692915">
        <w:tblPrEx>
          <w:tblCellMar>
            <w:top w:w="0" w:type="dxa"/>
            <w:bottom w:w="0" w:type="dxa"/>
          </w:tblCellMar>
        </w:tblPrEx>
        <w:tc>
          <w:tcPr>
            <w:tcW w:w="986" w:type="pct"/>
          </w:tcPr>
          <w:p w:rsidR="00692915" w:rsidRDefault="00692915">
            <w:pPr>
              <w:spacing w:before="20" w:after="20" w:line="220" w:lineRule="exact"/>
              <w:ind w:firstLineChars="0" w:firstLine="0"/>
              <w:rPr>
                <w:rFonts w:hint="eastAsia"/>
                <w:color w:val="000000"/>
                <w:spacing w:val="0"/>
                <w:sz w:val="15"/>
              </w:rPr>
            </w:pPr>
            <w:r>
              <w:rPr>
                <w:rFonts w:hint="eastAsia"/>
                <w:color w:val="000000"/>
                <w:spacing w:val="0"/>
                <w:sz w:val="15"/>
              </w:rPr>
              <w:t xml:space="preserve">J-1 </w:t>
            </w:r>
            <w:r>
              <w:rPr>
                <w:rFonts w:hint="eastAsia"/>
                <w:color w:val="000000"/>
                <w:spacing w:val="0"/>
                <w:sz w:val="15"/>
              </w:rPr>
              <w:t>农林渔业部</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3 880</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570</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4 450</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3 357</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1 860</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5 218</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3 060</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540</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3 600</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10 297</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2 970</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13 268</w:t>
            </w:r>
          </w:p>
        </w:tc>
      </w:tr>
      <w:tr w:rsidR="00692915">
        <w:tblPrEx>
          <w:tblCellMar>
            <w:top w:w="0" w:type="dxa"/>
            <w:bottom w:w="0" w:type="dxa"/>
          </w:tblCellMar>
        </w:tblPrEx>
        <w:tc>
          <w:tcPr>
            <w:tcW w:w="986" w:type="pct"/>
          </w:tcPr>
          <w:p w:rsidR="00692915" w:rsidRDefault="00692915">
            <w:pPr>
              <w:spacing w:before="20" w:after="20" w:line="220" w:lineRule="exact"/>
              <w:ind w:firstLineChars="0" w:firstLine="0"/>
              <w:rPr>
                <w:rFonts w:hint="eastAsia"/>
                <w:color w:val="000000"/>
                <w:spacing w:val="0"/>
                <w:sz w:val="15"/>
              </w:rPr>
            </w:pPr>
            <w:r>
              <w:rPr>
                <w:rFonts w:hint="eastAsia"/>
                <w:color w:val="000000"/>
                <w:spacing w:val="0"/>
                <w:sz w:val="15"/>
              </w:rPr>
              <w:t xml:space="preserve">K-1 </w:t>
            </w:r>
            <w:r>
              <w:rPr>
                <w:rFonts w:hint="eastAsia"/>
                <w:color w:val="000000"/>
                <w:spacing w:val="0"/>
                <w:sz w:val="15"/>
              </w:rPr>
              <w:t>教育与文化部</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16 597</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1 612</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18 209</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4 118</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1 385</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5 504</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6 232</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9 118</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15 350</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26 947</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12 115</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39 063</w:t>
            </w:r>
          </w:p>
        </w:tc>
      </w:tr>
      <w:tr w:rsidR="00692915">
        <w:tblPrEx>
          <w:tblCellMar>
            <w:top w:w="0" w:type="dxa"/>
            <w:bottom w:w="0" w:type="dxa"/>
          </w:tblCellMar>
        </w:tblPrEx>
        <w:tc>
          <w:tcPr>
            <w:tcW w:w="986" w:type="pct"/>
          </w:tcPr>
          <w:p w:rsidR="00692915" w:rsidRDefault="00692915">
            <w:pPr>
              <w:spacing w:before="20" w:after="20" w:line="220" w:lineRule="exact"/>
              <w:ind w:firstLineChars="0" w:firstLine="0"/>
              <w:rPr>
                <w:rFonts w:hint="eastAsia"/>
                <w:color w:val="000000"/>
                <w:spacing w:val="0"/>
                <w:sz w:val="15"/>
              </w:rPr>
            </w:pPr>
            <w:r>
              <w:rPr>
                <w:rFonts w:hint="eastAsia"/>
                <w:color w:val="000000"/>
                <w:spacing w:val="0"/>
                <w:sz w:val="15"/>
              </w:rPr>
              <w:t xml:space="preserve">L-1 </w:t>
            </w:r>
            <w:r>
              <w:rPr>
                <w:rFonts w:hint="eastAsia"/>
                <w:color w:val="000000"/>
                <w:spacing w:val="0"/>
                <w:sz w:val="15"/>
              </w:rPr>
              <w:t>卫生部</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10 305</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4 000</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14 305</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7 750</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1 445</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9 196</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6 205</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3 325</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9 530</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24 260</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8 770</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33 030</w:t>
            </w:r>
          </w:p>
        </w:tc>
      </w:tr>
      <w:tr w:rsidR="00692915">
        <w:tblPrEx>
          <w:tblCellMar>
            <w:top w:w="0" w:type="dxa"/>
            <w:bottom w:w="0" w:type="dxa"/>
          </w:tblCellMar>
        </w:tblPrEx>
        <w:tc>
          <w:tcPr>
            <w:tcW w:w="986" w:type="pct"/>
          </w:tcPr>
          <w:p w:rsidR="00692915" w:rsidRDefault="00692915">
            <w:pPr>
              <w:spacing w:before="20" w:after="20" w:line="220" w:lineRule="exact"/>
              <w:ind w:firstLineChars="0" w:firstLine="0"/>
              <w:rPr>
                <w:rFonts w:hint="eastAsia"/>
                <w:color w:val="000000"/>
                <w:spacing w:val="0"/>
                <w:sz w:val="15"/>
              </w:rPr>
            </w:pPr>
            <w:r>
              <w:rPr>
                <w:rFonts w:hint="eastAsia"/>
                <w:color w:val="000000"/>
                <w:spacing w:val="0"/>
                <w:sz w:val="15"/>
              </w:rPr>
              <w:t xml:space="preserve">M-1 </w:t>
            </w:r>
            <w:r>
              <w:rPr>
                <w:rFonts w:hint="eastAsia"/>
                <w:color w:val="000000"/>
                <w:spacing w:val="0"/>
                <w:sz w:val="15"/>
              </w:rPr>
              <w:t>劳动与社会安置部</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 xml:space="preserve"> 607</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253</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860</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607</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253</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860</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1 500</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1 500</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2 714</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506</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3 220</w:t>
            </w:r>
          </w:p>
        </w:tc>
      </w:tr>
      <w:tr w:rsidR="00692915">
        <w:tblPrEx>
          <w:tblCellMar>
            <w:top w:w="0" w:type="dxa"/>
            <w:bottom w:w="0" w:type="dxa"/>
          </w:tblCellMar>
        </w:tblPrEx>
        <w:tc>
          <w:tcPr>
            <w:tcW w:w="986" w:type="pct"/>
          </w:tcPr>
          <w:p w:rsidR="00692915" w:rsidRDefault="00692915">
            <w:pPr>
              <w:spacing w:before="20" w:after="20" w:line="220" w:lineRule="exact"/>
              <w:ind w:firstLineChars="0" w:firstLine="0"/>
              <w:rPr>
                <w:rFonts w:hint="eastAsia"/>
                <w:color w:val="000000"/>
                <w:spacing w:val="0"/>
                <w:sz w:val="15"/>
              </w:rPr>
            </w:pPr>
            <w:r>
              <w:rPr>
                <w:rFonts w:hint="eastAsia"/>
                <w:color w:val="000000"/>
                <w:spacing w:val="0"/>
                <w:sz w:val="15"/>
              </w:rPr>
              <w:t xml:space="preserve">N-1 </w:t>
            </w:r>
            <w:r>
              <w:rPr>
                <w:rFonts w:hint="eastAsia"/>
                <w:color w:val="000000"/>
                <w:spacing w:val="0"/>
                <w:sz w:val="15"/>
              </w:rPr>
              <w:t>外交与合作部</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2 678</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2 678</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2 000</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2 000</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970</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307</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1 277</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3 648</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2 307</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5 955</w:t>
            </w:r>
          </w:p>
        </w:tc>
      </w:tr>
      <w:tr w:rsidR="00692915">
        <w:tblPrEx>
          <w:tblCellMar>
            <w:top w:w="0" w:type="dxa"/>
            <w:bottom w:w="0" w:type="dxa"/>
          </w:tblCellMar>
        </w:tblPrEx>
        <w:tc>
          <w:tcPr>
            <w:tcW w:w="986" w:type="pct"/>
          </w:tcPr>
          <w:p w:rsidR="00692915" w:rsidRDefault="00692915">
            <w:pPr>
              <w:spacing w:before="20" w:after="20" w:line="220" w:lineRule="exact"/>
              <w:ind w:firstLineChars="0" w:firstLine="0"/>
              <w:rPr>
                <w:rFonts w:hint="eastAsia"/>
                <w:color w:val="000000"/>
                <w:spacing w:val="0"/>
                <w:sz w:val="15"/>
              </w:rPr>
            </w:pPr>
            <w:r>
              <w:rPr>
                <w:rFonts w:hint="eastAsia"/>
                <w:color w:val="000000"/>
                <w:spacing w:val="0"/>
                <w:sz w:val="15"/>
              </w:rPr>
              <w:t xml:space="preserve">O-1 </w:t>
            </w:r>
            <w:r>
              <w:rPr>
                <w:rFonts w:hint="eastAsia"/>
                <w:color w:val="000000"/>
                <w:spacing w:val="0"/>
                <w:sz w:val="15"/>
              </w:rPr>
              <w:t>规划与财政部</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6 716</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1 640</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8 356</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414</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187</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601</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10 820</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250</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11 070</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17 950</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2 077</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20 027</w:t>
            </w:r>
          </w:p>
        </w:tc>
      </w:tr>
      <w:tr w:rsidR="00692915">
        <w:tblPrEx>
          <w:tblCellMar>
            <w:top w:w="0" w:type="dxa"/>
            <w:bottom w:w="0" w:type="dxa"/>
          </w:tblCellMar>
        </w:tblPrEx>
        <w:tc>
          <w:tcPr>
            <w:tcW w:w="986" w:type="pct"/>
          </w:tcPr>
          <w:p w:rsidR="00692915" w:rsidRDefault="00692915">
            <w:pPr>
              <w:spacing w:before="20" w:after="20" w:line="220" w:lineRule="exact"/>
              <w:ind w:firstLineChars="0" w:firstLine="0"/>
              <w:rPr>
                <w:rFonts w:hint="eastAsia"/>
                <w:color w:val="000000"/>
                <w:spacing w:val="0"/>
                <w:sz w:val="15"/>
              </w:rPr>
            </w:pPr>
            <w:r>
              <w:rPr>
                <w:rFonts w:hint="eastAsia"/>
                <w:color w:val="000000"/>
                <w:spacing w:val="0"/>
                <w:sz w:val="15"/>
              </w:rPr>
              <w:t xml:space="preserve">P-1 </w:t>
            </w:r>
            <w:r>
              <w:rPr>
                <w:rFonts w:hint="eastAsia"/>
                <w:color w:val="000000"/>
                <w:spacing w:val="0"/>
                <w:sz w:val="15"/>
              </w:rPr>
              <w:t>交通部</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1 636</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981</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2 617</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950</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2 017</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2 967</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950</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2 017</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2 967</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3 536</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5 015</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8 551</w:t>
            </w:r>
          </w:p>
        </w:tc>
      </w:tr>
      <w:tr w:rsidR="00692915">
        <w:tblPrEx>
          <w:tblCellMar>
            <w:top w:w="0" w:type="dxa"/>
            <w:bottom w:w="0" w:type="dxa"/>
          </w:tblCellMar>
        </w:tblPrEx>
        <w:tc>
          <w:tcPr>
            <w:tcW w:w="986" w:type="pct"/>
          </w:tcPr>
          <w:p w:rsidR="00692915" w:rsidRDefault="00692915">
            <w:pPr>
              <w:spacing w:before="20" w:after="20" w:line="220" w:lineRule="exact"/>
              <w:ind w:firstLineChars="0" w:firstLine="0"/>
              <w:rPr>
                <w:rFonts w:hint="eastAsia"/>
                <w:color w:val="000000"/>
                <w:spacing w:val="0"/>
                <w:sz w:val="15"/>
              </w:rPr>
            </w:pPr>
            <w:r>
              <w:rPr>
                <w:rFonts w:hint="eastAsia"/>
                <w:color w:val="000000"/>
                <w:spacing w:val="0"/>
                <w:sz w:val="15"/>
              </w:rPr>
              <w:t xml:space="preserve">R-1 </w:t>
            </w:r>
            <w:r>
              <w:rPr>
                <w:rFonts w:hint="eastAsia"/>
                <w:color w:val="000000"/>
                <w:spacing w:val="0"/>
                <w:sz w:val="15"/>
              </w:rPr>
              <w:t>自然资源、矿业与能源政策部</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6 214</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1 768</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7 982</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1 681</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7 651</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9 332</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3 173</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7 651</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10 824</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11 068</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17 070</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28 139</w:t>
            </w:r>
          </w:p>
        </w:tc>
      </w:tr>
      <w:tr w:rsidR="00692915">
        <w:tblPrEx>
          <w:tblCellMar>
            <w:top w:w="0" w:type="dxa"/>
            <w:bottom w:w="0" w:type="dxa"/>
          </w:tblCellMar>
        </w:tblPrEx>
        <w:tc>
          <w:tcPr>
            <w:tcW w:w="986" w:type="pct"/>
          </w:tcPr>
          <w:p w:rsidR="00692915" w:rsidRDefault="00692915">
            <w:pPr>
              <w:spacing w:before="20" w:after="20" w:line="220" w:lineRule="exact"/>
              <w:ind w:firstLineChars="0" w:firstLine="0"/>
              <w:rPr>
                <w:rFonts w:hint="eastAsia"/>
                <w:color w:val="000000"/>
                <w:spacing w:val="0"/>
                <w:sz w:val="15"/>
              </w:rPr>
            </w:pPr>
            <w:r>
              <w:rPr>
                <w:rFonts w:hint="eastAsia"/>
                <w:color w:val="000000"/>
                <w:spacing w:val="0"/>
                <w:sz w:val="15"/>
              </w:rPr>
              <w:t xml:space="preserve">Q-1 </w:t>
            </w:r>
            <w:r>
              <w:rPr>
                <w:rFonts w:hint="eastAsia"/>
                <w:color w:val="000000"/>
                <w:spacing w:val="0"/>
                <w:sz w:val="15"/>
              </w:rPr>
              <w:t>公共工程部</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805</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6 545</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7 350</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250</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9 953</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10 203</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2 039</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4 000</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6 039</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3 094</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20 498</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23 592</w:t>
            </w:r>
          </w:p>
        </w:tc>
      </w:tr>
      <w:tr w:rsidR="00692915">
        <w:tblPrEx>
          <w:tblCellMar>
            <w:top w:w="0" w:type="dxa"/>
            <w:bottom w:w="0" w:type="dxa"/>
          </w:tblCellMar>
        </w:tblPrEx>
        <w:tc>
          <w:tcPr>
            <w:tcW w:w="986" w:type="pct"/>
          </w:tcPr>
          <w:p w:rsidR="00692915" w:rsidRDefault="00692915">
            <w:pPr>
              <w:spacing w:before="20" w:after="20" w:line="220" w:lineRule="exact"/>
              <w:ind w:firstLineChars="0" w:firstLine="0"/>
              <w:rPr>
                <w:rFonts w:hint="eastAsia"/>
                <w:color w:val="000000"/>
                <w:spacing w:val="0"/>
                <w:sz w:val="15"/>
              </w:rPr>
            </w:pPr>
            <w:r>
              <w:rPr>
                <w:rFonts w:hint="eastAsia"/>
                <w:color w:val="000000"/>
                <w:spacing w:val="0"/>
                <w:sz w:val="15"/>
              </w:rPr>
              <w:t xml:space="preserve">T-1 </w:t>
            </w:r>
            <w:r>
              <w:rPr>
                <w:rFonts w:hint="eastAsia"/>
                <w:color w:val="000000"/>
                <w:spacing w:val="0"/>
                <w:sz w:val="15"/>
              </w:rPr>
              <w:t>青年和体育国务秘书处</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247</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183</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430</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320</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320</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567</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183</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750</w:t>
            </w:r>
          </w:p>
        </w:tc>
      </w:tr>
      <w:tr w:rsidR="00692915">
        <w:tblPrEx>
          <w:tblCellMar>
            <w:top w:w="0" w:type="dxa"/>
            <w:bottom w:w="0" w:type="dxa"/>
          </w:tblCellMar>
        </w:tblPrEx>
        <w:tc>
          <w:tcPr>
            <w:tcW w:w="986" w:type="pct"/>
          </w:tcPr>
          <w:p w:rsidR="00692915" w:rsidRDefault="00692915">
            <w:pPr>
              <w:spacing w:before="20" w:after="20" w:line="220" w:lineRule="exact"/>
              <w:ind w:firstLineChars="0" w:firstLine="0"/>
              <w:rPr>
                <w:rFonts w:hint="eastAsia"/>
                <w:color w:val="000000"/>
                <w:spacing w:val="0"/>
                <w:sz w:val="15"/>
              </w:rPr>
            </w:pPr>
            <w:r>
              <w:rPr>
                <w:rFonts w:hint="eastAsia"/>
                <w:color w:val="000000"/>
                <w:spacing w:val="0"/>
                <w:sz w:val="15"/>
              </w:rPr>
              <w:t xml:space="preserve">U-1 </w:t>
            </w:r>
            <w:r>
              <w:rPr>
                <w:rFonts w:hint="eastAsia"/>
                <w:color w:val="000000"/>
                <w:spacing w:val="0"/>
                <w:sz w:val="15"/>
              </w:rPr>
              <w:t>司法部</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503</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503</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1 961</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99</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2 060</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2 464</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99</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2 563</w:t>
            </w:r>
          </w:p>
        </w:tc>
      </w:tr>
      <w:tr w:rsidR="00692915">
        <w:tblPrEx>
          <w:tblCellMar>
            <w:top w:w="0" w:type="dxa"/>
            <w:bottom w:w="0" w:type="dxa"/>
          </w:tblCellMar>
        </w:tblPrEx>
        <w:tc>
          <w:tcPr>
            <w:tcW w:w="986" w:type="pct"/>
          </w:tcPr>
          <w:p w:rsidR="00692915" w:rsidRDefault="00692915">
            <w:pPr>
              <w:spacing w:before="20" w:after="20" w:line="220" w:lineRule="exact"/>
              <w:ind w:firstLineChars="0" w:firstLine="0"/>
              <w:rPr>
                <w:rFonts w:hint="eastAsia"/>
                <w:color w:val="000000"/>
                <w:spacing w:val="0"/>
                <w:sz w:val="15"/>
              </w:rPr>
            </w:pPr>
            <w:r>
              <w:rPr>
                <w:rFonts w:hint="eastAsia"/>
                <w:color w:val="000000"/>
                <w:spacing w:val="0"/>
                <w:sz w:val="15"/>
              </w:rPr>
              <w:t xml:space="preserve">V-1 </w:t>
            </w:r>
            <w:r>
              <w:rPr>
                <w:rFonts w:hint="eastAsia"/>
                <w:color w:val="000000"/>
                <w:spacing w:val="0"/>
                <w:sz w:val="15"/>
              </w:rPr>
              <w:t>银行业务与支付管理局</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240</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10 500</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10 740</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250</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250</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490</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10 500</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10 990</w:t>
            </w:r>
          </w:p>
        </w:tc>
      </w:tr>
      <w:tr w:rsidR="00692915">
        <w:tblPrEx>
          <w:tblCellMar>
            <w:top w:w="0" w:type="dxa"/>
            <w:bottom w:w="0" w:type="dxa"/>
          </w:tblCellMar>
        </w:tblPrEx>
        <w:tc>
          <w:tcPr>
            <w:tcW w:w="986" w:type="pct"/>
          </w:tcPr>
          <w:p w:rsidR="00692915" w:rsidRDefault="00692915">
            <w:pPr>
              <w:spacing w:before="20" w:after="20" w:line="220" w:lineRule="exact"/>
              <w:ind w:firstLineChars="0" w:firstLine="0"/>
              <w:rPr>
                <w:rFonts w:hint="eastAsia"/>
                <w:color w:val="000000"/>
                <w:spacing w:val="0"/>
                <w:sz w:val="15"/>
              </w:rPr>
            </w:pPr>
            <w:r>
              <w:rPr>
                <w:rFonts w:hint="eastAsia"/>
                <w:color w:val="000000"/>
                <w:spacing w:val="0"/>
                <w:sz w:val="15"/>
              </w:rPr>
              <w:t xml:space="preserve">Y-1 </w:t>
            </w:r>
            <w:r>
              <w:rPr>
                <w:rFonts w:hint="eastAsia"/>
                <w:color w:val="000000"/>
                <w:spacing w:val="0"/>
                <w:sz w:val="15"/>
              </w:rPr>
              <w:t>人权监察员</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83</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 xml:space="preserve"> 83</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490</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490</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625</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625</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1 198</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1 198</w:t>
            </w:r>
          </w:p>
        </w:tc>
      </w:tr>
      <w:tr w:rsidR="00692915">
        <w:tblPrEx>
          <w:tblCellMar>
            <w:top w:w="0" w:type="dxa"/>
            <w:bottom w:w="0" w:type="dxa"/>
          </w:tblCellMar>
        </w:tblPrEx>
        <w:tc>
          <w:tcPr>
            <w:tcW w:w="986" w:type="pct"/>
          </w:tcPr>
          <w:p w:rsidR="00692915" w:rsidRDefault="00692915">
            <w:pPr>
              <w:spacing w:before="20" w:after="20" w:line="220" w:lineRule="exact"/>
              <w:ind w:firstLineChars="0" w:firstLine="0"/>
              <w:rPr>
                <w:rFonts w:hint="eastAsia"/>
                <w:color w:val="000000"/>
                <w:spacing w:val="0"/>
                <w:sz w:val="15"/>
              </w:rPr>
            </w:pPr>
            <w:r>
              <w:rPr>
                <w:rFonts w:hint="eastAsia"/>
                <w:color w:val="000000"/>
                <w:spacing w:val="0"/>
                <w:sz w:val="15"/>
              </w:rPr>
              <w:t xml:space="preserve">X-1 </w:t>
            </w:r>
            <w:r>
              <w:rPr>
                <w:rFonts w:hint="eastAsia"/>
                <w:color w:val="000000"/>
                <w:spacing w:val="0"/>
                <w:sz w:val="15"/>
              </w:rPr>
              <w:t>东帝汶广播电视总局</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826</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826</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186</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904</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1 090</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1 012</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904</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1 916</w:t>
            </w:r>
          </w:p>
        </w:tc>
      </w:tr>
      <w:tr w:rsidR="00692915">
        <w:tblPrEx>
          <w:tblCellMar>
            <w:top w:w="0" w:type="dxa"/>
            <w:bottom w:w="0" w:type="dxa"/>
          </w:tblCellMar>
        </w:tblPrEx>
        <w:tc>
          <w:tcPr>
            <w:tcW w:w="986" w:type="pct"/>
          </w:tcPr>
          <w:p w:rsidR="00692915" w:rsidRDefault="00692915" w:rsidP="009A1C1B">
            <w:pPr>
              <w:spacing w:before="20" w:after="20" w:line="220" w:lineRule="exact"/>
              <w:ind w:firstLineChars="100" w:firstLine="31680"/>
              <w:rPr>
                <w:rFonts w:hint="eastAsia"/>
                <w:color w:val="000000"/>
                <w:spacing w:val="0"/>
                <w:sz w:val="15"/>
              </w:rPr>
            </w:pPr>
            <w:r>
              <w:rPr>
                <w:rFonts w:hint="eastAsia"/>
                <w:color w:val="000000"/>
                <w:spacing w:val="0"/>
                <w:sz w:val="15"/>
              </w:rPr>
              <w:t>总计（不包括自治机构）</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82 880</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34 661</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117 541</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32 036</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27 126</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59 162</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53 925</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47 322</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101 247</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168 841</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109 109</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277 950</w:t>
            </w:r>
          </w:p>
        </w:tc>
      </w:tr>
      <w:tr w:rsidR="00692915">
        <w:tblPrEx>
          <w:tblCellMar>
            <w:top w:w="0" w:type="dxa"/>
            <w:bottom w:w="0" w:type="dxa"/>
          </w:tblCellMar>
        </w:tblPrEx>
        <w:tc>
          <w:tcPr>
            <w:tcW w:w="986" w:type="pct"/>
          </w:tcPr>
          <w:p w:rsidR="00692915" w:rsidRDefault="00692915" w:rsidP="009A1C1B">
            <w:pPr>
              <w:spacing w:before="20" w:after="20" w:line="220" w:lineRule="exact"/>
              <w:ind w:firstLineChars="100" w:firstLine="31680"/>
              <w:rPr>
                <w:rFonts w:hint="eastAsia"/>
                <w:color w:val="000000"/>
                <w:spacing w:val="0"/>
                <w:sz w:val="15"/>
              </w:rPr>
            </w:pPr>
            <w:r>
              <w:rPr>
                <w:rFonts w:hint="eastAsia"/>
                <w:color w:val="000000"/>
                <w:spacing w:val="0"/>
                <w:sz w:val="15"/>
              </w:rPr>
              <w:t>自治机构</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9 802</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2 044</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11 846</w:t>
            </w:r>
          </w:p>
        </w:tc>
        <w:tc>
          <w:tcPr>
            <w:tcW w:w="334" w:type="pct"/>
          </w:tcPr>
          <w:p w:rsidR="00692915" w:rsidRDefault="00692915">
            <w:pPr>
              <w:spacing w:before="20" w:after="20" w:line="220" w:lineRule="exact"/>
              <w:ind w:firstLineChars="0" w:firstLine="0"/>
              <w:jc w:val="right"/>
              <w:rPr>
                <w:rFonts w:hint="eastAsia"/>
                <w:color w:val="000000"/>
                <w:sz w:val="18"/>
              </w:rPr>
            </w:pPr>
          </w:p>
        </w:tc>
        <w:tc>
          <w:tcPr>
            <w:tcW w:w="335" w:type="pct"/>
          </w:tcPr>
          <w:p w:rsidR="00692915" w:rsidRDefault="00692915">
            <w:pPr>
              <w:spacing w:before="20" w:after="20" w:line="220" w:lineRule="exact"/>
              <w:ind w:firstLineChars="0" w:firstLine="0"/>
              <w:jc w:val="right"/>
              <w:rPr>
                <w:rFonts w:hint="eastAsia"/>
                <w:color w:val="000000"/>
                <w:sz w:val="18"/>
              </w:rPr>
            </w:pPr>
          </w:p>
        </w:tc>
        <w:tc>
          <w:tcPr>
            <w:tcW w:w="334" w:type="pct"/>
          </w:tcPr>
          <w:p w:rsidR="00692915" w:rsidRDefault="00692915">
            <w:pPr>
              <w:wordWrap w:val="0"/>
              <w:spacing w:before="20" w:after="20" w:line="220" w:lineRule="exact"/>
              <w:ind w:firstLineChars="0" w:firstLine="0"/>
              <w:jc w:val="right"/>
              <w:rPr>
                <w:rFonts w:hint="eastAsia"/>
                <w:color w:val="000000"/>
                <w:sz w:val="18"/>
              </w:rPr>
            </w:pPr>
            <w:r>
              <w:rPr>
                <w:rFonts w:hint="eastAsia"/>
                <w:color w:val="000000"/>
                <w:sz w:val="18"/>
              </w:rPr>
              <w:t xml:space="preserve"> </w:t>
            </w:r>
          </w:p>
        </w:tc>
        <w:tc>
          <w:tcPr>
            <w:tcW w:w="334" w:type="pct"/>
          </w:tcPr>
          <w:p w:rsidR="00692915" w:rsidRDefault="00692915">
            <w:pPr>
              <w:spacing w:before="20" w:after="20" w:line="220" w:lineRule="exact"/>
              <w:ind w:firstLineChars="0" w:firstLine="0"/>
              <w:jc w:val="right"/>
              <w:rPr>
                <w:rFonts w:hint="eastAsia"/>
                <w:color w:val="000000"/>
                <w:sz w:val="18"/>
              </w:rPr>
            </w:pPr>
          </w:p>
        </w:tc>
        <w:tc>
          <w:tcPr>
            <w:tcW w:w="335" w:type="pct"/>
          </w:tcPr>
          <w:p w:rsidR="00692915" w:rsidRDefault="00692915">
            <w:pPr>
              <w:spacing w:before="20" w:after="20" w:line="220" w:lineRule="exact"/>
              <w:ind w:firstLineChars="0" w:firstLine="0"/>
              <w:jc w:val="right"/>
              <w:rPr>
                <w:rFonts w:hint="eastAsia"/>
                <w:color w:val="000000"/>
                <w:sz w:val="18"/>
              </w:rPr>
            </w:pPr>
          </w:p>
        </w:tc>
        <w:tc>
          <w:tcPr>
            <w:tcW w:w="334" w:type="pct"/>
          </w:tcPr>
          <w:p w:rsidR="00692915" w:rsidRDefault="00692915">
            <w:pPr>
              <w:spacing w:before="20" w:after="20" w:line="220" w:lineRule="exact"/>
              <w:ind w:firstLineChars="0" w:firstLine="0"/>
              <w:jc w:val="right"/>
              <w:rPr>
                <w:rFonts w:hint="eastAsia"/>
                <w:color w:val="000000"/>
                <w:sz w:val="18"/>
              </w:rPr>
            </w:pP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9 802</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2 044</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11 846</w:t>
            </w:r>
          </w:p>
        </w:tc>
      </w:tr>
      <w:tr w:rsidR="00692915">
        <w:tblPrEx>
          <w:tblCellMar>
            <w:top w:w="0" w:type="dxa"/>
            <w:bottom w:w="0" w:type="dxa"/>
          </w:tblCellMar>
        </w:tblPrEx>
        <w:tc>
          <w:tcPr>
            <w:tcW w:w="986" w:type="pct"/>
          </w:tcPr>
          <w:p w:rsidR="00692915" w:rsidRDefault="00692915" w:rsidP="009A1C1B">
            <w:pPr>
              <w:spacing w:before="20" w:after="20" w:line="220" w:lineRule="exact"/>
              <w:ind w:firstLineChars="100" w:firstLine="31680"/>
              <w:rPr>
                <w:rFonts w:hint="eastAsia"/>
                <w:color w:val="000000"/>
                <w:spacing w:val="0"/>
              </w:rPr>
            </w:pPr>
            <w:r>
              <w:rPr>
                <w:rFonts w:hint="eastAsia"/>
                <w:color w:val="000000"/>
                <w:spacing w:val="0"/>
                <w:sz w:val="15"/>
              </w:rPr>
              <w:t>总计（包括自治机构）</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92 682</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36 705</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129 387</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32 036</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27 126</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59 162</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53 925</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47 322</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101 247</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178 643</w:t>
            </w:r>
          </w:p>
        </w:tc>
        <w:tc>
          <w:tcPr>
            <w:tcW w:w="334"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111 153</w:t>
            </w:r>
          </w:p>
        </w:tc>
        <w:tc>
          <w:tcPr>
            <w:tcW w:w="335" w:type="pct"/>
          </w:tcPr>
          <w:p w:rsidR="00692915" w:rsidRDefault="00692915">
            <w:pPr>
              <w:spacing w:before="20" w:after="20" w:line="220" w:lineRule="exact"/>
              <w:ind w:firstLineChars="0" w:firstLine="0"/>
              <w:jc w:val="right"/>
              <w:rPr>
                <w:rFonts w:hint="eastAsia"/>
                <w:color w:val="000000"/>
                <w:sz w:val="18"/>
              </w:rPr>
            </w:pPr>
            <w:r>
              <w:rPr>
                <w:rFonts w:hint="eastAsia"/>
                <w:color w:val="000000"/>
                <w:sz w:val="18"/>
              </w:rPr>
              <w:t>289 796</w:t>
            </w:r>
          </w:p>
        </w:tc>
      </w:tr>
    </w:tbl>
    <w:p w:rsidR="00692915" w:rsidRDefault="00692915">
      <w:pPr>
        <w:ind w:firstLineChars="0" w:firstLine="0"/>
        <w:rPr>
          <w:rFonts w:hint="eastAsia"/>
          <w:color w:val="000000"/>
        </w:rPr>
      </w:pPr>
    </w:p>
    <w:p w:rsidR="00692915" w:rsidRDefault="00692915">
      <w:pPr>
        <w:ind w:firstLineChars="0" w:firstLine="0"/>
        <w:rPr>
          <w:rFonts w:hint="eastAsia"/>
          <w:color w:val="000000"/>
        </w:rPr>
      </w:pPr>
    </w:p>
    <w:p w:rsidR="00692915" w:rsidRDefault="00692915">
      <w:pPr>
        <w:ind w:firstLineChars="0" w:firstLine="0"/>
        <w:rPr>
          <w:rFonts w:hint="eastAsia"/>
          <w:color w:val="000000"/>
        </w:rPr>
      </w:pPr>
    </w:p>
    <w:p w:rsidR="00692915" w:rsidRDefault="00692915">
      <w:pPr>
        <w:ind w:firstLineChars="0" w:firstLine="0"/>
        <w:rPr>
          <w:color w:val="000000"/>
        </w:rPr>
        <w:sectPr w:rsidR="00692915">
          <w:headerReference w:type="even" r:id="rId76"/>
          <w:headerReference w:type="default" r:id="rId77"/>
          <w:footerReference w:type="even" r:id="rId78"/>
          <w:footerReference w:type="default" r:id="rId79"/>
          <w:pgSz w:w="16838" w:h="11906" w:orient="landscape" w:code="9"/>
          <w:pgMar w:top="1701" w:right="1985" w:bottom="851" w:left="1985" w:header="794" w:footer="567" w:gutter="0"/>
          <w:cols w:space="425"/>
          <w:docGrid w:type="lines" w:linePitch="360"/>
        </w:sectPr>
      </w:pPr>
    </w:p>
    <w:p w:rsidR="00692915" w:rsidRDefault="00692915">
      <w:pPr>
        <w:ind w:firstLineChars="0" w:firstLine="0"/>
        <w:rPr>
          <w:rFonts w:hint="eastAsia"/>
          <w:color w:val="000000"/>
        </w:rPr>
      </w:pPr>
    </w:p>
    <w:p w:rsidR="00692915" w:rsidRDefault="00692915">
      <w:pPr>
        <w:pStyle w:val="Heading2"/>
        <w:rPr>
          <w:rFonts w:hint="eastAsia"/>
          <w:color w:val="000000"/>
        </w:rPr>
      </w:pPr>
      <w:r>
        <w:rPr>
          <w:rFonts w:hint="eastAsia"/>
          <w:color w:val="000000"/>
        </w:rPr>
        <w:t>附件</w:t>
      </w:r>
      <w:r>
        <w:rPr>
          <w:color w:val="000000"/>
        </w:rPr>
        <w:t xml:space="preserve"> </w:t>
      </w:r>
      <w:r>
        <w:rPr>
          <w:rFonts w:hint="eastAsia"/>
          <w:color w:val="000000"/>
        </w:rPr>
        <w:t>三</w:t>
      </w:r>
    </w:p>
    <w:bookmarkEnd w:id="358"/>
    <w:bookmarkEnd w:id="359"/>
    <w:bookmarkEnd w:id="360"/>
    <w:bookmarkEnd w:id="361"/>
    <w:bookmarkEnd w:id="362"/>
    <w:bookmarkEnd w:id="363"/>
    <w:p w:rsidR="00692915" w:rsidRDefault="00692915">
      <w:pPr>
        <w:pStyle w:val="Heading1"/>
        <w:ind w:firstLineChars="0" w:firstLine="0"/>
        <w:rPr>
          <w:rFonts w:eastAsia="SimHei" w:hint="eastAsia"/>
          <w:b w:val="0"/>
          <w:bCs/>
          <w:color w:val="000000"/>
        </w:rPr>
      </w:pPr>
      <w:r>
        <w:rPr>
          <w:rFonts w:eastAsia="SimHei" w:hint="eastAsia"/>
          <w:b w:val="0"/>
          <w:bCs/>
          <w:color w:val="000000"/>
        </w:rPr>
        <w:t>东帝汶加入的核心人权条约一览表</w:t>
      </w:r>
    </w:p>
    <w:tbl>
      <w:tblPr>
        <w:tblW w:w="0" w:type="auto"/>
        <w:tblInd w:w="-2" w:type="dxa"/>
        <w:tblLook w:val="01E0" w:firstRow="1" w:lastRow="1" w:firstColumn="1" w:lastColumn="1" w:noHBand="0" w:noVBand="0"/>
      </w:tblPr>
      <w:tblGrid>
        <w:gridCol w:w="9572"/>
      </w:tblGrid>
      <w:tr w:rsidR="00692915">
        <w:trPr>
          <w:trHeight w:val="656"/>
        </w:trPr>
        <w:tc>
          <w:tcPr>
            <w:tcW w:w="9573" w:type="dxa"/>
            <w:vAlign w:val="center"/>
          </w:tcPr>
          <w:p w:rsidR="00692915" w:rsidRDefault="00692915" w:rsidP="009A1C1B">
            <w:pPr>
              <w:numPr>
                <w:ilvl w:val="0"/>
                <w:numId w:val="9"/>
              </w:numPr>
              <w:tabs>
                <w:tab w:val="clear" w:pos="360"/>
                <w:tab w:val="num" w:pos="522"/>
              </w:tabs>
              <w:ind w:left="31680" w:hangingChars="200" w:firstLine="31680"/>
              <w:rPr>
                <w:bCs/>
                <w:color w:val="000000"/>
              </w:rPr>
            </w:pPr>
            <w:r>
              <w:rPr>
                <w:rFonts w:hint="eastAsia"/>
                <w:bCs/>
                <w:color w:val="000000"/>
              </w:rPr>
              <w:t>《公民及政治权利国际公约》</w:t>
            </w:r>
            <w:r>
              <w:rPr>
                <w:bCs/>
                <w:color w:val="000000"/>
              </w:rPr>
              <w:t>（</w:t>
            </w:r>
            <w:r>
              <w:rPr>
                <w:bCs/>
                <w:color w:val="000000"/>
              </w:rPr>
              <w:t>ICCPR</w:t>
            </w:r>
            <w:r>
              <w:rPr>
                <w:rFonts w:hint="eastAsia"/>
                <w:bCs/>
                <w:color w:val="000000"/>
              </w:rPr>
              <w:t>）；</w:t>
            </w:r>
          </w:p>
        </w:tc>
      </w:tr>
      <w:tr w:rsidR="00692915">
        <w:trPr>
          <w:trHeight w:val="710"/>
        </w:trPr>
        <w:tc>
          <w:tcPr>
            <w:tcW w:w="9573" w:type="dxa"/>
            <w:vAlign w:val="center"/>
          </w:tcPr>
          <w:p w:rsidR="00692915" w:rsidRDefault="00692915" w:rsidP="009A1C1B">
            <w:pPr>
              <w:numPr>
                <w:ilvl w:val="0"/>
                <w:numId w:val="9"/>
              </w:numPr>
              <w:tabs>
                <w:tab w:val="clear" w:pos="360"/>
                <w:tab w:val="num" w:pos="522"/>
              </w:tabs>
              <w:ind w:left="31680" w:hangingChars="200" w:firstLine="31680"/>
              <w:rPr>
                <w:bCs/>
                <w:color w:val="000000"/>
              </w:rPr>
            </w:pPr>
            <w:r>
              <w:rPr>
                <w:rFonts w:hint="eastAsia"/>
                <w:bCs/>
                <w:color w:val="000000"/>
              </w:rPr>
              <w:t>《经济、社会、文化权利国际公约》（</w:t>
            </w:r>
            <w:r>
              <w:rPr>
                <w:bCs/>
                <w:color w:val="000000"/>
              </w:rPr>
              <w:t>ICESCR</w:t>
            </w:r>
            <w:r>
              <w:rPr>
                <w:rFonts w:hint="eastAsia"/>
                <w:bCs/>
                <w:color w:val="000000"/>
              </w:rPr>
              <w:t>）；</w:t>
            </w:r>
          </w:p>
        </w:tc>
      </w:tr>
      <w:tr w:rsidR="00692915">
        <w:trPr>
          <w:trHeight w:val="521"/>
        </w:trPr>
        <w:tc>
          <w:tcPr>
            <w:tcW w:w="9573" w:type="dxa"/>
            <w:vAlign w:val="center"/>
          </w:tcPr>
          <w:p w:rsidR="00692915" w:rsidRDefault="00692915" w:rsidP="009A1C1B">
            <w:pPr>
              <w:numPr>
                <w:ilvl w:val="0"/>
                <w:numId w:val="9"/>
              </w:numPr>
              <w:tabs>
                <w:tab w:val="clear" w:pos="360"/>
                <w:tab w:val="num" w:pos="522"/>
              </w:tabs>
              <w:ind w:left="31680" w:hangingChars="200" w:firstLine="31680"/>
              <w:rPr>
                <w:bCs/>
                <w:color w:val="000000"/>
              </w:rPr>
            </w:pPr>
            <w:r>
              <w:rPr>
                <w:rFonts w:hint="eastAsia"/>
                <w:color w:val="000000"/>
              </w:rPr>
              <w:t>《</w:t>
            </w:r>
            <w:r>
              <w:rPr>
                <w:rFonts w:hint="eastAsia"/>
                <w:bCs/>
                <w:color w:val="000000"/>
              </w:rPr>
              <w:t>消除</w:t>
            </w:r>
            <w:r>
              <w:rPr>
                <w:rFonts w:hint="eastAsia"/>
                <w:color w:val="000000"/>
              </w:rPr>
              <w:t>一切形式种族歧视国际公约》（</w:t>
            </w:r>
            <w:r>
              <w:rPr>
                <w:bCs/>
                <w:color w:val="000000"/>
              </w:rPr>
              <w:t>ICERD</w:t>
            </w:r>
            <w:r>
              <w:rPr>
                <w:rFonts w:hint="eastAsia"/>
                <w:bCs/>
                <w:color w:val="000000"/>
              </w:rPr>
              <w:t>）；</w:t>
            </w:r>
          </w:p>
        </w:tc>
      </w:tr>
      <w:tr w:rsidR="00692915">
        <w:trPr>
          <w:trHeight w:val="539"/>
        </w:trPr>
        <w:tc>
          <w:tcPr>
            <w:tcW w:w="9573" w:type="dxa"/>
            <w:vAlign w:val="center"/>
          </w:tcPr>
          <w:p w:rsidR="00692915" w:rsidRDefault="00692915" w:rsidP="009A1C1B">
            <w:pPr>
              <w:numPr>
                <w:ilvl w:val="0"/>
                <w:numId w:val="9"/>
              </w:numPr>
              <w:tabs>
                <w:tab w:val="clear" w:pos="360"/>
                <w:tab w:val="num" w:pos="522"/>
              </w:tabs>
              <w:ind w:left="31680" w:hangingChars="200" w:firstLine="31680"/>
              <w:rPr>
                <w:bCs/>
                <w:color w:val="000000"/>
              </w:rPr>
            </w:pPr>
            <w:r>
              <w:rPr>
                <w:rFonts w:hint="eastAsia"/>
                <w:color w:val="000000"/>
              </w:rPr>
              <w:t>《禁止酷刑和其他残忍、不人道或有辱人格的待遇或处罚公约》</w:t>
            </w:r>
            <w:r>
              <w:rPr>
                <w:rFonts w:hint="eastAsia"/>
                <w:bCs/>
                <w:color w:val="000000"/>
              </w:rPr>
              <w:t>（《禁止酷刑公约》）；</w:t>
            </w:r>
          </w:p>
        </w:tc>
      </w:tr>
      <w:tr w:rsidR="00692915">
        <w:trPr>
          <w:trHeight w:val="539"/>
        </w:trPr>
        <w:tc>
          <w:tcPr>
            <w:tcW w:w="9573" w:type="dxa"/>
            <w:vAlign w:val="center"/>
          </w:tcPr>
          <w:p w:rsidR="00692915" w:rsidRDefault="00692915" w:rsidP="009A1C1B">
            <w:pPr>
              <w:numPr>
                <w:ilvl w:val="0"/>
                <w:numId w:val="9"/>
              </w:numPr>
              <w:tabs>
                <w:tab w:val="clear" w:pos="360"/>
                <w:tab w:val="num" w:pos="522"/>
              </w:tabs>
              <w:ind w:left="31680" w:hangingChars="200" w:firstLine="31680"/>
              <w:rPr>
                <w:bCs/>
                <w:color w:val="000000"/>
              </w:rPr>
            </w:pPr>
            <w:r>
              <w:rPr>
                <w:rFonts w:hint="eastAsia"/>
                <w:bCs/>
                <w:color w:val="000000"/>
              </w:rPr>
              <w:t>《消除对妇女一切形式歧视公约》（</w:t>
            </w:r>
            <w:r>
              <w:rPr>
                <w:bCs/>
                <w:color w:val="000000"/>
              </w:rPr>
              <w:t>CEDAW</w:t>
            </w:r>
            <w:r>
              <w:rPr>
                <w:rFonts w:hint="eastAsia"/>
                <w:bCs/>
                <w:color w:val="000000"/>
              </w:rPr>
              <w:t>）；</w:t>
            </w:r>
          </w:p>
        </w:tc>
      </w:tr>
      <w:tr w:rsidR="00692915">
        <w:trPr>
          <w:trHeight w:val="530"/>
        </w:trPr>
        <w:tc>
          <w:tcPr>
            <w:tcW w:w="9573" w:type="dxa"/>
            <w:vAlign w:val="center"/>
          </w:tcPr>
          <w:p w:rsidR="00692915" w:rsidRDefault="00692915" w:rsidP="009A1C1B">
            <w:pPr>
              <w:numPr>
                <w:ilvl w:val="0"/>
                <w:numId w:val="9"/>
              </w:numPr>
              <w:tabs>
                <w:tab w:val="clear" w:pos="360"/>
                <w:tab w:val="num" w:pos="522"/>
              </w:tabs>
              <w:ind w:left="31680" w:hangingChars="200" w:firstLine="31680"/>
              <w:rPr>
                <w:bCs/>
                <w:color w:val="000000"/>
              </w:rPr>
            </w:pPr>
            <w:r>
              <w:rPr>
                <w:rFonts w:hint="eastAsia"/>
                <w:bCs/>
                <w:color w:val="000000"/>
              </w:rPr>
              <w:t>《儿童权利公约》（</w:t>
            </w:r>
            <w:r>
              <w:rPr>
                <w:bCs/>
                <w:color w:val="000000"/>
              </w:rPr>
              <w:t>CRC</w:t>
            </w:r>
            <w:r>
              <w:rPr>
                <w:rFonts w:hint="eastAsia"/>
                <w:bCs/>
                <w:color w:val="000000"/>
              </w:rPr>
              <w:t>）；</w:t>
            </w:r>
          </w:p>
        </w:tc>
      </w:tr>
      <w:tr w:rsidR="00692915">
        <w:trPr>
          <w:trHeight w:val="710"/>
        </w:trPr>
        <w:tc>
          <w:tcPr>
            <w:tcW w:w="9573" w:type="dxa"/>
            <w:vAlign w:val="center"/>
          </w:tcPr>
          <w:p w:rsidR="00692915" w:rsidRDefault="00692915" w:rsidP="009A1C1B">
            <w:pPr>
              <w:numPr>
                <w:ilvl w:val="0"/>
                <w:numId w:val="9"/>
              </w:numPr>
              <w:tabs>
                <w:tab w:val="clear" w:pos="360"/>
                <w:tab w:val="num" w:pos="522"/>
              </w:tabs>
              <w:ind w:left="31680" w:hangingChars="200" w:firstLine="31680"/>
              <w:rPr>
                <w:bCs/>
                <w:color w:val="000000"/>
              </w:rPr>
            </w:pPr>
            <w:r>
              <w:rPr>
                <w:rFonts w:hint="eastAsia"/>
                <w:color w:val="000000"/>
              </w:rPr>
              <w:t>《</w:t>
            </w:r>
            <w:r>
              <w:rPr>
                <w:rFonts w:hint="eastAsia"/>
                <w:bCs/>
                <w:color w:val="000000"/>
              </w:rPr>
              <w:t>保护所有移徙工人及其家庭成员权利国际公约</w:t>
            </w:r>
            <w:r>
              <w:rPr>
                <w:rFonts w:hint="eastAsia"/>
                <w:color w:val="000000"/>
              </w:rPr>
              <w:t>》；</w:t>
            </w:r>
          </w:p>
        </w:tc>
      </w:tr>
      <w:tr w:rsidR="00692915">
        <w:tc>
          <w:tcPr>
            <w:tcW w:w="9573" w:type="dxa"/>
            <w:vAlign w:val="center"/>
          </w:tcPr>
          <w:p w:rsidR="00692915" w:rsidRDefault="00692915" w:rsidP="009A1C1B">
            <w:pPr>
              <w:numPr>
                <w:ilvl w:val="0"/>
                <w:numId w:val="9"/>
              </w:numPr>
              <w:tabs>
                <w:tab w:val="clear" w:pos="360"/>
                <w:tab w:val="num" w:pos="522"/>
              </w:tabs>
              <w:ind w:left="31680" w:hangingChars="200" w:firstLine="31680"/>
              <w:rPr>
                <w:bCs/>
                <w:color w:val="000000"/>
              </w:rPr>
            </w:pPr>
            <w:r>
              <w:rPr>
                <w:rFonts w:hint="eastAsia"/>
                <w:bCs/>
                <w:color w:val="000000"/>
              </w:rPr>
              <w:t>《旨在废除死刑的〈公民及政治权利国际公约〉第二项任择议定书》（</w:t>
            </w:r>
            <w:r>
              <w:rPr>
                <w:bCs/>
                <w:color w:val="000000"/>
              </w:rPr>
              <w:t>OCCPR-OP2-DP</w:t>
            </w:r>
            <w:r>
              <w:rPr>
                <w:rFonts w:hint="eastAsia"/>
                <w:bCs/>
                <w:color w:val="000000"/>
              </w:rPr>
              <w:t>）；</w:t>
            </w:r>
          </w:p>
        </w:tc>
      </w:tr>
      <w:tr w:rsidR="00692915">
        <w:trPr>
          <w:trHeight w:val="665"/>
        </w:trPr>
        <w:tc>
          <w:tcPr>
            <w:tcW w:w="9573" w:type="dxa"/>
            <w:vAlign w:val="center"/>
          </w:tcPr>
          <w:p w:rsidR="00692915" w:rsidRDefault="00692915" w:rsidP="009A1C1B">
            <w:pPr>
              <w:numPr>
                <w:ilvl w:val="0"/>
                <w:numId w:val="9"/>
              </w:numPr>
              <w:tabs>
                <w:tab w:val="clear" w:pos="360"/>
                <w:tab w:val="num" w:pos="522"/>
              </w:tabs>
              <w:ind w:left="31680" w:hangingChars="200" w:firstLine="31680"/>
              <w:rPr>
                <w:bCs/>
                <w:color w:val="000000"/>
              </w:rPr>
            </w:pPr>
            <w:r>
              <w:rPr>
                <w:bCs/>
                <w:color w:val="000000"/>
              </w:rPr>
              <w:t>《消除对妇女一切形式歧视公约</w:t>
            </w:r>
            <w:r>
              <w:rPr>
                <w:rFonts w:hint="eastAsia"/>
                <w:bCs/>
                <w:color w:val="000000"/>
              </w:rPr>
              <w:t>任择议定书</w:t>
            </w:r>
            <w:r>
              <w:rPr>
                <w:bCs/>
                <w:color w:val="000000"/>
              </w:rPr>
              <w:t>》</w:t>
            </w:r>
            <w:r>
              <w:rPr>
                <w:rFonts w:hint="eastAsia"/>
                <w:bCs/>
                <w:color w:val="000000"/>
              </w:rPr>
              <w:t>（</w:t>
            </w:r>
            <w:r>
              <w:rPr>
                <w:rFonts w:hint="eastAsia"/>
                <w:bCs/>
                <w:color w:val="000000"/>
              </w:rPr>
              <w:t>CEDAW</w:t>
            </w:r>
            <w:r>
              <w:rPr>
                <w:bCs/>
                <w:color w:val="000000"/>
              </w:rPr>
              <w:t>-OP</w:t>
            </w:r>
            <w:r>
              <w:rPr>
                <w:rFonts w:hint="eastAsia"/>
                <w:bCs/>
                <w:color w:val="000000"/>
              </w:rPr>
              <w:t>）</w:t>
            </w:r>
            <w:r>
              <w:rPr>
                <w:rFonts w:hint="eastAsia"/>
                <w:bCs/>
                <w:color w:val="000000"/>
              </w:rPr>
              <w:t>;</w:t>
            </w:r>
          </w:p>
        </w:tc>
      </w:tr>
      <w:tr w:rsidR="00692915">
        <w:trPr>
          <w:trHeight w:val="719"/>
        </w:trPr>
        <w:tc>
          <w:tcPr>
            <w:tcW w:w="9573" w:type="dxa"/>
            <w:vAlign w:val="center"/>
          </w:tcPr>
          <w:p w:rsidR="00692915" w:rsidRDefault="00692915" w:rsidP="009A1C1B">
            <w:pPr>
              <w:numPr>
                <w:ilvl w:val="0"/>
                <w:numId w:val="9"/>
              </w:numPr>
              <w:tabs>
                <w:tab w:val="clear" w:pos="360"/>
                <w:tab w:val="num" w:pos="522"/>
              </w:tabs>
              <w:ind w:left="31680" w:hangingChars="200" w:firstLine="31680"/>
              <w:rPr>
                <w:bCs/>
                <w:color w:val="000000"/>
              </w:rPr>
            </w:pPr>
            <w:r>
              <w:rPr>
                <w:bCs/>
                <w:color w:val="000000"/>
              </w:rPr>
              <w:t>《儿童权利公约</w:t>
            </w:r>
            <w:r>
              <w:rPr>
                <w:rFonts w:ascii="Arial" w:hAnsi="Arial" w:cs="Arial" w:hint="eastAsia"/>
                <w:color w:val="000000"/>
              </w:rPr>
              <w:t>关于儿童卷入武装冲突问题的任择议定书》（</w:t>
            </w:r>
            <w:r>
              <w:rPr>
                <w:rFonts w:hint="eastAsia"/>
                <w:bCs/>
                <w:color w:val="000000"/>
              </w:rPr>
              <w:t>CRC</w:t>
            </w:r>
            <w:r>
              <w:rPr>
                <w:bCs/>
                <w:color w:val="000000"/>
              </w:rPr>
              <w:t>-OP-AC</w:t>
            </w:r>
            <w:r>
              <w:rPr>
                <w:rFonts w:hint="eastAsia"/>
                <w:bCs/>
                <w:color w:val="000000"/>
              </w:rPr>
              <w:t>）；</w:t>
            </w:r>
          </w:p>
        </w:tc>
      </w:tr>
      <w:tr w:rsidR="00692915">
        <w:trPr>
          <w:trHeight w:val="674"/>
        </w:trPr>
        <w:tc>
          <w:tcPr>
            <w:tcW w:w="9573" w:type="dxa"/>
            <w:vAlign w:val="center"/>
          </w:tcPr>
          <w:p w:rsidR="00692915" w:rsidRDefault="00692915" w:rsidP="009A1C1B">
            <w:pPr>
              <w:numPr>
                <w:ilvl w:val="0"/>
                <w:numId w:val="9"/>
              </w:numPr>
              <w:tabs>
                <w:tab w:val="clear" w:pos="360"/>
                <w:tab w:val="num" w:pos="522"/>
              </w:tabs>
              <w:ind w:left="31680" w:hangingChars="200" w:firstLine="31680"/>
              <w:rPr>
                <w:bCs/>
                <w:color w:val="000000"/>
              </w:rPr>
            </w:pPr>
            <w:r>
              <w:rPr>
                <w:bCs/>
                <w:color w:val="000000"/>
              </w:rPr>
              <w:t>《儿童权利公约</w:t>
            </w:r>
            <w:r>
              <w:rPr>
                <w:rFonts w:ascii="Arial" w:hAnsi="Arial" w:cs="Arial" w:hint="eastAsia"/>
                <w:color w:val="000000"/>
              </w:rPr>
              <w:t>关于买卖儿童、儿童卖淫和儿童色情制品的任择议定书》（</w:t>
            </w:r>
            <w:r>
              <w:rPr>
                <w:rFonts w:hint="eastAsia"/>
                <w:bCs/>
                <w:color w:val="000000"/>
              </w:rPr>
              <w:t>CRC</w:t>
            </w:r>
            <w:r>
              <w:rPr>
                <w:bCs/>
                <w:color w:val="000000"/>
              </w:rPr>
              <w:t>-OP-CS</w:t>
            </w:r>
            <w:r>
              <w:rPr>
                <w:rFonts w:hint="eastAsia"/>
                <w:bCs/>
                <w:color w:val="000000"/>
              </w:rPr>
              <w:t>）。</w:t>
            </w:r>
          </w:p>
        </w:tc>
      </w:tr>
    </w:tbl>
    <w:p w:rsidR="00692915" w:rsidRDefault="00692915">
      <w:pPr>
        <w:pStyle w:val="Heading2"/>
        <w:rPr>
          <w:rFonts w:hint="eastAsia"/>
          <w:color w:val="000000"/>
        </w:rPr>
      </w:pPr>
      <w:bookmarkStart w:id="364" w:name="_Toc124610909"/>
      <w:bookmarkStart w:id="365" w:name="_Toc124611271"/>
      <w:bookmarkStart w:id="366" w:name="_Toc135834094"/>
      <w:bookmarkStart w:id="367" w:name="_Toc135834311"/>
      <w:bookmarkStart w:id="368" w:name="_Toc150515119"/>
      <w:bookmarkStart w:id="369" w:name="_Toc150685042"/>
      <w:r>
        <w:rPr>
          <w:color w:val="000000"/>
        </w:rPr>
        <w:br w:type="page"/>
      </w:r>
      <w:r>
        <w:rPr>
          <w:rFonts w:hint="eastAsia"/>
          <w:color w:val="000000"/>
        </w:rPr>
        <w:t>附件四</w:t>
      </w:r>
    </w:p>
    <w:bookmarkEnd w:id="364"/>
    <w:bookmarkEnd w:id="365"/>
    <w:bookmarkEnd w:id="366"/>
    <w:bookmarkEnd w:id="367"/>
    <w:bookmarkEnd w:id="368"/>
    <w:bookmarkEnd w:id="369"/>
    <w:p w:rsidR="00692915" w:rsidRDefault="00692915">
      <w:pPr>
        <w:pStyle w:val="Heading1"/>
        <w:ind w:firstLineChars="0" w:firstLine="0"/>
        <w:rPr>
          <w:rFonts w:eastAsia="SimHei" w:hint="eastAsia"/>
          <w:b w:val="0"/>
          <w:bCs/>
          <w:color w:val="000000"/>
        </w:rPr>
      </w:pPr>
      <w:r>
        <w:rPr>
          <w:rFonts w:eastAsia="SimHei" w:hint="eastAsia"/>
          <w:b w:val="0"/>
          <w:bCs/>
          <w:color w:val="000000"/>
        </w:rPr>
        <w:t>东帝汶加入的其他人权文书及相关文书</w:t>
      </w:r>
    </w:p>
    <w:tbl>
      <w:tblPr>
        <w:tblW w:w="0" w:type="auto"/>
        <w:tblInd w:w="-12" w:type="dxa"/>
        <w:tblLook w:val="01E0" w:firstRow="1" w:lastRow="1" w:firstColumn="1" w:lastColumn="1" w:noHBand="0" w:noVBand="0"/>
      </w:tblPr>
      <w:tblGrid>
        <w:gridCol w:w="9582"/>
      </w:tblGrid>
      <w:tr w:rsidR="00692915">
        <w:tc>
          <w:tcPr>
            <w:tcW w:w="9583" w:type="dxa"/>
            <w:vAlign w:val="center"/>
          </w:tcPr>
          <w:p w:rsidR="00692915" w:rsidRDefault="00692915" w:rsidP="009A1C1B">
            <w:pPr>
              <w:numPr>
                <w:ilvl w:val="0"/>
                <w:numId w:val="9"/>
              </w:numPr>
              <w:tabs>
                <w:tab w:val="clear" w:pos="360"/>
                <w:tab w:val="num" w:pos="522"/>
              </w:tabs>
              <w:ind w:left="31680" w:hangingChars="200" w:firstLine="31680"/>
              <w:rPr>
                <w:bCs/>
                <w:color w:val="000000"/>
              </w:rPr>
            </w:pPr>
            <w:r>
              <w:rPr>
                <w:rFonts w:ascii="Arial" w:hAnsi="Arial" w:cs="Arial" w:hint="eastAsia"/>
                <w:color w:val="000000"/>
              </w:rPr>
              <w:t>《</w:t>
            </w:r>
            <w:r>
              <w:rPr>
                <w:rFonts w:ascii="Arial" w:hAnsi="Arial" w:cs="Arial" w:hint="eastAsia"/>
                <w:color w:val="000000"/>
              </w:rPr>
              <w:t>1987</w:t>
            </w:r>
            <w:r>
              <w:rPr>
                <w:rFonts w:ascii="Arial" w:hAnsi="Arial" w:cs="Arial" w:hint="eastAsia"/>
                <w:color w:val="000000"/>
              </w:rPr>
              <w:t>年关于禁止使用、储存、生产和转让杀伤人员地雷及销毁此种武器的渥太华</w:t>
            </w:r>
            <w:r>
              <w:rPr>
                <w:rFonts w:hint="eastAsia"/>
                <w:color w:val="000000"/>
              </w:rPr>
              <w:t>公约</w:t>
            </w:r>
            <w:r>
              <w:rPr>
                <w:rFonts w:ascii="Arial" w:hAnsi="Arial" w:cs="Arial" w:hint="eastAsia"/>
                <w:color w:val="000000"/>
              </w:rPr>
              <w:t>》；</w:t>
            </w:r>
          </w:p>
        </w:tc>
      </w:tr>
      <w:tr w:rsidR="00692915">
        <w:trPr>
          <w:trHeight w:val="557"/>
        </w:trPr>
        <w:tc>
          <w:tcPr>
            <w:tcW w:w="9583" w:type="dxa"/>
            <w:vAlign w:val="center"/>
          </w:tcPr>
          <w:p w:rsidR="00692915" w:rsidRDefault="00692915" w:rsidP="009A1C1B">
            <w:pPr>
              <w:numPr>
                <w:ilvl w:val="0"/>
                <w:numId w:val="9"/>
              </w:numPr>
              <w:tabs>
                <w:tab w:val="clear" w:pos="360"/>
                <w:tab w:val="num" w:pos="522"/>
              </w:tabs>
              <w:ind w:left="31680" w:hangingChars="200" w:firstLine="31680"/>
              <w:rPr>
                <w:bCs/>
                <w:color w:val="000000"/>
              </w:rPr>
            </w:pPr>
            <w:r>
              <w:rPr>
                <w:rFonts w:hint="eastAsia"/>
                <w:bCs/>
                <w:color w:val="000000"/>
              </w:rPr>
              <w:t>《</w:t>
            </w:r>
            <w:r>
              <w:rPr>
                <w:rFonts w:hint="eastAsia"/>
                <w:color w:val="000000"/>
              </w:rPr>
              <w:t>1949</w:t>
            </w:r>
            <w:r>
              <w:rPr>
                <w:rFonts w:hint="eastAsia"/>
                <w:bCs/>
                <w:color w:val="000000"/>
              </w:rPr>
              <w:t>年</w:t>
            </w:r>
            <w:r>
              <w:rPr>
                <w:rFonts w:hint="eastAsia"/>
                <w:bCs/>
                <w:color w:val="000000"/>
              </w:rPr>
              <w:t>8</w:t>
            </w:r>
            <w:r>
              <w:rPr>
                <w:rFonts w:hint="eastAsia"/>
                <w:bCs/>
                <w:color w:val="000000"/>
              </w:rPr>
              <w:t>月</w:t>
            </w:r>
            <w:r>
              <w:rPr>
                <w:rFonts w:hint="eastAsia"/>
                <w:bCs/>
                <w:color w:val="000000"/>
              </w:rPr>
              <w:t>12</w:t>
            </w:r>
            <w:r>
              <w:rPr>
                <w:rFonts w:hint="eastAsia"/>
                <w:bCs/>
                <w:color w:val="000000"/>
              </w:rPr>
              <w:t>日关于保护战争受难者的日内瓦公约》（</w:t>
            </w:r>
            <w:r>
              <w:rPr>
                <w:rFonts w:hint="eastAsia"/>
                <w:bCs/>
                <w:color w:val="000000"/>
              </w:rPr>
              <w:t>1949</w:t>
            </w:r>
            <w:r>
              <w:rPr>
                <w:rFonts w:hint="eastAsia"/>
                <w:bCs/>
                <w:color w:val="000000"/>
              </w:rPr>
              <w:t>年）；</w:t>
            </w:r>
            <w:r>
              <w:rPr>
                <w:rFonts w:hint="eastAsia"/>
                <w:bCs/>
                <w:color w:val="000000"/>
              </w:rPr>
              <w:t xml:space="preserve"> </w:t>
            </w:r>
          </w:p>
        </w:tc>
      </w:tr>
      <w:tr w:rsidR="00692915">
        <w:trPr>
          <w:trHeight w:val="539"/>
        </w:trPr>
        <w:tc>
          <w:tcPr>
            <w:tcW w:w="9583" w:type="dxa"/>
            <w:vAlign w:val="center"/>
          </w:tcPr>
          <w:p w:rsidR="00692915" w:rsidRDefault="00692915" w:rsidP="009A1C1B">
            <w:pPr>
              <w:numPr>
                <w:ilvl w:val="0"/>
                <w:numId w:val="9"/>
              </w:numPr>
              <w:tabs>
                <w:tab w:val="clear" w:pos="360"/>
                <w:tab w:val="num" w:pos="522"/>
              </w:tabs>
              <w:ind w:left="31680" w:hangingChars="200" w:firstLine="31680"/>
              <w:rPr>
                <w:bCs/>
                <w:color w:val="000000"/>
              </w:rPr>
            </w:pPr>
            <w:r>
              <w:rPr>
                <w:rFonts w:ascii="SimSun" w:hAnsi="SimSun" w:hint="eastAsia"/>
                <w:color w:val="000000"/>
                <w:szCs w:val="32"/>
              </w:rPr>
              <w:t>《</w:t>
            </w:r>
            <w:r>
              <w:rPr>
                <w:rFonts w:hint="eastAsia"/>
                <w:color w:val="000000"/>
              </w:rPr>
              <w:t>1949</w:t>
            </w:r>
            <w:r>
              <w:rPr>
                <w:rFonts w:hint="eastAsia"/>
                <w:bCs/>
                <w:color w:val="000000"/>
              </w:rPr>
              <w:t>年</w:t>
            </w:r>
            <w:r>
              <w:rPr>
                <w:rFonts w:hint="eastAsia"/>
                <w:bCs/>
                <w:color w:val="000000"/>
              </w:rPr>
              <w:t>8</w:t>
            </w:r>
            <w:r>
              <w:rPr>
                <w:rFonts w:hint="eastAsia"/>
                <w:bCs/>
                <w:color w:val="000000"/>
              </w:rPr>
              <w:t>月</w:t>
            </w:r>
            <w:r>
              <w:rPr>
                <w:rFonts w:hint="eastAsia"/>
                <w:bCs/>
                <w:color w:val="000000"/>
              </w:rPr>
              <w:t>12</w:t>
            </w:r>
            <w:r>
              <w:rPr>
                <w:rFonts w:hint="eastAsia"/>
                <w:bCs/>
                <w:color w:val="000000"/>
              </w:rPr>
              <w:t>日</w:t>
            </w:r>
            <w:r>
              <w:rPr>
                <w:rFonts w:ascii="SimSun" w:hAnsi="SimSun"/>
                <w:color w:val="000000"/>
                <w:szCs w:val="32"/>
              </w:rPr>
              <w:t>日内瓦四公约关于保护国际武装冲突受难者的第一</w:t>
            </w:r>
            <w:r>
              <w:rPr>
                <w:rFonts w:ascii="SimSun" w:hAnsi="SimSun" w:hint="eastAsia"/>
                <w:color w:val="000000"/>
                <w:szCs w:val="32"/>
              </w:rPr>
              <w:t>项</w:t>
            </w:r>
            <w:r>
              <w:rPr>
                <w:rFonts w:ascii="SimSun" w:hAnsi="SimSun"/>
                <w:color w:val="000000"/>
                <w:szCs w:val="32"/>
              </w:rPr>
              <w:t>议定书</w:t>
            </w:r>
            <w:r>
              <w:rPr>
                <w:rFonts w:ascii="SimSun" w:hAnsi="SimSun" w:hint="eastAsia"/>
                <w:color w:val="000000"/>
                <w:szCs w:val="32"/>
              </w:rPr>
              <w:t xml:space="preserve"> 》（1977年）；</w:t>
            </w:r>
          </w:p>
        </w:tc>
      </w:tr>
      <w:tr w:rsidR="00692915">
        <w:trPr>
          <w:trHeight w:val="530"/>
        </w:trPr>
        <w:tc>
          <w:tcPr>
            <w:tcW w:w="9583" w:type="dxa"/>
            <w:vAlign w:val="center"/>
          </w:tcPr>
          <w:p w:rsidR="00692915" w:rsidRDefault="00692915" w:rsidP="009A1C1B">
            <w:pPr>
              <w:numPr>
                <w:ilvl w:val="0"/>
                <w:numId w:val="9"/>
              </w:numPr>
              <w:tabs>
                <w:tab w:val="clear" w:pos="360"/>
                <w:tab w:val="num" w:pos="522"/>
              </w:tabs>
              <w:ind w:left="31680" w:hangingChars="200" w:firstLine="31680"/>
              <w:rPr>
                <w:bCs/>
                <w:color w:val="000000"/>
              </w:rPr>
            </w:pPr>
            <w:r>
              <w:rPr>
                <w:rFonts w:ascii="SimSun" w:hAnsi="SimSun" w:hint="eastAsia"/>
                <w:color w:val="000000"/>
                <w:szCs w:val="32"/>
              </w:rPr>
              <w:t>《</w:t>
            </w:r>
            <w:r>
              <w:rPr>
                <w:rFonts w:hint="eastAsia"/>
                <w:color w:val="000000"/>
              </w:rPr>
              <w:t>1949</w:t>
            </w:r>
            <w:r>
              <w:rPr>
                <w:rFonts w:hint="eastAsia"/>
                <w:bCs/>
                <w:color w:val="000000"/>
              </w:rPr>
              <w:t>年</w:t>
            </w:r>
            <w:r>
              <w:rPr>
                <w:rFonts w:hint="eastAsia"/>
                <w:bCs/>
                <w:color w:val="000000"/>
              </w:rPr>
              <w:t>8</w:t>
            </w:r>
            <w:r>
              <w:rPr>
                <w:rFonts w:hint="eastAsia"/>
                <w:bCs/>
                <w:color w:val="000000"/>
              </w:rPr>
              <w:t>月</w:t>
            </w:r>
            <w:r>
              <w:rPr>
                <w:rFonts w:hint="eastAsia"/>
                <w:bCs/>
                <w:color w:val="000000"/>
              </w:rPr>
              <w:t>12</w:t>
            </w:r>
            <w:r>
              <w:rPr>
                <w:rFonts w:hint="eastAsia"/>
                <w:bCs/>
                <w:color w:val="000000"/>
              </w:rPr>
              <w:t>日</w:t>
            </w:r>
            <w:r>
              <w:rPr>
                <w:rFonts w:ascii="SimSun" w:hAnsi="SimSun"/>
                <w:color w:val="000000"/>
                <w:szCs w:val="32"/>
              </w:rPr>
              <w:t>日内瓦四公约关于保护国际武装冲突受难者的第</w:t>
            </w:r>
            <w:r>
              <w:rPr>
                <w:rFonts w:ascii="SimSun" w:hAnsi="SimSun" w:hint="eastAsia"/>
                <w:color w:val="000000"/>
                <w:szCs w:val="32"/>
              </w:rPr>
              <w:t>二项</w:t>
            </w:r>
            <w:r>
              <w:rPr>
                <w:rFonts w:ascii="SimSun" w:hAnsi="SimSun"/>
                <w:color w:val="000000"/>
                <w:szCs w:val="32"/>
              </w:rPr>
              <w:t>议定书</w:t>
            </w:r>
            <w:r>
              <w:rPr>
                <w:rFonts w:ascii="SimSun" w:hAnsi="SimSun" w:hint="eastAsia"/>
                <w:color w:val="000000"/>
                <w:szCs w:val="32"/>
              </w:rPr>
              <w:t xml:space="preserve"> 》（1977年）；</w:t>
            </w:r>
          </w:p>
        </w:tc>
      </w:tr>
      <w:tr w:rsidR="00692915">
        <w:trPr>
          <w:trHeight w:val="530"/>
        </w:trPr>
        <w:tc>
          <w:tcPr>
            <w:tcW w:w="9583" w:type="dxa"/>
            <w:vAlign w:val="center"/>
          </w:tcPr>
          <w:p w:rsidR="00692915" w:rsidRDefault="00692915" w:rsidP="009A1C1B">
            <w:pPr>
              <w:numPr>
                <w:ilvl w:val="0"/>
                <w:numId w:val="9"/>
              </w:numPr>
              <w:tabs>
                <w:tab w:val="clear" w:pos="360"/>
                <w:tab w:val="num" w:pos="522"/>
              </w:tabs>
              <w:ind w:left="31680" w:hangingChars="200" w:firstLine="31680"/>
              <w:rPr>
                <w:bCs/>
                <w:color w:val="000000"/>
              </w:rPr>
            </w:pPr>
            <w:r>
              <w:rPr>
                <w:rFonts w:hint="eastAsia"/>
                <w:bCs/>
                <w:color w:val="000000"/>
              </w:rPr>
              <w:t>《</w:t>
            </w:r>
            <w:r>
              <w:rPr>
                <w:rFonts w:hint="eastAsia"/>
                <w:color w:val="000000"/>
              </w:rPr>
              <w:t>1951</w:t>
            </w:r>
            <w:r>
              <w:rPr>
                <w:rFonts w:hint="eastAsia"/>
                <w:bCs/>
                <w:color w:val="000000"/>
              </w:rPr>
              <w:t>关于难民地位的公约》；</w:t>
            </w:r>
          </w:p>
        </w:tc>
      </w:tr>
      <w:tr w:rsidR="00692915">
        <w:trPr>
          <w:trHeight w:val="530"/>
        </w:trPr>
        <w:tc>
          <w:tcPr>
            <w:tcW w:w="9583" w:type="dxa"/>
            <w:vAlign w:val="center"/>
          </w:tcPr>
          <w:p w:rsidR="00692915" w:rsidRDefault="00692915" w:rsidP="009A1C1B">
            <w:pPr>
              <w:numPr>
                <w:ilvl w:val="0"/>
                <w:numId w:val="9"/>
              </w:numPr>
              <w:tabs>
                <w:tab w:val="clear" w:pos="360"/>
                <w:tab w:val="num" w:pos="522"/>
              </w:tabs>
              <w:ind w:left="31680" w:hangingChars="200" w:firstLine="31680"/>
              <w:rPr>
                <w:bCs/>
                <w:color w:val="000000"/>
              </w:rPr>
            </w:pPr>
            <w:r>
              <w:rPr>
                <w:rFonts w:hint="eastAsia"/>
                <w:bCs/>
                <w:color w:val="000000"/>
              </w:rPr>
              <w:t>《关于难民地位的议定书》；</w:t>
            </w:r>
          </w:p>
        </w:tc>
      </w:tr>
      <w:tr w:rsidR="00692915">
        <w:trPr>
          <w:trHeight w:val="530"/>
        </w:trPr>
        <w:tc>
          <w:tcPr>
            <w:tcW w:w="9583" w:type="dxa"/>
            <w:vAlign w:val="center"/>
          </w:tcPr>
          <w:p w:rsidR="00692915" w:rsidRDefault="00692915" w:rsidP="009A1C1B">
            <w:pPr>
              <w:numPr>
                <w:ilvl w:val="0"/>
                <w:numId w:val="9"/>
              </w:numPr>
              <w:tabs>
                <w:tab w:val="clear" w:pos="360"/>
                <w:tab w:val="num" w:pos="522"/>
              </w:tabs>
              <w:ind w:left="31680" w:hangingChars="200" w:firstLine="31680"/>
              <w:rPr>
                <w:bCs/>
                <w:color w:val="000000"/>
              </w:rPr>
            </w:pPr>
            <w:r>
              <w:rPr>
                <w:rFonts w:hint="eastAsia"/>
                <w:bCs/>
                <w:color w:val="000000"/>
              </w:rPr>
              <w:t>《</w:t>
            </w:r>
            <w:r>
              <w:rPr>
                <w:rFonts w:hint="eastAsia"/>
                <w:color w:val="000000"/>
              </w:rPr>
              <w:t>国际</w:t>
            </w:r>
            <w:r>
              <w:rPr>
                <w:rFonts w:ascii="Arial" w:hAnsi="Arial" w:cs="Arial" w:hint="eastAsia"/>
                <w:color w:val="000000"/>
              </w:rPr>
              <w:t>刑事法院</w:t>
            </w:r>
            <w:r>
              <w:rPr>
                <w:rFonts w:hint="eastAsia"/>
                <w:bCs/>
                <w:color w:val="000000"/>
              </w:rPr>
              <w:t>（</w:t>
            </w:r>
            <w:r>
              <w:rPr>
                <w:bCs/>
                <w:color w:val="000000"/>
              </w:rPr>
              <w:t xml:space="preserve"> ICC</w:t>
            </w:r>
            <w:r>
              <w:rPr>
                <w:rFonts w:hint="eastAsia"/>
                <w:bCs/>
                <w:color w:val="000000"/>
              </w:rPr>
              <w:t>）</w:t>
            </w:r>
            <w:r>
              <w:rPr>
                <w:rFonts w:ascii="Arial" w:hAnsi="Arial" w:cs="Arial" w:hint="eastAsia"/>
                <w:color w:val="000000"/>
              </w:rPr>
              <w:t>罗马规约</w:t>
            </w:r>
            <w:r>
              <w:rPr>
                <w:rFonts w:hint="eastAsia"/>
                <w:bCs/>
                <w:color w:val="000000"/>
              </w:rPr>
              <w:t>》（</w:t>
            </w:r>
            <w:r>
              <w:rPr>
                <w:bCs/>
                <w:color w:val="000000"/>
              </w:rPr>
              <w:t>1998</w:t>
            </w:r>
            <w:r>
              <w:rPr>
                <w:rFonts w:hint="eastAsia"/>
                <w:bCs/>
                <w:color w:val="000000"/>
              </w:rPr>
              <w:t>年）。</w:t>
            </w:r>
          </w:p>
        </w:tc>
      </w:tr>
    </w:tbl>
    <w:p w:rsidR="00692915" w:rsidRDefault="00692915" w:rsidP="009A1C1B">
      <w:pPr>
        <w:ind w:firstLine="31680"/>
        <w:rPr>
          <w:color w:val="000000"/>
        </w:rPr>
      </w:pPr>
    </w:p>
    <w:p w:rsidR="00692915" w:rsidRDefault="00692915" w:rsidP="009A1C1B">
      <w:pPr>
        <w:spacing w:before="240"/>
        <w:ind w:firstLine="31680"/>
        <w:jc w:val="center"/>
        <w:rPr>
          <w:rFonts w:hint="eastAsia"/>
          <w:color w:val="000000"/>
        </w:rPr>
      </w:pPr>
      <w:r>
        <w:rPr>
          <w:color w:val="000000"/>
        </w:rPr>
        <w:t>--  --  --  --  --</w:t>
      </w:r>
    </w:p>
    <w:sectPr w:rsidR="00692915">
      <w:headerReference w:type="even" r:id="rId80"/>
      <w:headerReference w:type="default" r:id="rId81"/>
      <w:footerReference w:type="even" r:id="rId82"/>
      <w:footerReference w:type="default" r:id="rId83"/>
      <w:pgSz w:w="11906" w:h="16838"/>
      <w:pgMar w:top="1985" w:right="851" w:bottom="1985" w:left="1701" w:header="794" w:footer="1588"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2984" w:rsidRDefault="00F12984" w:rsidP="009A1C1B">
      <w:pPr>
        <w:ind w:firstLine="31680"/>
      </w:pPr>
      <w:r>
        <w:separator/>
      </w:r>
    </w:p>
  </w:endnote>
  <w:endnote w:type="continuationSeparator" w:id="0">
    <w:p w:rsidR="00F12984" w:rsidRDefault="00F12984" w:rsidP="009A1C1B">
      <w:pPr>
        <w:ind w:firstLine="316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Univers (WN)">
    <w:altName w:val="Arial"/>
    <w:panose1 w:val="00000000000000000000"/>
    <w:charset w:val="00"/>
    <w:family w:val="swiss"/>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panose1 w:val="02010609060101010101"/>
    <w:charset w:val="86"/>
    <w:family w:val="modern"/>
    <w:pitch w:val="fixed"/>
    <w:sig w:usb0="800002BF" w:usb1="38CF7CFA" w:usb2="00000016" w:usb3="00000000" w:csb0="00040001" w:csb1="00000000"/>
  </w:font>
  <w:font w:name="Univers Bol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FangSong_GB2312">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imsong">
    <w:altName w:val="Times New Roman"/>
    <w:panose1 w:val="00000000000000000000"/>
    <w:charset w:val="00"/>
    <w:family w:val="roman"/>
    <w:notTrueType/>
    <w:pitch w:val="default"/>
  </w:font>
  <w:font w:name="Time New Roman">
    <w:altName w:val="Times New Roman"/>
    <w:panose1 w:val="00000000000000000000"/>
    <w:charset w:val="00"/>
    <w:family w:val="roman"/>
    <w:notTrueType/>
    <w:pitch w:val="default"/>
  </w:font>
  <w:font w:name="Univers">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915" w:rsidRDefault="00692915" w:rsidP="009A1C1B">
    <w:pPr>
      <w:pStyle w:val="Footer"/>
      <w:ind w:firstLine="316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915" w:rsidRDefault="00692915" w:rsidP="009A1C1B">
    <w:pPr>
      <w:pStyle w:val="Footer"/>
      <w:ind w:firstLine="316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2460"/>
      <w:gridCol w:w="1050"/>
      <w:gridCol w:w="6061"/>
    </w:tblGrid>
    <w:tr w:rsidR="00692915">
      <w:tblPrEx>
        <w:tblCellMar>
          <w:top w:w="0" w:type="dxa"/>
          <w:bottom w:w="0" w:type="dxa"/>
        </w:tblCellMar>
      </w:tblPrEx>
      <w:tc>
        <w:tcPr>
          <w:tcW w:w="2460" w:type="dxa"/>
        </w:tcPr>
        <w:p w:rsidR="00692915" w:rsidRDefault="00692915" w:rsidP="00B67F62">
          <w:pPr>
            <w:pStyle w:val="Footer"/>
            <w:ind w:firstLineChars="0" w:firstLine="0"/>
          </w:pPr>
          <w:r>
            <w:t>GE. 07-</w:t>
          </w:r>
          <w:r>
            <w:rPr>
              <w:lang w:eastAsia="zh-CN"/>
            </w:rPr>
            <w:t>43118</w:t>
          </w:r>
          <w:r>
            <w:t>（</w:t>
          </w:r>
          <w:r w:rsidR="00B67F62">
            <w:t>EXT</w:t>
          </w:r>
          <w:r>
            <w:t>）</w:t>
          </w:r>
        </w:p>
      </w:tc>
      <w:tc>
        <w:tcPr>
          <w:tcW w:w="1050" w:type="dxa"/>
        </w:tcPr>
        <w:p w:rsidR="00692915" w:rsidRDefault="00692915" w:rsidP="009A1C1B">
          <w:pPr>
            <w:pStyle w:val="Footer"/>
            <w:ind w:firstLine="31680"/>
            <w:rPr>
              <w:rFonts w:hint="eastAsia"/>
              <w:lang w:eastAsia="zh-CN"/>
            </w:rPr>
          </w:pPr>
        </w:p>
      </w:tc>
      <w:tc>
        <w:tcPr>
          <w:tcW w:w="6061" w:type="dxa"/>
        </w:tcPr>
        <w:p w:rsidR="00692915" w:rsidRDefault="00692915" w:rsidP="009A1C1B">
          <w:pPr>
            <w:pStyle w:val="Footer"/>
            <w:ind w:firstLine="31680"/>
            <w:rPr>
              <w:rFonts w:hint="eastAsia"/>
              <w:lang w:eastAsia="zh-CN"/>
            </w:rPr>
          </w:pPr>
        </w:p>
      </w:tc>
    </w:tr>
  </w:tbl>
  <w:p w:rsidR="00692915" w:rsidRDefault="00692915" w:rsidP="009A1C1B">
    <w:pPr>
      <w:pStyle w:val="Footer"/>
      <w:ind w:firstLine="316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915" w:rsidRDefault="00692915" w:rsidP="009A1C1B">
    <w:pPr>
      <w:pStyle w:val="Footer"/>
      <w:ind w:firstLine="316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915" w:rsidRDefault="00692915" w:rsidP="009A1C1B">
    <w:pPr>
      <w:pStyle w:val="Footer"/>
      <w:ind w:firstLine="31680"/>
    </w:pPr>
    <w:r>
      <w:rPr>
        <w:noProof/>
        <w:snapToGrid/>
        <w:sz w:val="20"/>
        <w:lang w:val="en-US" w:eastAsia="zh-CN"/>
      </w:rPr>
      <w:pict>
        <v:shapetype id="_x0000_t202" coordsize="21600,21600" o:spt="202" path="m,l,21600r21600,l21600,xe">
          <v:stroke joinstyle="miter"/>
          <v:path gradientshapeok="t" o:connecttype="rect"/>
        </v:shapetype>
        <v:shape id="_x0000_s1037" type="#_x0000_t202" style="position:absolute;left:0;text-align:left;margin-left:663pt;margin-top:-120.9pt;width:45.5pt;height:126pt;z-index:2" filled="f" stroked="f">
          <v:textbox style="layout-flow:vertical">
            <w:txbxContent>
              <w:p w:rsidR="00692915" w:rsidRDefault="00692915">
                <w:pPr>
                  <w:spacing w:line="240" w:lineRule="auto"/>
                  <w:ind w:firstLineChars="0" w:firstLine="0"/>
                </w:pPr>
                <w:r>
                  <w:rPr>
                    <w:rFonts w:hint="eastAsia"/>
                  </w:rPr>
                  <w:t>HRI</w:t>
                </w:r>
                <w:r>
                  <w:t>/</w:t>
                </w:r>
                <w:r>
                  <w:rPr>
                    <w:rFonts w:hint="eastAsia"/>
                  </w:rPr>
                  <w:t>CORE/TLS/2007</w:t>
                </w:r>
              </w:p>
              <w:p w:rsidR="00692915" w:rsidRDefault="00692915">
                <w:pPr>
                  <w:spacing w:line="240" w:lineRule="auto"/>
                  <w:ind w:firstLineChars="0" w:firstLine="0"/>
                </w:pPr>
                <w:r>
                  <w:t xml:space="preserve">page </w:t>
                </w:r>
                <w:r>
                  <w:rPr>
                    <w:rStyle w:val="PageNumber"/>
                  </w:rPr>
                  <w:fldChar w:fldCharType="begin"/>
                </w:r>
                <w:r>
                  <w:rPr>
                    <w:rStyle w:val="PageNumber"/>
                  </w:rPr>
                  <w:instrText xml:space="preserve"> PAGE </w:instrText>
                </w:r>
                <w:r>
                  <w:rPr>
                    <w:rStyle w:val="PageNumber"/>
                  </w:rPr>
                  <w:fldChar w:fldCharType="separate"/>
                </w:r>
                <w:r w:rsidR="00960864">
                  <w:rPr>
                    <w:rStyle w:val="PageNumber"/>
                    <w:noProof/>
                  </w:rPr>
                  <w:t>223</w:t>
                </w:r>
                <w:r>
                  <w:rPr>
                    <w:rStyle w:val="PageNumber"/>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915" w:rsidRDefault="00692915" w:rsidP="009A1C1B">
    <w:pPr>
      <w:pStyle w:val="Footer"/>
      <w:ind w:firstLine="316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915" w:rsidRDefault="00692915" w:rsidP="009A1C1B">
    <w:pPr>
      <w:pStyle w:val="Footer"/>
      <w:ind w:firstLine="316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2984" w:rsidRDefault="00F12984" w:rsidP="009A1C1B">
      <w:pPr>
        <w:ind w:firstLine="31680"/>
      </w:pPr>
      <w:r>
        <w:separator/>
      </w:r>
    </w:p>
  </w:footnote>
  <w:footnote w:type="continuationSeparator" w:id="0">
    <w:p w:rsidR="00F12984" w:rsidRDefault="00F12984" w:rsidP="009A1C1B">
      <w:pPr>
        <w:ind w:firstLine="31680"/>
      </w:pPr>
      <w:r>
        <w:continuationSeparator/>
      </w:r>
    </w:p>
  </w:footnote>
  <w:footnote w:id="1">
    <w:p w:rsidR="00692915" w:rsidRDefault="00692915" w:rsidP="009A1C1B">
      <w:pPr>
        <w:tabs>
          <w:tab w:val="left" w:pos="780"/>
        </w:tabs>
        <w:spacing w:line="288" w:lineRule="auto"/>
        <w:ind w:firstLine="31680"/>
        <w:rPr>
          <w:rFonts w:ascii="KaiTi_GB2312" w:eastAsia="KaiTi_GB2312"/>
          <w:color w:val="000000"/>
          <w:sz w:val="22"/>
        </w:rPr>
      </w:pPr>
      <w:r>
        <w:rPr>
          <w:rStyle w:val="FootnoteReference"/>
          <w:rFonts w:ascii="KaiTi_GB2312"/>
          <w:b/>
          <w:bCs/>
          <w:color w:val="000000"/>
          <w:sz w:val="22"/>
        </w:rPr>
        <w:t>*</w:t>
      </w:r>
      <w:r>
        <w:rPr>
          <w:rFonts w:ascii="KaiTi_GB2312" w:eastAsia="KaiTi_GB2312"/>
          <w:color w:val="000000"/>
          <w:sz w:val="22"/>
        </w:rPr>
        <w:t xml:space="preserve">  </w:t>
      </w:r>
      <w:r>
        <w:rPr>
          <w:rFonts w:ascii="KaiTi_GB2312" w:eastAsia="KaiTi_GB2312" w:hint="eastAsia"/>
          <w:color w:val="000000"/>
          <w:sz w:val="22"/>
        </w:rPr>
        <w:t xml:space="preserve">根据发给缔约国的关于其报告处理方法的通知规定，本文件在发给联合国翻译部门之前未经正式编辑。附件和脚注按提交时原样复制。 </w:t>
      </w:r>
    </w:p>
  </w:footnote>
  <w:footnote w:id="2">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color w:val="000000"/>
        </w:rPr>
        <w:t xml:space="preserve">  </w:t>
      </w:r>
      <w:r>
        <w:rPr>
          <w:rFonts w:hint="eastAsia"/>
          <w:bCs/>
          <w:color w:val="000000"/>
        </w:rPr>
        <w:t>引</w:t>
      </w:r>
      <w:r>
        <w:rPr>
          <w:rFonts w:ascii="KaiTi_GB2312" w:hint="eastAsia"/>
          <w:bCs/>
          <w:color w:val="000000"/>
        </w:rPr>
        <w:t>自</w:t>
      </w:r>
      <w:r>
        <w:rPr>
          <w:rFonts w:hint="eastAsia"/>
          <w:bCs/>
          <w:color w:val="000000"/>
        </w:rPr>
        <w:t>约翰·</w:t>
      </w:r>
      <w:r>
        <w:rPr>
          <w:bCs/>
          <w:color w:val="000000"/>
        </w:rPr>
        <w:t xml:space="preserve">G. </w:t>
      </w:r>
      <w:r>
        <w:rPr>
          <w:rFonts w:hint="eastAsia"/>
          <w:bCs/>
          <w:color w:val="000000"/>
        </w:rPr>
        <w:t>泰勒</w:t>
      </w:r>
      <w:r>
        <w:rPr>
          <w:rFonts w:ascii="KaiTi_GB2312" w:hint="eastAsia"/>
          <w:bCs/>
          <w:color w:val="000000"/>
        </w:rPr>
        <w:t>，</w:t>
      </w:r>
      <w:r>
        <w:rPr>
          <w:bCs/>
          <w:color w:val="000000"/>
        </w:rPr>
        <w:t>2001</w:t>
      </w:r>
      <w:r>
        <w:rPr>
          <w:rFonts w:hint="eastAsia"/>
          <w:bCs/>
          <w:color w:val="000000"/>
        </w:rPr>
        <w:t>年</w:t>
      </w:r>
      <w:r>
        <w:rPr>
          <w:rFonts w:ascii="KaiTi_GB2312" w:hint="eastAsia"/>
          <w:bCs/>
          <w:color w:val="000000"/>
        </w:rPr>
        <w:t>，</w:t>
      </w:r>
      <w:r>
        <w:rPr>
          <w:rFonts w:ascii="KaiTi_GB2312" w:hint="eastAsia"/>
          <w:color w:val="000000"/>
        </w:rPr>
        <w:t>《</w:t>
      </w:r>
      <w:r>
        <w:rPr>
          <w:rFonts w:ascii="KaiTi_GB2312" w:hint="eastAsia"/>
          <w:bCs/>
          <w:color w:val="000000"/>
        </w:rPr>
        <w:t>印尼被遗忘的战争：东帝汶秘史》，伦敦泽德书籍出版社。</w:t>
      </w:r>
    </w:p>
  </w:footnote>
  <w:footnote w:id="3">
    <w:p w:rsidR="00692915" w:rsidRDefault="00692915" w:rsidP="009A1C1B">
      <w:pPr>
        <w:pStyle w:val="FootnoteText"/>
        <w:tabs>
          <w:tab w:val="left" w:pos="780"/>
        </w:tabs>
        <w:ind w:firstLine="31680"/>
        <w:rPr>
          <w:rFonts w:ascii="KaiTi_GB2312"/>
          <w:color w:val="000000"/>
        </w:rPr>
      </w:pPr>
      <w:r>
        <w:rPr>
          <w:rStyle w:val="FootnoteReference"/>
          <w:rFonts w:ascii="KaiTi_GB2312"/>
          <w:color w:val="000000"/>
          <w:sz w:val="22"/>
        </w:rPr>
        <w:footnoteRef/>
      </w:r>
      <w:r>
        <w:rPr>
          <w:rFonts w:ascii="KaiTi_GB2312"/>
          <w:color w:val="000000"/>
        </w:rPr>
        <w:t xml:space="preserve">  </w:t>
      </w:r>
      <w:r>
        <w:rPr>
          <w:rFonts w:hint="eastAsia"/>
          <w:color w:val="000000"/>
        </w:rPr>
        <w:t>见</w:t>
      </w:r>
      <w:r>
        <w:rPr>
          <w:rFonts w:ascii="KaiTi_GB2312" w:hint="eastAsia"/>
          <w:bCs/>
          <w:color w:val="000000"/>
        </w:rPr>
        <w:t>杰弗里·C.耿，1999年，《东帝汶：500年》，东方</w:t>
      </w:r>
      <w:r>
        <w:rPr>
          <w:rFonts w:ascii="KaiTi_GB2312" w:hAnsi="Arial" w:cs="Arial" w:hint="eastAsia"/>
          <w:color w:val="000000"/>
        </w:rPr>
        <w:t>文萃，澳门</w:t>
      </w:r>
      <w:r>
        <w:rPr>
          <w:rFonts w:ascii="KaiTi_GB2312" w:hint="eastAsia"/>
          <w:bCs/>
          <w:color w:val="000000"/>
        </w:rPr>
        <w:t>。</w:t>
      </w:r>
    </w:p>
  </w:footnote>
  <w:footnote w:id="4">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color w:val="000000"/>
        </w:rPr>
        <w:t xml:space="preserve"> </w:t>
      </w:r>
      <w:r>
        <w:rPr>
          <w:rFonts w:ascii="KaiTi_GB2312"/>
          <w:color w:val="000000"/>
        </w:rPr>
        <w:tab/>
      </w:r>
      <w:r>
        <w:rPr>
          <w:rFonts w:hint="eastAsia"/>
          <w:color w:val="000000"/>
        </w:rPr>
        <w:t>乡</w:t>
      </w:r>
      <w:r>
        <w:rPr>
          <w:rFonts w:ascii="KaiTi_GB2312" w:hint="eastAsia"/>
          <w:bCs/>
          <w:color w:val="000000"/>
        </w:rPr>
        <w:t>为人口单位，通常包括3至4个村。</w:t>
      </w:r>
      <w:r>
        <w:rPr>
          <w:rStyle w:val="FootnoteReference"/>
          <w:rFonts w:ascii="KaiTi_GB2312" w:hint="eastAsia"/>
          <w:b/>
          <w:bCs/>
          <w:color w:val="000000"/>
          <w:sz w:val="22"/>
        </w:rPr>
        <w:t xml:space="preserve"> </w:t>
      </w:r>
    </w:p>
  </w:footnote>
  <w:footnote w:id="5">
    <w:p w:rsidR="00692915" w:rsidRDefault="00692915" w:rsidP="009A1C1B">
      <w:pPr>
        <w:pStyle w:val="FootnoteText"/>
        <w:tabs>
          <w:tab w:val="left" w:pos="780"/>
        </w:tabs>
        <w:ind w:firstLine="31680"/>
        <w:rPr>
          <w:rFonts w:ascii="KaiTi_GB2312"/>
          <w:color w:val="000000"/>
        </w:rPr>
      </w:pPr>
      <w:r>
        <w:rPr>
          <w:rStyle w:val="FootnoteReference"/>
          <w:rFonts w:ascii="KaiTi_GB2312"/>
          <w:color w:val="000000"/>
          <w:sz w:val="22"/>
        </w:rPr>
        <w:footnoteRef/>
      </w:r>
      <w:r>
        <w:rPr>
          <w:rFonts w:ascii="KaiTi_GB2312"/>
          <w:color w:val="000000"/>
        </w:rPr>
        <w:t xml:space="preserve"> </w:t>
      </w:r>
      <w:r>
        <w:rPr>
          <w:rFonts w:ascii="KaiTi_GB2312"/>
          <w:color w:val="000000"/>
        </w:rPr>
        <w:tab/>
      </w:r>
      <w:r>
        <w:rPr>
          <w:rFonts w:ascii="KaiTi_GB2312" w:hint="eastAsia"/>
          <w:color w:val="000000"/>
        </w:rPr>
        <w:t>帝汶民主联盟早期政治纲领包括：推行民主、收入重新分配、人权和帝汶人民自决，最后一项目的在于与葡萄牙组成联邦，作为实现独立的一个过渡。</w:t>
      </w:r>
    </w:p>
  </w:footnote>
  <w:footnote w:id="6">
    <w:p w:rsidR="00692915" w:rsidRDefault="00692915" w:rsidP="009A1C1B">
      <w:pPr>
        <w:pStyle w:val="FootnoteText"/>
        <w:tabs>
          <w:tab w:val="left" w:pos="780"/>
        </w:tabs>
        <w:ind w:firstLine="31680"/>
        <w:rPr>
          <w:rFonts w:ascii="KaiTi_GB2312"/>
          <w:color w:val="000000"/>
        </w:rPr>
      </w:pPr>
      <w:r>
        <w:rPr>
          <w:rStyle w:val="FootnoteReference"/>
          <w:rFonts w:ascii="KaiTi_GB2312"/>
          <w:color w:val="000000"/>
          <w:sz w:val="22"/>
        </w:rPr>
        <w:footnoteRef/>
      </w:r>
      <w:r>
        <w:rPr>
          <w:rFonts w:ascii="KaiTi_GB2312"/>
          <w:color w:val="000000"/>
        </w:rPr>
        <w:t xml:space="preserve"> </w:t>
      </w:r>
      <w:r>
        <w:rPr>
          <w:rFonts w:ascii="KaiTi_GB2312"/>
          <w:color w:val="000000"/>
        </w:rPr>
        <w:tab/>
      </w:r>
      <w:r>
        <w:rPr>
          <w:rFonts w:ascii="KaiTi_GB2312" w:hint="eastAsia"/>
          <w:color w:val="000000"/>
        </w:rPr>
        <w:t>东帝汶独立革命阵线思想体系以社会主义和民主主义的广泛思想为基础，在其第一份宣言中，该政党呼吁立即废除殖民统治，由帝汶人民参与管理，成立当地政府，结束种族歧视，打击腐败，与邻国建立良好的关系。</w:t>
      </w:r>
    </w:p>
  </w:footnote>
  <w:footnote w:id="7">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color w:val="000000"/>
        </w:rPr>
        <w:t xml:space="preserve">  </w:t>
      </w:r>
      <w:r>
        <w:rPr>
          <w:rFonts w:ascii="KaiTi_GB2312"/>
          <w:color w:val="000000"/>
        </w:rPr>
        <w:tab/>
      </w:r>
      <w:r>
        <w:rPr>
          <w:rFonts w:ascii="KaiTi_GB2312" w:hint="eastAsia"/>
          <w:bCs/>
          <w:color w:val="000000"/>
        </w:rPr>
        <w:t>帝汶</w:t>
      </w:r>
      <w:r>
        <w:rPr>
          <w:rFonts w:ascii="KaiTi_GB2312"/>
          <w:color w:val="000000"/>
        </w:rPr>
        <w:t>人民民主协会</w:t>
      </w:r>
      <w:r>
        <w:rPr>
          <w:rFonts w:ascii="KaiTi_GB2312" w:hint="eastAsia"/>
          <w:color w:val="000000"/>
        </w:rPr>
        <w:t>成立于1974年5月27日，主张与印度尼西亚进行自治性的合并。该政党后来成为印度尼西亚在东帝汶的傀儡。</w:t>
      </w:r>
    </w:p>
  </w:footnote>
  <w:footnote w:id="8">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color w:val="000000"/>
        </w:rPr>
        <w:t xml:space="preserve">  </w:t>
      </w:r>
      <w:r>
        <w:rPr>
          <w:rFonts w:ascii="KaiTi_GB2312"/>
          <w:color w:val="000000"/>
        </w:rPr>
        <w:tab/>
      </w:r>
      <w:r>
        <w:rPr>
          <w:rFonts w:ascii="KaiTi_GB2312" w:hint="eastAsia"/>
          <w:color w:val="000000"/>
        </w:rPr>
        <w:t>英雄党由几位当地酋长发起成立，他们声称是帝汶王室后裔。该政党主张恢复传统君主政体。</w:t>
      </w:r>
    </w:p>
  </w:footnote>
  <w:footnote w:id="9">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color w:val="000000"/>
        </w:rPr>
        <w:t xml:space="preserve"> </w:t>
      </w:r>
      <w:r>
        <w:rPr>
          <w:rFonts w:ascii="KaiTi_GB2312"/>
          <w:color w:val="000000"/>
        </w:rPr>
        <w:tab/>
      </w:r>
      <w:r>
        <w:rPr>
          <w:color w:val="000000"/>
        </w:rPr>
        <w:t>Badan Koordinasi Intelijen Negara</w:t>
      </w:r>
      <w:r>
        <w:rPr>
          <w:rFonts w:ascii="KaiTi_GB2312" w:hint="eastAsia"/>
          <w:color w:val="000000"/>
        </w:rPr>
        <w:t>是印尼的中央情报协调局。</w:t>
      </w:r>
    </w:p>
  </w:footnote>
  <w:footnote w:id="10">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color w:val="000000"/>
        </w:rPr>
        <w:t xml:space="preserve"> </w:t>
      </w:r>
      <w:r>
        <w:rPr>
          <w:rFonts w:ascii="KaiTi_GB2312"/>
          <w:bCs/>
          <w:color w:val="000000"/>
        </w:rPr>
        <w:t xml:space="preserve"> </w:t>
      </w:r>
      <w:r>
        <w:rPr>
          <w:rFonts w:hint="eastAsia"/>
          <w:color w:val="000000"/>
        </w:rPr>
        <w:t>见约翰·</w:t>
      </w:r>
      <w:r>
        <w:rPr>
          <w:rFonts w:ascii="KaiTi_GB2312"/>
          <w:color w:val="000000"/>
        </w:rPr>
        <w:t xml:space="preserve">G. </w:t>
      </w:r>
      <w:r>
        <w:rPr>
          <w:rFonts w:ascii="KaiTi_GB2312" w:hint="eastAsia"/>
          <w:color w:val="000000"/>
        </w:rPr>
        <w:t>泰勒</w:t>
      </w:r>
      <w:r>
        <w:rPr>
          <w:rFonts w:ascii="KaiTi_GB2312" w:hint="eastAsia"/>
          <w:bCs/>
          <w:color w:val="000000"/>
        </w:rPr>
        <w:t>，</w:t>
      </w:r>
      <w:r>
        <w:rPr>
          <w:rFonts w:ascii="KaiTi_GB2312"/>
          <w:color w:val="000000"/>
        </w:rPr>
        <w:t>2001</w:t>
      </w:r>
      <w:r>
        <w:rPr>
          <w:rFonts w:ascii="KaiTi_GB2312" w:hint="eastAsia"/>
          <w:color w:val="000000"/>
        </w:rPr>
        <w:t>年</w:t>
      </w:r>
      <w:r>
        <w:rPr>
          <w:rFonts w:ascii="KaiTi_GB2312" w:hint="eastAsia"/>
          <w:bCs/>
          <w:color w:val="000000"/>
        </w:rPr>
        <w:t>，</w:t>
      </w:r>
      <w:r>
        <w:rPr>
          <w:rFonts w:hint="eastAsia"/>
          <w:color w:val="000000"/>
        </w:rPr>
        <w:t>《</w:t>
      </w:r>
      <w:r>
        <w:rPr>
          <w:rFonts w:ascii="KaiTi_GB2312" w:hint="eastAsia"/>
          <w:bCs/>
          <w:color w:val="000000"/>
        </w:rPr>
        <w:t>印尼被遗忘的战争：东帝汶秘史》，伦敦泽德书籍出版社。</w:t>
      </w:r>
    </w:p>
  </w:footnote>
  <w:footnote w:id="11">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color w:val="000000"/>
        </w:rPr>
        <w:t xml:space="preserve">  </w:t>
      </w:r>
      <w:r>
        <w:rPr>
          <w:rFonts w:ascii="KaiTi_GB2312" w:hint="eastAsia"/>
          <w:color w:val="000000"/>
        </w:rPr>
        <w:t>《东帝汶独立革命阵线政治与意识形态，东帝汶独立革命阵线指导方针与政治纲领》，1975年。见理查德·W</w:t>
      </w:r>
      <w:r>
        <w:rPr>
          <w:rFonts w:ascii="KaiTi_GB2312"/>
          <w:color w:val="000000"/>
        </w:rPr>
        <w:t xml:space="preserve">. </w:t>
      </w:r>
      <w:r>
        <w:rPr>
          <w:rFonts w:ascii="KaiTi_GB2312" w:hint="eastAsia"/>
          <w:color w:val="000000"/>
        </w:rPr>
        <w:t>弗兰克的《东帝汶：隐藏的战争》，东帝汶防务委员会，纽约，1976年。</w:t>
      </w:r>
    </w:p>
  </w:footnote>
  <w:footnote w:id="12">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color w:val="000000"/>
        </w:rPr>
        <w:t xml:space="preserve">  </w:t>
      </w:r>
      <w:r>
        <w:rPr>
          <w:rFonts w:ascii="KaiTi_GB2312" w:hint="eastAsia"/>
          <w:bCs/>
          <w:color w:val="000000"/>
        </w:rPr>
        <w:t>也称解放区。随着印度尼西亚军队的不断迫近，固守这些弹丸之地越来越困难。越来越多的地区沦陷。1978年，马特比安山区的抵抗根据地失陷之后，抵抗武装力量改变了战略，转入游击战争。</w:t>
      </w:r>
    </w:p>
  </w:footnote>
  <w:footnote w:id="13">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color w:val="000000"/>
        </w:rPr>
        <w:t xml:space="preserve">  </w:t>
      </w:r>
      <w:r>
        <w:rPr>
          <w:rFonts w:ascii="KaiTi_GB2312" w:hint="eastAsia"/>
          <w:bCs/>
          <w:color w:val="000000"/>
        </w:rPr>
        <w:t>印度尼西亚制订了一条法规，文职人员的前三个孩子可享受为文职人员提供的家庭补助计划。该法规促使大多数文职人员只要三个孩子，以期能够享受上述待遇。</w:t>
      </w:r>
    </w:p>
  </w:footnote>
  <w:footnote w:id="14">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hint="eastAsia"/>
          <w:bCs/>
          <w:color w:val="000000"/>
        </w:rPr>
        <w:t xml:space="preserve"> </w:t>
      </w:r>
      <w:r>
        <w:rPr>
          <w:rFonts w:ascii="KaiTi_GB2312" w:hint="eastAsia"/>
          <w:color w:val="000000"/>
        </w:rPr>
        <w:t>毛贝雷在葡萄牙语中是一个贬义词，它是指那些没教养、无知和野蛮的帝汶人。1975年, 东帝汶独立革命阵线将其作为一种荣誉称号使用，用来形容东帝汶人民。</w:t>
      </w:r>
    </w:p>
  </w:footnote>
  <w:footnote w:id="15">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color w:val="000000"/>
        </w:rPr>
        <w:t xml:space="preserve">  </w:t>
      </w:r>
      <w:r>
        <w:rPr>
          <w:rFonts w:ascii="KaiTi_GB2312" w:hAnsi="Arial" w:cs="Arial" w:hint="eastAsia"/>
          <w:color w:val="000000"/>
        </w:rPr>
        <w:t>国家安全档案库，《重访东帝汶，福特、基辛格与印度尼西亚侵略》</w:t>
      </w:r>
      <w:r>
        <w:rPr>
          <w:rFonts w:hAnsi="Arial" w:cs="Arial" w:hint="eastAsia"/>
          <w:color w:val="000000"/>
        </w:rPr>
        <w:t>（</w:t>
      </w:r>
      <w:r>
        <w:rPr>
          <w:rFonts w:hAnsi="Arial" w:cs="Arial"/>
          <w:color w:val="000000"/>
        </w:rPr>
        <w:t>http://www2.gwu.edu/</w:t>
      </w:r>
      <w:r>
        <w:rPr>
          <w:rFonts w:hAnsi="Arial" w:cs="Arial" w:hint="eastAsia"/>
          <w:color w:val="000000"/>
        </w:rPr>
        <w:t xml:space="preserve"> </w:t>
      </w:r>
      <w:r>
        <w:rPr>
          <w:rFonts w:hAnsi="Arial" w:cs="Arial"/>
          <w:color w:val="000000"/>
        </w:rPr>
        <w:t>~nsarchiv/NSAEBB/NSAEBB62/</w:t>
      </w:r>
      <w:r>
        <w:rPr>
          <w:rFonts w:hAnsi="Arial" w:cs="Arial" w:hint="eastAsia"/>
          <w:color w:val="000000"/>
        </w:rPr>
        <w:t>）</w:t>
      </w:r>
      <w:r>
        <w:rPr>
          <w:rFonts w:ascii="KaiTi_GB2312" w:hAnsi="Arial" w:cs="Arial" w:hint="eastAsia"/>
          <w:color w:val="000000"/>
        </w:rPr>
        <w:t>，文</w:t>
      </w:r>
      <w:r>
        <w:rPr>
          <w:rFonts w:ascii="KaiTi_GB2312" w:hint="eastAsia"/>
          <w:bCs/>
          <w:color w:val="000000"/>
        </w:rPr>
        <w:t>件4，第9、10页。</w:t>
      </w:r>
    </w:p>
  </w:footnote>
  <w:footnote w:id="16">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color w:val="000000"/>
        </w:rPr>
        <w:t xml:space="preserve">  </w:t>
      </w:r>
      <w:r>
        <w:rPr>
          <w:rFonts w:ascii="KaiTi_GB2312" w:hint="eastAsia"/>
          <w:bCs/>
          <w:color w:val="000000"/>
        </w:rPr>
        <w:t>第</w:t>
      </w:r>
      <w:r>
        <w:rPr>
          <w:color w:val="000000"/>
        </w:rPr>
        <w:t>384</w:t>
      </w:r>
      <w:r>
        <w:rPr>
          <w:color w:val="000000"/>
        </w:rPr>
        <w:t>（</w:t>
      </w:r>
      <w:r>
        <w:rPr>
          <w:color w:val="000000"/>
        </w:rPr>
        <w:t>1975</w:t>
      </w:r>
      <w:r>
        <w:rPr>
          <w:color w:val="000000"/>
        </w:rPr>
        <w:t>）</w:t>
      </w:r>
      <w:r>
        <w:rPr>
          <w:rFonts w:hint="eastAsia"/>
          <w:color w:val="000000"/>
        </w:rPr>
        <w:t>和</w:t>
      </w:r>
      <w:r>
        <w:rPr>
          <w:color w:val="000000"/>
        </w:rPr>
        <w:t xml:space="preserve"> 389</w:t>
      </w:r>
      <w:r>
        <w:rPr>
          <w:color w:val="000000"/>
        </w:rPr>
        <w:t>（</w:t>
      </w:r>
      <w:r>
        <w:rPr>
          <w:color w:val="000000"/>
        </w:rPr>
        <w:t>1976</w:t>
      </w:r>
      <w:r>
        <w:rPr>
          <w:color w:val="000000"/>
        </w:rPr>
        <w:t>）</w:t>
      </w:r>
      <w:r>
        <w:rPr>
          <w:rFonts w:ascii="KaiTi_GB2312" w:hint="eastAsia"/>
          <w:bCs/>
          <w:color w:val="000000"/>
        </w:rPr>
        <w:t>号决议敦促各国尊重东帝汶的领土完整和东帝汶人民的自决权，并敦促印度尼西亚立即从其领土上撤出所有军队。</w:t>
      </w:r>
    </w:p>
  </w:footnote>
  <w:footnote w:id="17">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color w:val="000000"/>
        </w:rPr>
        <w:t xml:space="preserve">  </w:t>
      </w:r>
      <w:r>
        <w:rPr>
          <w:rFonts w:ascii="KaiTi_GB2312" w:hint="eastAsia"/>
          <w:bCs/>
          <w:color w:val="000000"/>
        </w:rPr>
        <w:t>法律人权与正义基金会每三个月一次的人权报告，1999年1至3月。截止1999年4月，共有大约20个新老准军事组织在东帝汶开展活动。</w:t>
      </w:r>
    </w:p>
  </w:footnote>
  <w:footnote w:id="18">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color w:val="000000"/>
        </w:rPr>
        <w:t xml:space="preserve">  </w:t>
      </w:r>
      <w:r>
        <w:rPr>
          <w:rFonts w:ascii="KaiTi_GB2312" w:hint="eastAsia"/>
          <w:bCs/>
          <w:color w:val="000000"/>
        </w:rPr>
        <w:t>1999年自由与公正投票委员会报告。</w:t>
      </w:r>
    </w:p>
  </w:footnote>
  <w:footnote w:id="19">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color w:val="000000"/>
        </w:rPr>
        <w:t xml:space="preserve">  </w:t>
      </w:r>
      <w:r>
        <w:rPr>
          <w:rFonts w:ascii="KaiTi_GB2312" w:hint="eastAsia"/>
          <w:bCs/>
          <w:color w:val="000000"/>
        </w:rPr>
        <w:t>见东帝汶：</w:t>
      </w:r>
      <w:r>
        <w:rPr>
          <w:color w:val="000000"/>
        </w:rPr>
        <w:t>Sebuah Tragedi Kemanusiaan</w:t>
      </w:r>
      <w:r>
        <w:rPr>
          <w:rFonts w:hint="eastAsia"/>
          <w:color w:val="000000"/>
        </w:rPr>
        <w:t>、</w:t>
      </w:r>
      <w:r>
        <w:rPr>
          <w:rFonts w:ascii="KaiTi_GB2312" w:hint="eastAsia"/>
          <w:bCs/>
          <w:color w:val="000000"/>
        </w:rPr>
        <w:t>法律人权与正义基金会</w:t>
      </w:r>
      <w:r>
        <w:rPr>
          <w:rFonts w:hint="eastAsia"/>
          <w:color w:val="000000"/>
        </w:rPr>
        <w:t>和</w:t>
      </w:r>
      <w:r>
        <w:rPr>
          <w:rFonts w:ascii="KaiTi_GB2312" w:hint="eastAsia"/>
          <w:bCs/>
          <w:color w:val="000000"/>
        </w:rPr>
        <w:t>东帝汶人民团结论坛（</w:t>
      </w:r>
      <w:r>
        <w:rPr>
          <w:color w:val="000000"/>
        </w:rPr>
        <w:t>FORTILOS</w:t>
      </w:r>
      <w:r>
        <w:rPr>
          <w:rFonts w:ascii="KaiTi_GB2312" w:hint="eastAsia"/>
          <w:bCs/>
          <w:color w:val="000000"/>
        </w:rPr>
        <w:t>）</w:t>
      </w:r>
      <w:r>
        <w:rPr>
          <w:rFonts w:hint="eastAsia"/>
          <w:color w:val="000000"/>
        </w:rPr>
        <w:t>。</w:t>
      </w:r>
    </w:p>
  </w:footnote>
  <w:footnote w:id="20">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color w:val="000000"/>
        </w:rPr>
        <w:t xml:space="preserve">  </w:t>
      </w:r>
      <w:r>
        <w:rPr>
          <w:rFonts w:ascii="KaiTi_GB2312" w:hint="eastAsia"/>
          <w:bCs/>
          <w:color w:val="000000"/>
        </w:rPr>
        <w:t>选举委员会由三人（南非宪法法庭的约翰·克里格勒法官、北爱尔兰总选举事务主任帕特里克·布拉德利和韩国国民选举委员会成员孙凤淑）组成，负责监督投票并对投票结果是否有效进行裁定。</w:t>
      </w:r>
    </w:p>
  </w:footnote>
  <w:footnote w:id="21">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color w:val="000000"/>
        </w:rPr>
        <w:t xml:space="preserve">  </w:t>
      </w:r>
      <w:r>
        <w:rPr>
          <w:rFonts w:ascii="KaiTi_GB2312" w:hint="eastAsia"/>
          <w:bCs/>
          <w:color w:val="000000"/>
        </w:rPr>
        <w:t>1999年11月派往东帝汶的联合国和世界银行联合评估团。</w:t>
      </w:r>
    </w:p>
  </w:footnote>
  <w:footnote w:id="22">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color w:val="000000"/>
        </w:rPr>
        <w:t xml:space="preserve">  </w:t>
      </w:r>
      <w:r>
        <w:rPr>
          <w:rFonts w:ascii="KaiTi_GB2312" w:hint="eastAsia"/>
          <w:bCs/>
          <w:color w:val="000000"/>
        </w:rPr>
        <w:t>联合国估计约有630人被杀。但是，该国人权非政府组织之一的法律人权与正义基金会认为1999年1月到10月期间，约有688人被害。</w:t>
      </w:r>
    </w:p>
  </w:footnote>
  <w:footnote w:id="23">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color w:val="000000"/>
        </w:rPr>
        <w:t xml:space="preserve"> </w:t>
      </w:r>
      <w:r>
        <w:rPr>
          <w:rFonts w:ascii="KaiTi_GB2312" w:hint="eastAsia"/>
          <w:bCs/>
          <w:color w:val="000000"/>
        </w:rPr>
        <w:t>1999年9月15日，安理会第</w:t>
      </w:r>
      <w:r>
        <w:rPr>
          <w:rFonts w:ascii="KaiTi_GB2312"/>
          <w:color w:val="000000"/>
        </w:rPr>
        <w:t>1246</w:t>
      </w:r>
      <w:r>
        <w:rPr>
          <w:rFonts w:ascii="KaiTi_GB2312" w:hint="eastAsia"/>
          <w:bCs/>
          <w:color w:val="000000"/>
        </w:rPr>
        <w:t>号决议获得一致通过。</w:t>
      </w:r>
    </w:p>
  </w:footnote>
  <w:footnote w:id="24">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color w:val="000000"/>
        </w:rPr>
        <w:t xml:space="preserve">  </w:t>
      </w:r>
      <w:r>
        <w:rPr>
          <w:rFonts w:ascii="KaiTi_GB2312" w:hint="eastAsia"/>
          <w:bCs/>
          <w:color w:val="000000"/>
        </w:rPr>
        <w:t>见1999年10月25日第1272（1999）号决议。</w:t>
      </w:r>
    </w:p>
  </w:footnote>
  <w:footnote w:id="25">
    <w:p w:rsidR="00692915" w:rsidRDefault="00692915" w:rsidP="009A1C1B">
      <w:pPr>
        <w:pStyle w:val="FootnoteText"/>
        <w:tabs>
          <w:tab w:val="left" w:pos="780"/>
        </w:tabs>
        <w:ind w:firstLine="31680"/>
        <w:rPr>
          <w:rFonts w:ascii="KaiTi_GB2312" w:hint="eastAsia"/>
          <w:bCs/>
          <w:color w:val="000000"/>
        </w:rPr>
      </w:pPr>
      <w:r>
        <w:rPr>
          <w:rStyle w:val="FootnoteReference"/>
          <w:rFonts w:ascii="KaiTi_GB2312"/>
          <w:color w:val="000000"/>
          <w:sz w:val="22"/>
        </w:rPr>
        <w:footnoteRef/>
      </w:r>
      <w:r>
        <w:rPr>
          <w:rFonts w:ascii="KaiTi_GB2312"/>
          <w:color w:val="000000"/>
        </w:rPr>
        <w:t xml:space="preserve">  </w:t>
      </w:r>
      <w:r>
        <w:rPr>
          <w:rFonts w:ascii="KaiTi_GB2312"/>
          <w:bCs/>
          <w:color w:val="000000"/>
        </w:rPr>
        <w:t>《东帝汶民主共和国宪法</w:t>
      </w:r>
      <w:r>
        <w:rPr>
          <w:rFonts w:ascii="KaiTi_GB2312" w:hint="eastAsia"/>
          <w:bCs/>
          <w:color w:val="000000"/>
        </w:rPr>
        <w:t>》，导言。</w:t>
      </w:r>
    </w:p>
  </w:footnote>
  <w:footnote w:id="26">
    <w:p w:rsidR="00692915" w:rsidRDefault="00692915" w:rsidP="009A1C1B">
      <w:pPr>
        <w:pStyle w:val="FootnoteText"/>
        <w:tabs>
          <w:tab w:val="left" w:pos="780"/>
        </w:tabs>
        <w:ind w:firstLine="31680"/>
        <w:rPr>
          <w:rFonts w:ascii="KaiTi_GB2312" w:hint="eastAsia"/>
          <w:bCs/>
          <w:color w:val="000000"/>
        </w:rPr>
      </w:pPr>
      <w:r>
        <w:rPr>
          <w:rStyle w:val="FootnoteReference"/>
          <w:rFonts w:ascii="KaiTi_GB2312"/>
          <w:color w:val="000000"/>
          <w:sz w:val="22"/>
        </w:rPr>
        <w:footnoteRef/>
      </w:r>
      <w:r>
        <w:rPr>
          <w:rFonts w:ascii="KaiTi_GB2312"/>
          <w:color w:val="000000"/>
        </w:rPr>
        <w:t xml:space="preserve">  </w:t>
      </w:r>
      <w:r>
        <w:rPr>
          <w:rFonts w:ascii="KaiTi_GB2312" w:hint="eastAsia"/>
          <w:bCs/>
          <w:color w:val="000000"/>
        </w:rPr>
        <w:t>《</w:t>
      </w:r>
      <w:r>
        <w:rPr>
          <w:color w:val="000000"/>
        </w:rPr>
        <w:t>东帝汶民主共和国宪法</w:t>
      </w:r>
      <w:r>
        <w:rPr>
          <w:rFonts w:ascii="KaiTi_GB2312" w:hint="eastAsia"/>
          <w:bCs/>
          <w:color w:val="000000"/>
        </w:rPr>
        <w:t>》，第1条</w:t>
      </w:r>
      <w:r>
        <w:rPr>
          <w:rFonts w:hint="eastAsia"/>
          <w:color w:val="000000"/>
        </w:rPr>
        <w:t>。</w:t>
      </w:r>
    </w:p>
  </w:footnote>
  <w:footnote w:id="27">
    <w:p w:rsidR="00692915" w:rsidRDefault="00692915" w:rsidP="009A1C1B">
      <w:pPr>
        <w:pStyle w:val="FootnoteText"/>
        <w:tabs>
          <w:tab w:val="left" w:pos="780"/>
        </w:tabs>
        <w:ind w:firstLine="31680"/>
        <w:rPr>
          <w:rFonts w:ascii="KaiTi_GB2312" w:hint="eastAsia"/>
          <w:bCs/>
          <w:color w:val="000000"/>
        </w:rPr>
      </w:pPr>
      <w:r>
        <w:rPr>
          <w:rStyle w:val="FootnoteReference"/>
          <w:rFonts w:ascii="KaiTi_GB2312"/>
          <w:color w:val="000000"/>
          <w:sz w:val="22"/>
        </w:rPr>
        <w:footnoteRef/>
      </w:r>
      <w:r>
        <w:rPr>
          <w:rFonts w:ascii="KaiTi_GB2312"/>
          <w:color w:val="000000"/>
        </w:rPr>
        <w:t xml:space="preserve">  </w:t>
      </w:r>
      <w:r>
        <w:rPr>
          <w:rFonts w:ascii="KaiTi_GB2312" w:hint="eastAsia"/>
          <w:bCs/>
          <w:color w:val="000000"/>
        </w:rPr>
        <w:t>《</w:t>
      </w:r>
      <w:r>
        <w:rPr>
          <w:color w:val="000000"/>
        </w:rPr>
        <w:t>东帝汶民主共和国宪法</w:t>
      </w:r>
      <w:r>
        <w:rPr>
          <w:rFonts w:ascii="KaiTi_GB2312" w:hint="eastAsia"/>
          <w:bCs/>
          <w:color w:val="000000"/>
        </w:rPr>
        <w:t>》，第二章。</w:t>
      </w:r>
    </w:p>
  </w:footnote>
  <w:footnote w:id="28">
    <w:p w:rsidR="00692915" w:rsidRDefault="00692915" w:rsidP="009A1C1B">
      <w:pPr>
        <w:pStyle w:val="FootnoteText"/>
        <w:tabs>
          <w:tab w:val="left" w:pos="780"/>
        </w:tabs>
        <w:ind w:firstLine="31680"/>
        <w:rPr>
          <w:rFonts w:hint="eastAsia"/>
          <w:color w:val="000000"/>
        </w:rPr>
      </w:pPr>
      <w:r>
        <w:rPr>
          <w:rStyle w:val="FootnoteReference"/>
          <w:rFonts w:ascii="KaiTi_GB2312"/>
          <w:color w:val="000000"/>
          <w:sz w:val="22"/>
        </w:rPr>
        <w:footnoteRef/>
      </w:r>
      <w:r>
        <w:rPr>
          <w:rFonts w:ascii="KaiTi_GB2312"/>
          <w:color w:val="000000"/>
        </w:rPr>
        <w:t xml:space="preserve">  </w:t>
      </w:r>
      <w:r>
        <w:rPr>
          <w:rFonts w:ascii="KaiTi_GB2312" w:hint="eastAsia"/>
          <w:bCs/>
          <w:color w:val="000000"/>
        </w:rPr>
        <w:t>《</w:t>
      </w:r>
      <w:r>
        <w:rPr>
          <w:color w:val="000000"/>
        </w:rPr>
        <w:t>东帝汶民主共和国宪法</w:t>
      </w:r>
      <w:r>
        <w:rPr>
          <w:rFonts w:hint="eastAsia"/>
          <w:color w:val="000000"/>
        </w:rPr>
        <w:t>》</w:t>
      </w:r>
      <w:r>
        <w:rPr>
          <w:rFonts w:ascii="KaiTi_GB2312" w:hint="eastAsia"/>
          <w:color w:val="000000"/>
        </w:rPr>
        <w:t>，第6</w:t>
      </w:r>
      <w:r>
        <w:rPr>
          <w:rFonts w:ascii="KaiTi_GB2312"/>
          <w:color w:val="000000"/>
        </w:rPr>
        <w:t>（a）</w:t>
      </w:r>
      <w:r>
        <w:rPr>
          <w:rFonts w:hint="eastAsia"/>
          <w:color w:val="000000"/>
        </w:rPr>
        <w:t>。</w:t>
      </w:r>
    </w:p>
  </w:footnote>
  <w:footnote w:id="29">
    <w:p w:rsidR="00692915" w:rsidRDefault="00692915" w:rsidP="009A1C1B">
      <w:pPr>
        <w:pStyle w:val="FootnoteText"/>
        <w:tabs>
          <w:tab w:val="left" w:pos="780"/>
        </w:tabs>
        <w:ind w:firstLine="31680"/>
        <w:rPr>
          <w:rFonts w:ascii="KaiTi_GB2312" w:hint="eastAsia"/>
          <w:bCs/>
          <w:color w:val="000000"/>
        </w:rPr>
      </w:pPr>
      <w:r>
        <w:rPr>
          <w:rStyle w:val="FootnoteReference"/>
          <w:rFonts w:ascii="KaiTi_GB2312"/>
          <w:color w:val="000000"/>
          <w:sz w:val="22"/>
        </w:rPr>
        <w:footnoteRef/>
      </w:r>
      <w:r>
        <w:rPr>
          <w:rFonts w:ascii="KaiTi_GB2312"/>
          <w:color w:val="000000"/>
        </w:rPr>
        <w:t xml:space="preserve">  </w:t>
      </w:r>
      <w:r>
        <w:rPr>
          <w:rFonts w:ascii="KaiTi_GB2312" w:hint="eastAsia"/>
          <w:bCs/>
          <w:color w:val="000000"/>
        </w:rPr>
        <w:t>《</w:t>
      </w:r>
      <w:r>
        <w:rPr>
          <w:color w:val="000000"/>
        </w:rPr>
        <w:t>东帝汶民主共和</w:t>
      </w:r>
      <w:r>
        <w:rPr>
          <w:rFonts w:ascii="KaiTi_GB2312"/>
          <w:color w:val="000000"/>
        </w:rPr>
        <w:t>国宪法</w:t>
      </w:r>
      <w:r>
        <w:rPr>
          <w:rFonts w:ascii="KaiTi_GB2312" w:hint="eastAsia"/>
          <w:color w:val="000000"/>
        </w:rPr>
        <w:t>》，第6</w:t>
      </w:r>
      <w:r>
        <w:rPr>
          <w:rFonts w:ascii="KaiTi_GB2312"/>
          <w:color w:val="000000"/>
        </w:rPr>
        <w:t>（</w:t>
      </w:r>
      <w:r>
        <w:rPr>
          <w:rFonts w:ascii="KaiTi_GB2312" w:hint="eastAsia"/>
          <w:color w:val="000000"/>
        </w:rPr>
        <w:t>b</w:t>
      </w:r>
      <w:r>
        <w:rPr>
          <w:rFonts w:ascii="KaiTi_GB2312"/>
          <w:color w:val="000000"/>
        </w:rPr>
        <w:t>）</w:t>
      </w:r>
      <w:r>
        <w:rPr>
          <w:rFonts w:ascii="KaiTi_GB2312" w:hint="eastAsia"/>
          <w:bCs/>
          <w:color w:val="000000"/>
        </w:rPr>
        <w:t>。</w:t>
      </w:r>
    </w:p>
  </w:footnote>
  <w:footnote w:id="30">
    <w:p w:rsidR="00692915" w:rsidRDefault="00692915" w:rsidP="009A1C1B">
      <w:pPr>
        <w:pStyle w:val="FootnoteText"/>
        <w:tabs>
          <w:tab w:val="left" w:pos="780"/>
        </w:tabs>
        <w:ind w:firstLine="31680"/>
        <w:rPr>
          <w:rFonts w:ascii="KaiTi_GB2312" w:hint="eastAsia"/>
          <w:bCs/>
          <w:color w:val="000000"/>
        </w:rPr>
      </w:pPr>
      <w:r>
        <w:rPr>
          <w:rStyle w:val="FootnoteReference"/>
          <w:rFonts w:ascii="KaiTi_GB2312"/>
          <w:color w:val="000000"/>
          <w:sz w:val="22"/>
        </w:rPr>
        <w:footnoteRef/>
      </w:r>
      <w:r>
        <w:rPr>
          <w:rFonts w:ascii="KaiTi_GB2312"/>
          <w:color w:val="000000"/>
        </w:rPr>
        <w:t xml:space="preserve">  </w:t>
      </w:r>
      <w:r>
        <w:rPr>
          <w:rFonts w:ascii="KaiTi_GB2312" w:hint="eastAsia"/>
          <w:bCs/>
          <w:color w:val="000000"/>
        </w:rPr>
        <w:t>《</w:t>
      </w:r>
      <w:r>
        <w:rPr>
          <w:color w:val="000000"/>
        </w:rPr>
        <w:t>东帝汶民主共和国宪法</w:t>
      </w:r>
      <w:r>
        <w:rPr>
          <w:rFonts w:ascii="KaiTi_GB2312" w:hint="eastAsia"/>
          <w:bCs/>
          <w:color w:val="000000"/>
        </w:rPr>
        <w:t>》</w:t>
      </w:r>
      <w:r>
        <w:rPr>
          <w:rFonts w:ascii="KaiTi_GB2312" w:hint="eastAsia"/>
          <w:color w:val="000000"/>
        </w:rPr>
        <w:t>，第6</w:t>
      </w:r>
      <w:r>
        <w:rPr>
          <w:rFonts w:ascii="KaiTi_GB2312"/>
          <w:color w:val="000000"/>
        </w:rPr>
        <w:t>（</w:t>
      </w:r>
      <w:r>
        <w:rPr>
          <w:rFonts w:ascii="KaiTi_GB2312" w:hint="eastAsia"/>
          <w:color w:val="000000"/>
        </w:rPr>
        <w:t>c）</w:t>
      </w:r>
      <w:r>
        <w:rPr>
          <w:rFonts w:hint="eastAsia"/>
          <w:color w:val="000000"/>
        </w:rPr>
        <w:t>。</w:t>
      </w:r>
    </w:p>
  </w:footnote>
  <w:footnote w:id="31">
    <w:p w:rsidR="00692915" w:rsidRDefault="00692915" w:rsidP="009A1C1B">
      <w:pPr>
        <w:pStyle w:val="FootnoteText"/>
        <w:tabs>
          <w:tab w:val="left" w:pos="780"/>
        </w:tabs>
        <w:ind w:firstLine="31680"/>
        <w:rPr>
          <w:rFonts w:ascii="KaiTi_GB2312" w:hint="eastAsia"/>
          <w:bCs/>
          <w:color w:val="000000"/>
        </w:rPr>
      </w:pPr>
      <w:r>
        <w:rPr>
          <w:rStyle w:val="FootnoteReference"/>
          <w:rFonts w:ascii="KaiTi_GB2312"/>
          <w:color w:val="000000"/>
          <w:sz w:val="22"/>
        </w:rPr>
        <w:footnoteRef/>
      </w:r>
      <w:r>
        <w:rPr>
          <w:rFonts w:ascii="KaiTi_GB2312"/>
          <w:color w:val="000000"/>
        </w:rPr>
        <w:t xml:space="preserve">  </w:t>
      </w:r>
      <w:r>
        <w:rPr>
          <w:rFonts w:ascii="KaiTi_GB2312" w:hint="eastAsia"/>
          <w:bCs/>
          <w:color w:val="000000"/>
        </w:rPr>
        <w:t>《</w:t>
      </w:r>
      <w:r>
        <w:rPr>
          <w:rFonts w:ascii="KaiTi_GB2312"/>
          <w:color w:val="000000"/>
        </w:rPr>
        <w:t>东帝汶民主共和国宪法</w:t>
      </w:r>
      <w:r>
        <w:rPr>
          <w:rFonts w:ascii="KaiTi_GB2312" w:hint="eastAsia"/>
          <w:color w:val="000000"/>
        </w:rPr>
        <w:t>》，第6</w:t>
      </w:r>
      <w:r>
        <w:rPr>
          <w:rFonts w:ascii="KaiTi_GB2312"/>
          <w:color w:val="000000"/>
        </w:rPr>
        <w:t>（</w:t>
      </w:r>
      <w:r>
        <w:rPr>
          <w:rFonts w:ascii="KaiTi_GB2312" w:hint="eastAsia"/>
          <w:color w:val="000000"/>
        </w:rPr>
        <w:t>e</w:t>
      </w:r>
      <w:r>
        <w:rPr>
          <w:rFonts w:ascii="KaiTi_GB2312"/>
          <w:color w:val="000000"/>
        </w:rPr>
        <w:t>）</w:t>
      </w:r>
      <w:r>
        <w:rPr>
          <w:rFonts w:ascii="KaiTi_GB2312" w:hint="eastAsia"/>
          <w:bCs/>
          <w:color w:val="000000"/>
        </w:rPr>
        <w:t>。</w:t>
      </w:r>
    </w:p>
  </w:footnote>
  <w:footnote w:id="32">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color w:val="000000"/>
        </w:rPr>
        <w:t xml:space="preserve">  </w:t>
      </w:r>
      <w:r>
        <w:rPr>
          <w:rFonts w:ascii="KaiTi_GB2312" w:hint="eastAsia"/>
          <w:color w:val="000000"/>
        </w:rPr>
        <w:t>《</w:t>
      </w:r>
      <w:r>
        <w:rPr>
          <w:color w:val="000000"/>
        </w:rPr>
        <w:t>东帝汶民主共和国宪法</w:t>
      </w:r>
      <w:r>
        <w:rPr>
          <w:rFonts w:ascii="KaiTi_GB2312" w:hint="eastAsia"/>
          <w:color w:val="000000"/>
        </w:rPr>
        <w:t>》，</w:t>
      </w:r>
      <w:r>
        <w:rPr>
          <w:rFonts w:hint="eastAsia"/>
          <w:color w:val="000000"/>
        </w:rPr>
        <w:t>第</w:t>
      </w:r>
      <w:r>
        <w:rPr>
          <w:rFonts w:hint="eastAsia"/>
          <w:color w:val="000000"/>
        </w:rPr>
        <w:t>6</w:t>
      </w:r>
      <w:r>
        <w:rPr>
          <w:color w:val="000000"/>
        </w:rPr>
        <w:t>（</w:t>
      </w:r>
      <w:r>
        <w:rPr>
          <w:rFonts w:hint="eastAsia"/>
          <w:color w:val="000000"/>
        </w:rPr>
        <w:t>j</w:t>
      </w:r>
      <w:r>
        <w:rPr>
          <w:color w:val="000000"/>
        </w:rPr>
        <w:t>）</w:t>
      </w:r>
      <w:r>
        <w:rPr>
          <w:rFonts w:ascii="KaiTi_GB2312" w:hint="eastAsia"/>
          <w:bCs/>
          <w:color w:val="000000"/>
        </w:rPr>
        <w:t>。</w:t>
      </w:r>
    </w:p>
  </w:footnote>
  <w:footnote w:id="33">
    <w:p w:rsidR="00692915" w:rsidRDefault="00692915" w:rsidP="009A1C1B">
      <w:pPr>
        <w:pStyle w:val="FootnoteText"/>
        <w:tabs>
          <w:tab w:val="left" w:pos="780"/>
        </w:tabs>
        <w:ind w:firstLine="31680"/>
        <w:rPr>
          <w:rFonts w:ascii="KaiTi_GB2312" w:hint="eastAsia"/>
          <w:bCs/>
          <w:color w:val="000000"/>
        </w:rPr>
      </w:pPr>
      <w:r>
        <w:rPr>
          <w:rStyle w:val="FootnoteReference"/>
          <w:rFonts w:ascii="KaiTi_GB2312"/>
          <w:color w:val="000000"/>
          <w:sz w:val="22"/>
        </w:rPr>
        <w:footnoteRef/>
      </w:r>
      <w:r>
        <w:rPr>
          <w:rFonts w:ascii="KaiTi_GB2312"/>
          <w:color w:val="000000"/>
        </w:rPr>
        <w:t xml:space="preserve">  </w:t>
      </w:r>
      <w:r>
        <w:rPr>
          <w:rFonts w:ascii="KaiTi_GB2312" w:hint="eastAsia"/>
          <w:bCs/>
          <w:color w:val="000000"/>
        </w:rPr>
        <w:t>《</w:t>
      </w:r>
      <w:r>
        <w:rPr>
          <w:color w:val="000000"/>
        </w:rPr>
        <w:t>东帝汶民主共和国宪法</w:t>
      </w:r>
      <w:r>
        <w:rPr>
          <w:rFonts w:ascii="KaiTi_GB2312" w:hint="eastAsia"/>
          <w:bCs/>
          <w:color w:val="000000"/>
        </w:rPr>
        <w:t>》，第</w:t>
      </w:r>
      <w:r>
        <w:rPr>
          <w:color w:val="000000"/>
        </w:rPr>
        <w:t>154</w:t>
      </w:r>
      <w:r>
        <w:rPr>
          <w:rFonts w:ascii="KaiTi_GB2312" w:hint="eastAsia"/>
          <w:bCs/>
          <w:color w:val="000000"/>
        </w:rPr>
        <w:t>条</w:t>
      </w:r>
      <w:r>
        <w:rPr>
          <w:rFonts w:hint="eastAsia"/>
          <w:color w:val="000000"/>
        </w:rPr>
        <w:t>。</w:t>
      </w:r>
    </w:p>
  </w:footnote>
  <w:footnote w:id="34">
    <w:p w:rsidR="00692915" w:rsidRDefault="00692915" w:rsidP="009A1C1B">
      <w:pPr>
        <w:pStyle w:val="FootnoteText"/>
        <w:tabs>
          <w:tab w:val="left" w:pos="780"/>
        </w:tabs>
        <w:ind w:firstLine="31680"/>
        <w:rPr>
          <w:rFonts w:ascii="KaiTi_GB2312"/>
          <w:bCs/>
          <w:color w:val="000000"/>
        </w:rPr>
      </w:pPr>
      <w:r>
        <w:rPr>
          <w:rStyle w:val="FootnoteReference"/>
          <w:rFonts w:ascii="KaiTi_GB2312"/>
          <w:color w:val="000000"/>
          <w:sz w:val="22"/>
        </w:rPr>
        <w:footnoteRef/>
      </w:r>
      <w:r>
        <w:rPr>
          <w:rFonts w:ascii="KaiTi_GB2312"/>
          <w:color w:val="000000"/>
        </w:rPr>
        <w:t xml:space="preserve">  </w:t>
      </w:r>
      <w:r>
        <w:rPr>
          <w:rFonts w:ascii="KaiTi_GB2312" w:hint="eastAsia"/>
          <w:bCs/>
          <w:color w:val="000000"/>
        </w:rPr>
        <w:t>《</w:t>
      </w:r>
      <w:r>
        <w:rPr>
          <w:color w:val="000000"/>
        </w:rPr>
        <w:t>东帝汶民主共和国宪法</w:t>
      </w:r>
      <w:r>
        <w:rPr>
          <w:rFonts w:ascii="KaiTi_GB2312" w:hint="eastAsia"/>
          <w:bCs/>
          <w:color w:val="000000"/>
        </w:rPr>
        <w:t>》，第</w:t>
      </w:r>
      <w:r>
        <w:rPr>
          <w:color w:val="000000"/>
        </w:rPr>
        <w:t>156</w:t>
      </w:r>
      <w:r>
        <w:rPr>
          <w:rFonts w:ascii="KaiTi_GB2312" w:hint="eastAsia"/>
          <w:bCs/>
          <w:color w:val="000000"/>
        </w:rPr>
        <w:t>条。</w:t>
      </w:r>
    </w:p>
  </w:footnote>
  <w:footnote w:id="35">
    <w:p w:rsidR="00692915" w:rsidRDefault="00692915" w:rsidP="009A1C1B">
      <w:pPr>
        <w:pStyle w:val="FootnoteText"/>
        <w:tabs>
          <w:tab w:val="left" w:pos="780"/>
        </w:tabs>
        <w:ind w:firstLine="31680"/>
        <w:rPr>
          <w:rFonts w:ascii="KaiTi_GB2312" w:hint="eastAsia"/>
          <w:bCs/>
          <w:color w:val="000000"/>
        </w:rPr>
      </w:pPr>
      <w:r>
        <w:rPr>
          <w:rStyle w:val="FootnoteReference"/>
          <w:rFonts w:ascii="KaiTi_GB2312"/>
          <w:color w:val="000000"/>
          <w:sz w:val="22"/>
        </w:rPr>
        <w:footnoteRef/>
      </w:r>
      <w:r>
        <w:rPr>
          <w:rFonts w:ascii="KaiTi_GB2312"/>
          <w:color w:val="000000"/>
        </w:rPr>
        <w:t xml:space="preserve">  </w:t>
      </w:r>
      <w:r>
        <w:rPr>
          <w:rFonts w:ascii="KaiTi_GB2312" w:hint="eastAsia"/>
          <w:bCs/>
          <w:color w:val="000000"/>
        </w:rPr>
        <w:t>《</w:t>
      </w:r>
      <w:r>
        <w:rPr>
          <w:color w:val="000000"/>
        </w:rPr>
        <w:t>东帝汶民主共和国宪法</w:t>
      </w:r>
      <w:r>
        <w:rPr>
          <w:rFonts w:ascii="KaiTi_GB2312" w:hint="eastAsia"/>
          <w:bCs/>
          <w:color w:val="000000"/>
        </w:rPr>
        <w:t>》，第</w:t>
      </w:r>
      <w:r>
        <w:rPr>
          <w:color w:val="000000"/>
        </w:rPr>
        <w:t>157</w:t>
      </w:r>
      <w:r>
        <w:rPr>
          <w:rFonts w:ascii="KaiTi_GB2312" w:hint="eastAsia"/>
          <w:bCs/>
          <w:color w:val="000000"/>
        </w:rPr>
        <w:t>条</w:t>
      </w:r>
      <w:r>
        <w:rPr>
          <w:rFonts w:hint="eastAsia"/>
          <w:color w:val="000000"/>
        </w:rPr>
        <w:t>。</w:t>
      </w:r>
    </w:p>
  </w:footnote>
  <w:footnote w:id="36">
    <w:p w:rsidR="00692915" w:rsidRDefault="00692915" w:rsidP="009A1C1B">
      <w:pPr>
        <w:pStyle w:val="FootnoteText"/>
        <w:tabs>
          <w:tab w:val="left" w:pos="780"/>
        </w:tabs>
        <w:ind w:firstLine="31680"/>
        <w:rPr>
          <w:rFonts w:ascii="KaiTi_GB2312" w:hint="eastAsia"/>
          <w:bCs/>
          <w:color w:val="000000"/>
        </w:rPr>
      </w:pPr>
      <w:r>
        <w:rPr>
          <w:rStyle w:val="FootnoteReference"/>
          <w:rFonts w:ascii="KaiTi_GB2312"/>
          <w:color w:val="000000"/>
          <w:sz w:val="22"/>
        </w:rPr>
        <w:footnoteRef/>
      </w:r>
      <w:r>
        <w:rPr>
          <w:rFonts w:ascii="KaiTi_GB2312"/>
          <w:color w:val="000000"/>
        </w:rPr>
        <w:t xml:space="preserve">  </w:t>
      </w:r>
      <w:r>
        <w:rPr>
          <w:rFonts w:ascii="KaiTi_GB2312" w:hint="eastAsia"/>
          <w:bCs/>
          <w:color w:val="000000"/>
        </w:rPr>
        <w:t>《</w:t>
      </w:r>
      <w:r>
        <w:rPr>
          <w:color w:val="000000"/>
        </w:rPr>
        <w:t>东帝汶民主共和国宪法</w:t>
      </w:r>
      <w:r>
        <w:rPr>
          <w:rFonts w:ascii="KaiTi_GB2312" w:hint="eastAsia"/>
          <w:bCs/>
          <w:color w:val="000000"/>
        </w:rPr>
        <w:t>》，第</w:t>
      </w:r>
      <w:r>
        <w:rPr>
          <w:color w:val="000000"/>
        </w:rPr>
        <w:t>62</w:t>
      </w:r>
      <w:r>
        <w:rPr>
          <w:rFonts w:ascii="KaiTi_GB2312" w:hint="eastAsia"/>
          <w:bCs/>
          <w:color w:val="000000"/>
        </w:rPr>
        <w:t>条</w:t>
      </w:r>
      <w:r>
        <w:rPr>
          <w:rFonts w:hint="eastAsia"/>
          <w:color w:val="000000"/>
        </w:rPr>
        <w:t>。</w:t>
      </w:r>
    </w:p>
  </w:footnote>
  <w:footnote w:id="37">
    <w:p w:rsidR="00692915" w:rsidRDefault="00692915" w:rsidP="009A1C1B">
      <w:pPr>
        <w:pStyle w:val="FootnoteText"/>
        <w:tabs>
          <w:tab w:val="left" w:pos="780"/>
        </w:tabs>
        <w:ind w:firstLine="31680"/>
        <w:rPr>
          <w:rFonts w:ascii="KaiTi_GB2312" w:hint="eastAsia"/>
          <w:bCs/>
          <w:color w:val="000000"/>
        </w:rPr>
      </w:pPr>
      <w:r>
        <w:rPr>
          <w:rStyle w:val="FootnoteReference"/>
          <w:rFonts w:ascii="KaiTi_GB2312"/>
          <w:color w:val="000000"/>
          <w:sz w:val="22"/>
        </w:rPr>
        <w:footnoteRef/>
      </w:r>
      <w:r>
        <w:rPr>
          <w:rFonts w:ascii="KaiTi_GB2312"/>
          <w:color w:val="000000"/>
        </w:rPr>
        <w:t xml:space="preserve">  </w:t>
      </w:r>
      <w:r>
        <w:rPr>
          <w:rFonts w:ascii="KaiTi_GB2312" w:hint="eastAsia"/>
          <w:bCs/>
          <w:color w:val="000000"/>
        </w:rPr>
        <w:t>《</w:t>
      </w:r>
      <w:r>
        <w:rPr>
          <w:color w:val="000000"/>
        </w:rPr>
        <w:t>东帝汶民主共和国宪法</w:t>
      </w:r>
      <w:r>
        <w:rPr>
          <w:rFonts w:ascii="KaiTi_GB2312" w:hint="eastAsia"/>
          <w:bCs/>
          <w:color w:val="000000"/>
        </w:rPr>
        <w:t>》，第</w:t>
      </w:r>
      <w:r>
        <w:rPr>
          <w:color w:val="000000"/>
        </w:rPr>
        <w:t>67</w:t>
      </w:r>
      <w:r>
        <w:rPr>
          <w:rFonts w:ascii="KaiTi_GB2312" w:hint="eastAsia"/>
          <w:bCs/>
          <w:color w:val="000000"/>
        </w:rPr>
        <w:t>条</w:t>
      </w:r>
      <w:r>
        <w:rPr>
          <w:rFonts w:hint="eastAsia"/>
          <w:color w:val="000000"/>
        </w:rPr>
        <w:t>。</w:t>
      </w:r>
    </w:p>
  </w:footnote>
  <w:footnote w:id="38">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color w:val="000000"/>
        </w:rPr>
        <w:t xml:space="preserve">  </w:t>
      </w:r>
      <w:r>
        <w:rPr>
          <w:rFonts w:ascii="KaiTi_GB2312" w:hint="eastAsia"/>
          <w:bCs/>
          <w:color w:val="000000"/>
        </w:rPr>
        <w:t>《</w:t>
      </w:r>
      <w:r>
        <w:rPr>
          <w:color w:val="000000"/>
        </w:rPr>
        <w:t>东帝汶民主共和国宪法</w:t>
      </w:r>
      <w:r>
        <w:rPr>
          <w:rFonts w:ascii="KaiTi_GB2312" w:hint="eastAsia"/>
          <w:bCs/>
          <w:color w:val="000000"/>
        </w:rPr>
        <w:t>》，第</w:t>
      </w:r>
      <w:r>
        <w:rPr>
          <w:rFonts w:ascii="KaiTi_GB2312"/>
          <w:bCs/>
          <w:color w:val="000000"/>
        </w:rPr>
        <w:t>69</w:t>
      </w:r>
      <w:r>
        <w:rPr>
          <w:rFonts w:ascii="KaiTi_GB2312" w:hint="eastAsia"/>
          <w:bCs/>
          <w:color w:val="000000"/>
        </w:rPr>
        <w:t>条</w:t>
      </w:r>
      <w:r>
        <w:rPr>
          <w:rFonts w:hint="eastAsia"/>
          <w:color w:val="000000"/>
        </w:rPr>
        <w:t>。</w:t>
      </w:r>
    </w:p>
  </w:footnote>
  <w:footnote w:id="39">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color w:val="000000"/>
        </w:rPr>
        <w:t xml:space="preserve">  </w:t>
      </w:r>
      <w:r>
        <w:rPr>
          <w:rFonts w:ascii="KaiTi_GB2312" w:hint="eastAsia"/>
          <w:bCs/>
          <w:color w:val="000000"/>
        </w:rPr>
        <w:t>如果出现了持续60天以上的严重制度危机，以致妨碍了政府的组成或国家预算的批准，那么在议会和国务院各政党协商同意的情况下，可以解散议会（见第86（f））；在总理计划连续二次遭到国民议会拒绝后，可以解散内阁或解除总理职务（见第86（g））。</w:t>
      </w:r>
    </w:p>
  </w:footnote>
  <w:footnote w:id="40">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color w:val="000000"/>
        </w:rPr>
        <w:t xml:space="preserve">  </w:t>
      </w:r>
      <w:r>
        <w:rPr>
          <w:rFonts w:ascii="KaiTi_GB2312" w:hint="eastAsia"/>
          <w:bCs/>
          <w:color w:val="000000"/>
        </w:rPr>
        <w:t>《</w:t>
      </w:r>
      <w:r>
        <w:rPr>
          <w:color w:val="000000"/>
        </w:rPr>
        <w:t>东帝汶民主共和国宪法</w:t>
      </w:r>
      <w:r>
        <w:rPr>
          <w:rFonts w:ascii="KaiTi_GB2312" w:hint="eastAsia"/>
          <w:bCs/>
          <w:color w:val="000000"/>
        </w:rPr>
        <w:t>》，第</w:t>
      </w:r>
      <w:r>
        <w:rPr>
          <w:rFonts w:ascii="KaiTi_GB2312"/>
          <w:bCs/>
          <w:color w:val="000000"/>
        </w:rPr>
        <w:t>90</w:t>
      </w:r>
      <w:r>
        <w:rPr>
          <w:rFonts w:ascii="KaiTi_GB2312" w:hint="eastAsia"/>
          <w:bCs/>
          <w:color w:val="000000"/>
        </w:rPr>
        <w:t>条</w:t>
      </w:r>
      <w:r>
        <w:rPr>
          <w:rFonts w:hint="eastAsia"/>
          <w:color w:val="000000"/>
        </w:rPr>
        <w:t>。</w:t>
      </w:r>
    </w:p>
  </w:footnote>
  <w:footnote w:id="41">
    <w:p w:rsidR="00692915" w:rsidRDefault="00692915" w:rsidP="009A1C1B">
      <w:pPr>
        <w:pStyle w:val="FootnoteText"/>
        <w:tabs>
          <w:tab w:val="left" w:pos="780"/>
        </w:tabs>
        <w:ind w:firstLine="31680"/>
        <w:rPr>
          <w:rFonts w:ascii="KaiTi_GB2312" w:hint="eastAsia"/>
          <w:bCs/>
          <w:color w:val="000000"/>
        </w:rPr>
      </w:pPr>
      <w:r>
        <w:rPr>
          <w:rStyle w:val="FootnoteReference"/>
          <w:rFonts w:ascii="KaiTi_GB2312"/>
          <w:color w:val="000000"/>
          <w:sz w:val="22"/>
        </w:rPr>
        <w:footnoteRef/>
      </w:r>
      <w:r>
        <w:rPr>
          <w:rFonts w:ascii="KaiTi_GB2312"/>
          <w:color w:val="000000"/>
        </w:rPr>
        <w:t xml:space="preserve">  </w:t>
      </w:r>
      <w:r>
        <w:rPr>
          <w:rFonts w:ascii="KaiTi_GB2312" w:hint="eastAsia"/>
          <w:bCs/>
          <w:color w:val="000000"/>
        </w:rPr>
        <w:t>《</w:t>
      </w:r>
      <w:r>
        <w:rPr>
          <w:color w:val="000000"/>
        </w:rPr>
        <w:t>东帝汶民主共和国宪法</w:t>
      </w:r>
      <w:r>
        <w:rPr>
          <w:rFonts w:ascii="KaiTi_GB2312" w:hint="eastAsia"/>
          <w:bCs/>
          <w:color w:val="000000"/>
        </w:rPr>
        <w:t>》，第</w:t>
      </w:r>
      <w:r>
        <w:rPr>
          <w:rFonts w:ascii="KaiTi_GB2312"/>
          <w:bCs/>
          <w:color w:val="000000"/>
        </w:rPr>
        <w:t>9</w:t>
      </w:r>
      <w:r>
        <w:rPr>
          <w:rFonts w:ascii="KaiTi_GB2312" w:hint="eastAsia"/>
          <w:bCs/>
          <w:color w:val="000000"/>
        </w:rPr>
        <w:t>2条</w:t>
      </w:r>
      <w:r>
        <w:rPr>
          <w:rFonts w:hint="eastAsia"/>
          <w:color w:val="000000"/>
        </w:rPr>
        <w:t>。</w:t>
      </w:r>
    </w:p>
  </w:footnote>
  <w:footnote w:id="42">
    <w:p w:rsidR="00692915" w:rsidRDefault="00692915" w:rsidP="009A1C1B">
      <w:pPr>
        <w:pStyle w:val="FootnoteText"/>
        <w:tabs>
          <w:tab w:val="left" w:pos="780"/>
        </w:tabs>
        <w:ind w:firstLine="31680"/>
        <w:rPr>
          <w:rFonts w:ascii="KaiTi_GB2312" w:hint="eastAsia"/>
          <w:bCs/>
          <w:color w:val="000000"/>
        </w:rPr>
      </w:pPr>
      <w:r>
        <w:rPr>
          <w:rStyle w:val="FootnoteReference"/>
          <w:rFonts w:ascii="KaiTi_GB2312"/>
          <w:color w:val="000000"/>
          <w:sz w:val="22"/>
        </w:rPr>
        <w:footnoteRef/>
      </w:r>
      <w:r>
        <w:rPr>
          <w:rFonts w:ascii="KaiTi_GB2312"/>
          <w:color w:val="000000"/>
        </w:rPr>
        <w:t xml:space="preserve">  </w:t>
      </w:r>
      <w:r>
        <w:rPr>
          <w:rFonts w:ascii="KaiTi_GB2312" w:hint="eastAsia"/>
          <w:bCs/>
          <w:color w:val="000000"/>
        </w:rPr>
        <w:t>《</w:t>
      </w:r>
      <w:r>
        <w:rPr>
          <w:rFonts w:ascii="KaiTi_GB2312"/>
          <w:color w:val="000000"/>
        </w:rPr>
        <w:t>东帝汶民主共和国宪法</w:t>
      </w:r>
      <w:r>
        <w:rPr>
          <w:rFonts w:ascii="KaiTi_GB2312" w:hint="eastAsia"/>
          <w:bCs/>
          <w:color w:val="000000"/>
        </w:rPr>
        <w:t>》，第</w:t>
      </w:r>
      <w:r>
        <w:rPr>
          <w:rFonts w:ascii="KaiTi_GB2312"/>
          <w:color w:val="000000"/>
        </w:rPr>
        <w:t>9</w:t>
      </w:r>
      <w:r>
        <w:rPr>
          <w:rFonts w:ascii="KaiTi_GB2312" w:hint="eastAsia"/>
          <w:color w:val="000000"/>
        </w:rPr>
        <w:t>5</w:t>
      </w:r>
      <w:r>
        <w:rPr>
          <w:rFonts w:ascii="KaiTi_GB2312" w:hint="eastAsia"/>
          <w:bCs/>
          <w:color w:val="000000"/>
        </w:rPr>
        <w:t>条</w:t>
      </w:r>
      <w:r>
        <w:rPr>
          <w:rFonts w:ascii="KaiTi_GB2312" w:hint="eastAsia"/>
          <w:color w:val="000000"/>
        </w:rPr>
        <w:t>。</w:t>
      </w:r>
    </w:p>
  </w:footnote>
  <w:footnote w:id="43">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color w:val="000000"/>
        </w:rPr>
        <w:t xml:space="preserve"> </w:t>
      </w:r>
      <w:r>
        <w:rPr>
          <w:rFonts w:ascii="KaiTi_GB2312" w:hint="eastAsia"/>
          <w:bCs/>
          <w:color w:val="000000"/>
        </w:rPr>
        <w:t xml:space="preserve">   2002年8月7日颁布的第4/2000号法律。</w:t>
      </w:r>
      <w:r>
        <w:rPr>
          <w:rFonts w:ascii="KaiTi_GB2312" w:hint="eastAsia"/>
          <w:color w:val="000000"/>
        </w:rPr>
        <w:t xml:space="preserve"> </w:t>
      </w:r>
    </w:p>
  </w:footnote>
  <w:footnote w:id="44">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color w:val="000000"/>
        </w:rPr>
        <w:t xml:space="preserve">  </w:t>
      </w:r>
      <w:r>
        <w:rPr>
          <w:rFonts w:ascii="KaiTi_GB2312" w:hint="eastAsia"/>
          <w:bCs/>
          <w:color w:val="000000"/>
        </w:rPr>
        <w:t>《</w:t>
      </w:r>
      <w:r>
        <w:rPr>
          <w:color w:val="000000"/>
        </w:rPr>
        <w:t>东帝汶民主共和国宪法</w:t>
      </w:r>
      <w:r>
        <w:rPr>
          <w:rFonts w:ascii="KaiTi_GB2312" w:hint="eastAsia"/>
          <w:bCs/>
          <w:color w:val="000000"/>
        </w:rPr>
        <w:t>》，第104条。</w:t>
      </w:r>
    </w:p>
  </w:footnote>
  <w:footnote w:id="45">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color w:val="000000"/>
        </w:rPr>
        <w:t xml:space="preserve">  </w:t>
      </w:r>
      <w:r>
        <w:rPr>
          <w:rFonts w:ascii="KaiTi_GB2312" w:hint="eastAsia"/>
          <w:bCs/>
          <w:color w:val="000000"/>
        </w:rPr>
        <w:t>《</w:t>
      </w:r>
      <w:r>
        <w:rPr>
          <w:color w:val="000000"/>
        </w:rPr>
        <w:t>东帝汶民主共和国宪法</w:t>
      </w:r>
      <w:r>
        <w:rPr>
          <w:rFonts w:ascii="KaiTi_GB2312" w:hint="eastAsia"/>
          <w:bCs/>
          <w:color w:val="000000"/>
        </w:rPr>
        <w:t>》，第103条。</w:t>
      </w:r>
    </w:p>
  </w:footnote>
  <w:footnote w:id="46">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color w:val="000000"/>
        </w:rPr>
        <w:t xml:space="preserve">  </w:t>
      </w:r>
      <w:r>
        <w:rPr>
          <w:rFonts w:ascii="KaiTi_GB2312" w:hint="eastAsia"/>
          <w:bCs/>
          <w:color w:val="000000"/>
        </w:rPr>
        <w:t>《</w:t>
      </w:r>
      <w:r>
        <w:rPr>
          <w:color w:val="000000"/>
        </w:rPr>
        <w:t>东帝汶民主共和国宪法</w:t>
      </w:r>
      <w:r>
        <w:rPr>
          <w:rFonts w:ascii="KaiTi_GB2312" w:hint="eastAsia"/>
          <w:bCs/>
          <w:color w:val="000000"/>
        </w:rPr>
        <w:t>》，第107条。</w:t>
      </w:r>
    </w:p>
  </w:footnote>
  <w:footnote w:id="47">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color w:val="000000"/>
        </w:rPr>
        <w:t xml:space="preserve">  </w:t>
      </w:r>
      <w:r>
        <w:rPr>
          <w:rFonts w:ascii="KaiTi_GB2312" w:hint="eastAsia"/>
          <w:color w:val="000000"/>
        </w:rPr>
        <w:t>《</w:t>
      </w:r>
      <w:r>
        <w:rPr>
          <w:rFonts w:ascii="KaiTi_GB2312" w:hint="eastAsia"/>
          <w:bCs/>
          <w:color w:val="000000"/>
        </w:rPr>
        <w:t>部门投资方案：公共部门管理》，2005年4月，</w:t>
      </w:r>
      <w:r>
        <w:rPr>
          <w:rFonts w:hint="eastAsia"/>
          <w:color w:val="000000"/>
        </w:rPr>
        <w:t>第</w:t>
      </w:r>
      <w:r>
        <w:rPr>
          <w:rFonts w:ascii="KaiTi_GB2312" w:hint="eastAsia"/>
          <w:bCs/>
          <w:color w:val="000000"/>
        </w:rPr>
        <w:t>1页。</w:t>
      </w:r>
    </w:p>
  </w:footnote>
  <w:footnote w:id="48">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bCs/>
          <w:color w:val="000000"/>
        </w:rPr>
        <w:t xml:space="preserve"> </w:t>
      </w:r>
      <w:r>
        <w:rPr>
          <w:rFonts w:ascii="KaiTi_GB2312"/>
          <w:bCs/>
          <w:color w:val="000000"/>
        </w:rPr>
        <w:tab/>
      </w:r>
      <w:r>
        <w:rPr>
          <w:rFonts w:ascii="KaiTi_GB2312" w:hint="eastAsia"/>
          <w:bCs/>
          <w:color w:val="000000"/>
        </w:rPr>
        <w:t>《部门投资方案：公共部门管理》，2005年4月，</w:t>
      </w:r>
      <w:r>
        <w:rPr>
          <w:rFonts w:hint="eastAsia"/>
          <w:color w:val="000000"/>
        </w:rPr>
        <w:t>第</w:t>
      </w:r>
      <w:r>
        <w:rPr>
          <w:color w:val="000000"/>
        </w:rPr>
        <w:t>iv</w:t>
      </w:r>
      <w:r>
        <w:rPr>
          <w:rFonts w:ascii="KaiTi_GB2312" w:hint="eastAsia"/>
          <w:bCs/>
          <w:color w:val="000000"/>
        </w:rPr>
        <w:t>页。</w:t>
      </w:r>
    </w:p>
  </w:footnote>
  <w:footnote w:id="49">
    <w:p w:rsidR="00692915" w:rsidRDefault="00692915" w:rsidP="009A1C1B">
      <w:pPr>
        <w:pStyle w:val="FootnoteText"/>
        <w:tabs>
          <w:tab w:val="left" w:pos="780"/>
        </w:tabs>
        <w:ind w:firstLine="31680"/>
        <w:rPr>
          <w:rFonts w:ascii="KaiTi_GB2312"/>
          <w:color w:val="000000"/>
        </w:rPr>
      </w:pPr>
      <w:r>
        <w:rPr>
          <w:rStyle w:val="FootnoteReference"/>
          <w:rFonts w:ascii="KaiTi_GB2312"/>
          <w:color w:val="000000"/>
          <w:sz w:val="22"/>
        </w:rPr>
        <w:footnoteRef/>
      </w:r>
      <w:r>
        <w:rPr>
          <w:rFonts w:ascii="KaiTi_GB2312"/>
          <w:color w:val="000000"/>
        </w:rPr>
        <w:t xml:space="preserve">  </w:t>
      </w:r>
      <w:r>
        <w:rPr>
          <w:rFonts w:ascii="KaiTi_GB2312" w:hint="eastAsia"/>
          <w:bCs/>
          <w:color w:val="000000"/>
        </w:rPr>
        <w:t>《</w:t>
      </w:r>
      <w:r>
        <w:rPr>
          <w:color w:val="000000"/>
        </w:rPr>
        <w:t>东帝汶民主共和国宪法</w:t>
      </w:r>
      <w:r>
        <w:rPr>
          <w:rFonts w:ascii="KaiTi_GB2312" w:hint="eastAsia"/>
          <w:bCs/>
          <w:color w:val="000000"/>
        </w:rPr>
        <w:t>》，第5（1）条。</w:t>
      </w:r>
    </w:p>
  </w:footnote>
  <w:footnote w:id="50">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color w:val="000000"/>
        </w:rPr>
        <w:t xml:space="preserve">  </w:t>
      </w:r>
      <w:r>
        <w:rPr>
          <w:rFonts w:ascii="KaiTi_GB2312" w:hint="eastAsia"/>
          <w:color w:val="000000"/>
        </w:rPr>
        <w:t>《</w:t>
      </w:r>
      <w:r>
        <w:rPr>
          <w:rFonts w:ascii="KaiTi_GB2312" w:hint="eastAsia"/>
          <w:bCs/>
          <w:color w:val="000000"/>
        </w:rPr>
        <w:t>部门投资方案：地方政府与民间部门》，2005年4月，第V页。</w:t>
      </w:r>
    </w:p>
  </w:footnote>
  <w:footnote w:id="51">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color w:val="000000"/>
        </w:rPr>
        <w:t xml:space="preserve"> </w:t>
      </w:r>
      <w:r>
        <w:rPr>
          <w:rStyle w:val="FootnoteReference"/>
          <w:rFonts w:ascii="KaiTi_GB2312" w:hint="eastAsia"/>
          <w:b/>
          <w:bCs/>
          <w:color w:val="000000"/>
          <w:sz w:val="22"/>
        </w:rPr>
        <w:t xml:space="preserve"> </w:t>
      </w:r>
      <w:r>
        <w:rPr>
          <w:rFonts w:ascii="KaiTi_GB2312" w:hint="eastAsia"/>
          <w:bCs/>
          <w:color w:val="000000"/>
        </w:rPr>
        <w:t xml:space="preserve"> 请参考下文第I节及个案：阿曼多斯·</w:t>
      </w:r>
      <w:r>
        <w:rPr>
          <w:rFonts w:ascii="KaiTi_GB2312" w:hAnsi="Arial" w:cs="Arial" w:hint="eastAsia"/>
          <w:color w:val="000000"/>
        </w:rPr>
        <w:t>多斯·桑托斯诉总检察长一案， 上诉法院（2003年7月15日）；公诉人诉乔奥·萨门托和多明戈斯·门东卡一案，重罪特别陪审团（2003年7月24日），</w:t>
      </w:r>
      <w:r>
        <w:rPr>
          <w:rStyle w:val="FootnoteReference"/>
          <w:rFonts w:ascii="KaiTi_GB2312"/>
          <w:b/>
          <w:bCs/>
          <w:color w:val="000000"/>
          <w:sz w:val="22"/>
        </w:rPr>
        <w:t xml:space="preserve"> </w:t>
      </w:r>
      <w:r>
        <w:rPr>
          <w:rFonts w:ascii="KaiTi_GB2312" w:hint="eastAsia"/>
          <w:bCs/>
          <w:color w:val="000000"/>
        </w:rPr>
        <w:t>第</w:t>
      </w:r>
      <w:r>
        <w:rPr>
          <w:rFonts w:ascii="KaiTi_GB2312"/>
          <w:color w:val="000000"/>
        </w:rPr>
        <w:t>18a/2001</w:t>
      </w:r>
      <w:r>
        <w:rPr>
          <w:rFonts w:ascii="KaiTi_GB2312" w:hint="eastAsia"/>
          <w:bCs/>
          <w:color w:val="000000"/>
        </w:rPr>
        <w:t>号案卷；公诉人诉保利诺·德·杰索斯一案，上诉法院（2004年11月24日）。</w:t>
      </w:r>
    </w:p>
  </w:footnote>
  <w:footnote w:id="52">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hint="eastAsia"/>
          <w:bCs/>
          <w:color w:val="000000"/>
        </w:rPr>
        <w:t xml:space="preserve"> </w:t>
      </w:r>
      <w:r>
        <w:rPr>
          <w:rFonts w:ascii="KaiTi_GB2312"/>
          <w:bCs/>
          <w:color w:val="000000"/>
        </w:rPr>
        <w:t xml:space="preserve"> </w:t>
      </w:r>
      <w:r>
        <w:rPr>
          <w:rFonts w:ascii="KaiTi_GB2312" w:hint="eastAsia"/>
          <w:bCs/>
          <w:color w:val="000000"/>
        </w:rPr>
        <w:t>《东帝汶：权利、正义与平等部门投资方案》，2005年4月，第1页。</w:t>
      </w:r>
    </w:p>
  </w:footnote>
  <w:footnote w:id="53">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color w:val="000000"/>
        </w:rPr>
        <w:t xml:space="preserve">  </w:t>
      </w:r>
      <w:r>
        <w:rPr>
          <w:rFonts w:ascii="KaiTi_GB2312" w:hint="eastAsia"/>
          <w:color w:val="000000"/>
        </w:rPr>
        <w:t>《</w:t>
      </w:r>
      <w:r>
        <w:rPr>
          <w:color w:val="000000"/>
        </w:rPr>
        <w:t>东帝汶民主共和国宪法</w:t>
      </w:r>
      <w:r>
        <w:rPr>
          <w:rFonts w:ascii="KaiTi_GB2312" w:hint="eastAsia"/>
          <w:color w:val="000000"/>
        </w:rPr>
        <w:t>》，</w:t>
      </w:r>
      <w:r>
        <w:rPr>
          <w:rFonts w:ascii="KaiTi_GB2312" w:hint="eastAsia"/>
          <w:bCs/>
          <w:color w:val="000000"/>
        </w:rPr>
        <w:t>第119条</w:t>
      </w:r>
      <w:r>
        <w:rPr>
          <w:rStyle w:val="FootnoteReference"/>
          <w:rFonts w:ascii="KaiTi_GB2312" w:hint="eastAsia"/>
          <w:color w:val="000000"/>
          <w:sz w:val="22"/>
          <w:vertAlign w:val="baseline"/>
        </w:rPr>
        <w:t>。</w:t>
      </w:r>
    </w:p>
  </w:footnote>
  <w:footnote w:id="54">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color w:val="000000"/>
        </w:rPr>
        <w:t xml:space="preserve">  </w:t>
      </w:r>
      <w:r>
        <w:rPr>
          <w:rFonts w:ascii="KaiTi_GB2312" w:hint="eastAsia"/>
          <w:color w:val="000000"/>
        </w:rPr>
        <w:t>《</w:t>
      </w:r>
      <w:r>
        <w:rPr>
          <w:color w:val="000000"/>
        </w:rPr>
        <w:t>东帝汶民主共和国宪法</w:t>
      </w:r>
      <w:r>
        <w:rPr>
          <w:rFonts w:hint="eastAsia"/>
          <w:color w:val="000000"/>
        </w:rPr>
        <w:t>》</w:t>
      </w:r>
      <w:r>
        <w:rPr>
          <w:rFonts w:ascii="KaiTi_GB2312" w:hint="eastAsia"/>
          <w:color w:val="000000"/>
        </w:rPr>
        <w:t>，第26</w:t>
      </w:r>
      <w:r>
        <w:rPr>
          <w:rFonts w:ascii="KaiTi_GB2312" w:hint="eastAsia"/>
          <w:bCs/>
          <w:color w:val="000000"/>
        </w:rPr>
        <w:t>条。</w:t>
      </w:r>
    </w:p>
  </w:footnote>
  <w:footnote w:id="55">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color w:val="000000"/>
        </w:rPr>
        <w:t xml:space="preserve">  </w:t>
      </w:r>
      <w:r>
        <w:rPr>
          <w:rFonts w:ascii="KaiTi_GB2312" w:hint="eastAsia"/>
          <w:color w:val="000000"/>
        </w:rPr>
        <w:t>《</w:t>
      </w:r>
      <w:r>
        <w:rPr>
          <w:color w:val="000000"/>
        </w:rPr>
        <w:t>东帝汶民主共和国宪法</w:t>
      </w:r>
      <w:r>
        <w:rPr>
          <w:rFonts w:hint="eastAsia"/>
          <w:color w:val="000000"/>
        </w:rPr>
        <w:t>》</w:t>
      </w:r>
      <w:r>
        <w:rPr>
          <w:rFonts w:ascii="KaiTi_GB2312" w:hint="eastAsia"/>
          <w:color w:val="000000"/>
        </w:rPr>
        <w:t>，</w:t>
      </w:r>
      <w:r>
        <w:rPr>
          <w:rFonts w:hint="eastAsia"/>
          <w:color w:val="000000"/>
        </w:rPr>
        <w:t>第</w:t>
      </w:r>
      <w:r>
        <w:rPr>
          <w:rFonts w:ascii="KaiTi_GB2312" w:hint="eastAsia"/>
          <w:color w:val="000000"/>
        </w:rPr>
        <w:t>18</w:t>
      </w:r>
      <w:r>
        <w:rPr>
          <w:rFonts w:ascii="KaiTi_GB2312" w:hint="eastAsia"/>
          <w:bCs/>
          <w:color w:val="000000"/>
        </w:rPr>
        <w:t>8条。</w:t>
      </w:r>
    </w:p>
  </w:footnote>
  <w:footnote w:id="56">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color w:val="000000"/>
        </w:rPr>
        <w:t xml:space="preserve">  </w:t>
      </w:r>
      <w:r>
        <w:rPr>
          <w:rFonts w:ascii="KaiTi_GB2312" w:hint="eastAsia"/>
          <w:color w:val="000000"/>
        </w:rPr>
        <w:t>《</w:t>
      </w:r>
      <w:r>
        <w:rPr>
          <w:rFonts w:ascii="KaiTi_GB2312" w:hint="eastAsia"/>
          <w:bCs/>
          <w:color w:val="000000"/>
        </w:rPr>
        <w:t>东帝汶：权利、正义与平等部门投资方案》， 2005年4月，第12页。</w:t>
      </w:r>
    </w:p>
  </w:footnote>
  <w:footnote w:id="57">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color w:val="000000"/>
        </w:rPr>
        <w:t xml:space="preserve">  </w:t>
      </w:r>
      <w:r>
        <w:rPr>
          <w:rFonts w:ascii="KaiTi_GB2312"/>
          <w:color w:val="000000"/>
        </w:rPr>
        <w:tab/>
      </w:r>
      <w:r>
        <w:rPr>
          <w:rFonts w:ascii="KaiTi_GB2312" w:hint="eastAsia"/>
          <w:bCs/>
          <w:color w:val="000000"/>
        </w:rPr>
        <w:t>东帝汶过渡当局2000年第11号条例，第35条。</w:t>
      </w:r>
    </w:p>
  </w:footnote>
  <w:footnote w:id="58">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color w:val="000000"/>
        </w:rPr>
        <w:t xml:space="preserve">  </w:t>
      </w:r>
      <w:r>
        <w:rPr>
          <w:rFonts w:ascii="KaiTi_GB2312" w:hint="eastAsia"/>
          <w:bCs/>
          <w:color w:val="000000"/>
        </w:rPr>
        <w:t>《</w:t>
      </w:r>
      <w:r>
        <w:rPr>
          <w:color w:val="000000"/>
        </w:rPr>
        <w:t>东帝汶民主共和国宪法</w:t>
      </w:r>
      <w:r>
        <w:rPr>
          <w:rFonts w:ascii="KaiTi_GB2312" w:hint="eastAsia"/>
          <w:bCs/>
          <w:color w:val="000000"/>
        </w:rPr>
        <w:t>》，第128条</w:t>
      </w:r>
      <w:r>
        <w:rPr>
          <w:rStyle w:val="FootnoteReference"/>
          <w:rFonts w:ascii="KaiTi_GB2312" w:hint="eastAsia"/>
          <w:color w:val="000000"/>
          <w:sz w:val="22"/>
          <w:vertAlign w:val="baseline"/>
        </w:rPr>
        <w:t>。</w:t>
      </w:r>
    </w:p>
  </w:footnote>
  <w:footnote w:id="59">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hint="eastAsia"/>
          <w:bCs/>
          <w:color w:val="000000"/>
        </w:rPr>
        <w:t xml:space="preserve">  </w:t>
      </w:r>
      <w:r>
        <w:rPr>
          <w:rFonts w:ascii="KaiTi_GB2312"/>
          <w:bCs/>
          <w:color w:val="000000"/>
        </w:rPr>
        <w:tab/>
      </w:r>
      <w:r>
        <w:rPr>
          <w:rFonts w:ascii="KaiTi_GB2312" w:hint="eastAsia"/>
          <w:bCs/>
          <w:color w:val="000000"/>
        </w:rPr>
        <w:t>世界银行，《治理－加强司法部门》，2005年12月。</w:t>
      </w:r>
    </w:p>
  </w:footnote>
  <w:footnote w:id="60">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color w:val="000000"/>
        </w:rPr>
        <w:t xml:space="preserve"> </w:t>
      </w:r>
      <w:r>
        <w:rPr>
          <w:rFonts w:ascii="KaiTi_GB2312"/>
          <w:bCs/>
          <w:color w:val="000000"/>
        </w:rPr>
        <w:t xml:space="preserve"> </w:t>
      </w:r>
      <w:r>
        <w:rPr>
          <w:rFonts w:ascii="KaiTi_GB2312" w:hint="eastAsia"/>
          <w:bCs/>
          <w:color w:val="000000"/>
        </w:rPr>
        <w:t>《</w:t>
      </w:r>
      <w:r>
        <w:rPr>
          <w:color w:val="000000"/>
        </w:rPr>
        <w:t>东帝汶民主共和国宪法</w:t>
      </w:r>
      <w:r>
        <w:rPr>
          <w:rFonts w:ascii="KaiTi_GB2312" w:hint="eastAsia"/>
          <w:bCs/>
          <w:color w:val="000000"/>
        </w:rPr>
        <w:t>》，第133条</w:t>
      </w:r>
      <w:r>
        <w:rPr>
          <w:rStyle w:val="FootnoteReference"/>
          <w:rFonts w:ascii="KaiTi_GB2312" w:hint="eastAsia"/>
          <w:color w:val="000000"/>
          <w:sz w:val="22"/>
          <w:vertAlign w:val="baseline"/>
        </w:rPr>
        <w:t>。</w:t>
      </w:r>
    </w:p>
  </w:footnote>
  <w:footnote w:id="61">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color w:val="000000"/>
        </w:rPr>
        <w:t xml:space="preserve"> </w:t>
      </w:r>
      <w:r>
        <w:rPr>
          <w:rFonts w:ascii="KaiTi_GB2312"/>
          <w:color w:val="000000"/>
        </w:rPr>
        <w:tab/>
      </w:r>
      <w:r>
        <w:rPr>
          <w:rFonts w:ascii="KaiTi_GB2312" w:hint="eastAsia"/>
          <w:bCs/>
          <w:color w:val="000000"/>
        </w:rPr>
        <w:t>“促进司法制度，确保民主法治——加强东帝汶司法制度”，《开发计划署加强东帝汶司法制度一揽子计划》附件19，2003年7月，第9页。</w:t>
      </w:r>
    </w:p>
  </w:footnote>
  <w:footnote w:id="62">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color w:val="000000"/>
        </w:rPr>
        <w:t xml:space="preserve">  </w:t>
      </w:r>
      <w:r>
        <w:rPr>
          <w:rFonts w:ascii="KaiTi_GB2312" w:hint="eastAsia"/>
          <w:bCs/>
          <w:color w:val="000000"/>
        </w:rPr>
        <w:t>见第</w:t>
      </w:r>
      <w:r>
        <w:rPr>
          <w:rFonts w:ascii="KaiTi_GB2312"/>
          <w:color w:val="000000"/>
        </w:rPr>
        <w:t>15/2004</w:t>
      </w:r>
      <w:r>
        <w:rPr>
          <w:rFonts w:ascii="KaiTi_GB2312" w:hint="eastAsia"/>
          <w:bCs/>
          <w:color w:val="000000"/>
        </w:rPr>
        <w:t>号法令。</w:t>
      </w:r>
    </w:p>
  </w:footnote>
  <w:footnote w:id="63">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color w:val="000000"/>
        </w:rPr>
        <w:t xml:space="preserve">  </w:t>
      </w:r>
      <w:r>
        <w:rPr>
          <w:rFonts w:ascii="KaiTi_GB2312" w:hint="eastAsia"/>
          <w:bCs/>
          <w:color w:val="000000"/>
        </w:rPr>
        <w:t>学员培训的安排包括：对各类司法管理者进行一般的理论培训，以及分专业进行两个阶段的具体培训：司法行政、公诉和公设辩护行政管理。</w:t>
      </w:r>
    </w:p>
  </w:footnote>
  <w:footnote w:id="64">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hint="eastAsia"/>
          <w:color w:val="000000"/>
        </w:rPr>
        <w:t xml:space="preserve"> </w:t>
      </w:r>
      <w:r>
        <w:rPr>
          <w:rFonts w:ascii="KaiTi_GB2312" w:hint="eastAsia"/>
          <w:color w:val="000000"/>
        </w:rPr>
        <w:tab/>
        <w:t>东帝汶过渡当局第</w:t>
      </w:r>
      <w:r>
        <w:rPr>
          <w:rFonts w:ascii="KaiTi_GB2312"/>
          <w:color w:val="000000"/>
        </w:rPr>
        <w:t>2000/11</w:t>
      </w:r>
      <w:r>
        <w:rPr>
          <w:rFonts w:ascii="KaiTi_GB2312" w:hint="eastAsia"/>
          <w:bCs/>
          <w:color w:val="000000"/>
        </w:rPr>
        <w:t>号条例第</w:t>
      </w:r>
      <w:r>
        <w:rPr>
          <w:rFonts w:ascii="KaiTi_GB2312"/>
          <w:color w:val="000000"/>
        </w:rPr>
        <w:t>10</w:t>
      </w:r>
      <w:r>
        <w:rPr>
          <w:rFonts w:ascii="KaiTi_GB2312"/>
          <w:bCs/>
          <w:color w:val="000000"/>
        </w:rPr>
        <w:t>（</w:t>
      </w:r>
      <w:r>
        <w:rPr>
          <w:rFonts w:ascii="KaiTi_GB2312"/>
          <w:color w:val="000000"/>
        </w:rPr>
        <w:t>4）</w:t>
      </w:r>
      <w:r>
        <w:rPr>
          <w:rFonts w:ascii="KaiTi_GB2312" w:hint="eastAsia"/>
          <w:bCs/>
          <w:color w:val="000000"/>
        </w:rPr>
        <w:t>条。</w:t>
      </w:r>
    </w:p>
  </w:footnote>
  <w:footnote w:id="65">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color w:val="000000"/>
        </w:rPr>
        <w:t xml:space="preserve">  </w:t>
      </w:r>
      <w:r>
        <w:rPr>
          <w:rFonts w:ascii="KaiTi_GB2312" w:hint="eastAsia"/>
          <w:bCs/>
          <w:color w:val="000000"/>
        </w:rPr>
        <w:t>《放弃了正义吗？对东帝汶</w:t>
      </w:r>
      <w:r>
        <w:rPr>
          <w:rFonts w:ascii="KaiTi_GB2312" w:hint="eastAsia"/>
          <w:color w:val="000000"/>
        </w:rPr>
        <w:t>重罪诉讼程序的评估</w:t>
      </w:r>
      <w:r>
        <w:rPr>
          <w:rFonts w:ascii="KaiTi_GB2312" w:hint="eastAsia"/>
          <w:bCs/>
          <w:color w:val="000000"/>
        </w:rPr>
        <w:t>》，梅根·赫斯特和霍华德·瓦内编著，过渡期国际正义中心出版（2005年6月），第7-8页。</w:t>
      </w:r>
    </w:p>
  </w:footnote>
  <w:footnote w:id="66">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color w:val="000000"/>
        </w:rPr>
        <w:t xml:space="preserve">  </w:t>
      </w:r>
      <w:r>
        <w:rPr>
          <w:rFonts w:ascii="KaiTi_GB2312" w:hint="eastAsia"/>
          <w:bCs/>
          <w:color w:val="000000"/>
          <w:szCs w:val="22"/>
        </w:rPr>
        <w:t>特别</w:t>
      </w:r>
      <w:r>
        <w:rPr>
          <w:rFonts w:ascii="KaiTi_GB2312" w:hint="eastAsia"/>
          <w:color w:val="000000"/>
        </w:rPr>
        <w:t>审判小组第</w:t>
      </w:r>
      <w:r>
        <w:rPr>
          <w:rFonts w:ascii="KaiTi_GB2312"/>
          <w:color w:val="000000"/>
        </w:rPr>
        <w:t>14/2001</w:t>
      </w:r>
      <w:r>
        <w:rPr>
          <w:rFonts w:ascii="KaiTi_GB2312" w:hint="eastAsia"/>
          <w:color w:val="000000"/>
        </w:rPr>
        <w:t>号</w:t>
      </w:r>
      <w:r>
        <w:rPr>
          <w:rFonts w:ascii="KaiTi_GB2312" w:hint="eastAsia"/>
          <w:bCs/>
          <w:color w:val="000000"/>
          <w:szCs w:val="22"/>
        </w:rPr>
        <w:t>案件。</w:t>
      </w:r>
    </w:p>
  </w:footnote>
  <w:footnote w:id="67">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hint="eastAsia"/>
          <w:bCs/>
          <w:color w:val="000000"/>
          <w:szCs w:val="22"/>
        </w:rPr>
        <w:t xml:space="preserve"> </w:t>
      </w:r>
      <w:r>
        <w:rPr>
          <w:rFonts w:ascii="KaiTi_GB2312"/>
          <w:bCs/>
          <w:color w:val="000000"/>
          <w:szCs w:val="22"/>
        </w:rPr>
        <w:tab/>
      </w:r>
      <w:r>
        <w:rPr>
          <w:rFonts w:ascii="KaiTi_GB2312" w:hint="eastAsia"/>
          <w:bCs/>
          <w:color w:val="000000"/>
          <w:szCs w:val="22"/>
        </w:rPr>
        <w:t>特别</w:t>
      </w:r>
      <w:r>
        <w:rPr>
          <w:rFonts w:ascii="KaiTi_GB2312" w:hint="eastAsia"/>
          <w:color w:val="000000"/>
        </w:rPr>
        <w:t>审判小组第</w:t>
      </w:r>
      <w:r>
        <w:rPr>
          <w:color w:val="000000"/>
        </w:rPr>
        <w:t>4c/2001</w:t>
      </w:r>
      <w:r>
        <w:rPr>
          <w:rFonts w:ascii="KaiTi_GB2312" w:hint="eastAsia"/>
          <w:color w:val="000000"/>
        </w:rPr>
        <w:t>号</w:t>
      </w:r>
      <w:r>
        <w:rPr>
          <w:rFonts w:ascii="KaiTi_GB2312" w:hint="eastAsia"/>
          <w:bCs/>
          <w:color w:val="000000"/>
          <w:szCs w:val="22"/>
        </w:rPr>
        <w:t>案件， 三个案件中被称之为“罗罗托”的案件。</w:t>
      </w:r>
    </w:p>
  </w:footnote>
  <w:footnote w:id="68">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color w:val="000000"/>
        </w:rPr>
        <w:t xml:space="preserve"> </w:t>
      </w:r>
      <w:r>
        <w:rPr>
          <w:rFonts w:ascii="KaiTi_GB2312"/>
          <w:color w:val="000000"/>
        </w:rPr>
        <w:tab/>
      </w:r>
      <w:r>
        <w:rPr>
          <w:rFonts w:ascii="KaiTi_GB2312" w:hint="eastAsia"/>
          <w:bCs/>
          <w:color w:val="000000"/>
          <w:szCs w:val="22"/>
        </w:rPr>
        <w:t>特别</w:t>
      </w:r>
      <w:r>
        <w:rPr>
          <w:rFonts w:ascii="KaiTi_GB2312" w:hint="eastAsia"/>
          <w:color w:val="000000"/>
        </w:rPr>
        <w:t>审判小组</w:t>
      </w:r>
      <w:r>
        <w:rPr>
          <w:rFonts w:ascii="KaiTi_GB2312" w:hint="eastAsia"/>
          <w:bCs/>
          <w:color w:val="000000"/>
          <w:szCs w:val="22"/>
        </w:rPr>
        <w:t>第</w:t>
      </w:r>
      <w:r>
        <w:rPr>
          <w:color w:val="000000"/>
        </w:rPr>
        <w:t>11/2000</w:t>
      </w:r>
      <w:r>
        <w:rPr>
          <w:rFonts w:hint="eastAsia"/>
          <w:color w:val="000000"/>
        </w:rPr>
        <w:t>号案件</w:t>
      </w:r>
      <w:r>
        <w:rPr>
          <w:rFonts w:ascii="KaiTi_GB2312" w:hint="eastAsia"/>
          <w:color w:val="000000"/>
        </w:rPr>
        <w:t>，</w:t>
      </w:r>
      <w:r>
        <w:rPr>
          <w:rFonts w:ascii="KaiTi_GB2312" w:hint="eastAsia"/>
          <w:bCs/>
          <w:color w:val="000000"/>
          <w:szCs w:val="22"/>
        </w:rPr>
        <w:t>“列奥纳多·卡萨”案。</w:t>
      </w:r>
    </w:p>
  </w:footnote>
  <w:footnote w:id="69">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color w:val="000000"/>
        </w:rPr>
        <w:t xml:space="preserve"> </w:t>
      </w:r>
      <w:r>
        <w:rPr>
          <w:rFonts w:ascii="KaiTi_GB2312"/>
          <w:color w:val="000000"/>
        </w:rPr>
        <w:tab/>
      </w:r>
      <w:r>
        <w:rPr>
          <w:rFonts w:ascii="KaiTi_GB2312" w:hint="eastAsia"/>
          <w:bCs/>
          <w:color w:val="000000"/>
          <w:szCs w:val="22"/>
        </w:rPr>
        <w:t>这些被告绝大多数为帝汶人，目前可能生活在西帝汶。很小一部分是印度尼西亚人，他们也可能在西帝汶，更可能生活在印度尼西亚其他地区。</w:t>
      </w:r>
    </w:p>
  </w:footnote>
  <w:footnote w:id="70">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hint="eastAsia"/>
          <w:color w:val="000000"/>
          <w:sz w:val="22"/>
        </w:rPr>
        <w:t>69</w:t>
      </w:r>
      <w:r>
        <w:rPr>
          <w:rStyle w:val="FootnoteReference"/>
          <w:rFonts w:ascii="KaiTi_GB2312" w:hint="eastAsia"/>
          <w:color w:val="000000"/>
          <w:sz w:val="22"/>
        </w:rPr>
        <w:tab/>
      </w:r>
      <w:r>
        <w:rPr>
          <w:rFonts w:ascii="KaiTi_GB2312" w:hint="eastAsia"/>
          <w:bCs/>
          <w:color w:val="000000"/>
          <w:szCs w:val="22"/>
        </w:rPr>
        <w:t>CAVR一词系指</w:t>
      </w:r>
      <w:r>
        <w:rPr>
          <w:rFonts w:ascii="KaiTi_GB2312" w:hint="eastAsia"/>
          <w:color w:val="000000"/>
        </w:rPr>
        <w:t>“</w:t>
      </w:r>
      <w:r>
        <w:rPr>
          <w:color w:val="000000"/>
        </w:rPr>
        <w:t>Commisão Acoelhamento Verdade Reconciliação</w:t>
      </w:r>
      <w:r>
        <w:rPr>
          <w:rFonts w:ascii="KaiTi_GB2312" w:hint="eastAsia"/>
          <w:color w:val="000000"/>
        </w:rPr>
        <w:t>（接纳、真相与和解委员会</w:t>
      </w:r>
      <w:r>
        <w:rPr>
          <w:rFonts w:ascii="KaiTi_GB2312" w:hint="eastAsia"/>
          <w:bCs/>
          <w:color w:val="000000"/>
          <w:szCs w:val="22"/>
        </w:rPr>
        <w:t>）”。</w:t>
      </w:r>
    </w:p>
  </w:footnote>
  <w:footnote w:id="71">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color w:val="000000"/>
        </w:rPr>
        <w:t xml:space="preserve"> </w:t>
      </w:r>
      <w:r>
        <w:rPr>
          <w:rFonts w:ascii="KaiTi_GB2312"/>
          <w:color w:val="000000"/>
        </w:rPr>
        <w:tab/>
      </w:r>
      <w:r>
        <w:rPr>
          <w:rFonts w:ascii="KaiTi_GB2312" w:hint="eastAsia"/>
          <w:bCs/>
          <w:color w:val="000000"/>
          <w:szCs w:val="22"/>
        </w:rPr>
        <w:t>见</w:t>
      </w:r>
      <w:r>
        <w:rPr>
          <w:rFonts w:ascii="KaiTi_GB2312" w:hint="eastAsia"/>
          <w:color w:val="000000"/>
        </w:rPr>
        <w:t>东帝汶过渡当局第</w:t>
      </w:r>
      <w:r>
        <w:rPr>
          <w:color w:val="000000"/>
        </w:rPr>
        <w:t>2001/10</w:t>
      </w:r>
      <w:r>
        <w:rPr>
          <w:rFonts w:ascii="KaiTi_GB2312" w:hint="eastAsia"/>
          <w:color w:val="000000"/>
        </w:rPr>
        <w:t>号条例规定。</w:t>
      </w:r>
    </w:p>
  </w:footnote>
  <w:footnote w:id="72">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color w:val="000000"/>
        </w:rPr>
        <w:t xml:space="preserve">  </w:t>
      </w:r>
      <w:r>
        <w:rPr>
          <w:rFonts w:ascii="KaiTi_GB2312" w:hint="eastAsia"/>
          <w:bCs/>
          <w:color w:val="000000"/>
        </w:rPr>
        <w:t>资料来自</w:t>
      </w:r>
      <w:hyperlink r:id="rId1" w:history="1">
        <w:r>
          <w:rPr>
            <w:rStyle w:val="FootnoteReference"/>
            <w:rFonts w:ascii="KaiTi_GB2312"/>
            <w:color w:val="000000"/>
            <w:sz w:val="22"/>
            <w:vertAlign w:val="baseline"/>
          </w:rPr>
          <w:t>http://ctf-ri-tl.org</w:t>
        </w:r>
      </w:hyperlink>
      <w:r>
        <w:rPr>
          <w:rFonts w:ascii="KaiTi_GB2312" w:hint="eastAsia"/>
          <w:color w:val="000000"/>
        </w:rPr>
        <w:t>。</w:t>
      </w:r>
    </w:p>
  </w:footnote>
  <w:footnote w:id="73">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color w:val="000000"/>
        </w:rPr>
        <w:t xml:space="preserve">  </w:t>
      </w:r>
      <w:r>
        <w:rPr>
          <w:rFonts w:ascii="KaiTi_GB2312" w:hint="eastAsia"/>
          <w:bCs/>
          <w:color w:val="000000"/>
        </w:rPr>
        <w:t>印度尼西亚关于真相与和解委员会的第</w:t>
      </w:r>
      <w:r>
        <w:rPr>
          <w:rFonts w:ascii="KaiTi_GB2312"/>
          <w:bCs/>
          <w:color w:val="000000"/>
        </w:rPr>
        <w:t>27/2004</w:t>
      </w:r>
      <w:r>
        <w:rPr>
          <w:rFonts w:ascii="KaiTi_GB2312" w:hint="eastAsia"/>
          <w:bCs/>
          <w:color w:val="000000"/>
        </w:rPr>
        <w:t>号法律；东帝汶关于接纳、真相与和解委员会的第</w:t>
      </w:r>
      <w:r>
        <w:rPr>
          <w:rFonts w:ascii="KaiTi_GB2312"/>
          <w:bCs/>
          <w:color w:val="000000"/>
        </w:rPr>
        <w:t>10/2001</w:t>
      </w:r>
      <w:r>
        <w:rPr>
          <w:rFonts w:ascii="KaiTi_GB2312" w:hint="eastAsia"/>
          <w:bCs/>
          <w:color w:val="000000"/>
        </w:rPr>
        <w:t>号</w:t>
      </w:r>
      <w:r>
        <w:rPr>
          <w:rFonts w:ascii="KaiTi_GB2312" w:hint="eastAsia"/>
          <w:color w:val="000000"/>
        </w:rPr>
        <w:t>法律。</w:t>
      </w:r>
    </w:p>
  </w:footnote>
  <w:footnote w:id="74">
    <w:p w:rsidR="00692915" w:rsidRDefault="00692915" w:rsidP="009A1C1B">
      <w:pPr>
        <w:pStyle w:val="FootnoteText"/>
        <w:tabs>
          <w:tab w:val="left" w:pos="780"/>
        </w:tabs>
        <w:ind w:firstLine="31680"/>
        <w:rPr>
          <w:rStyle w:val="FootnoteReference"/>
          <w:rFonts w:ascii="KaiTi_GB2312"/>
          <w:b/>
          <w:color w:val="000000"/>
          <w:sz w:val="22"/>
        </w:rPr>
      </w:pPr>
      <w:r>
        <w:rPr>
          <w:rStyle w:val="FootnoteReference"/>
          <w:rFonts w:ascii="KaiTi_GB2312"/>
          <w:bCs/>
          <w:color w:val="000000"/>
          <w:sz w:val="22"/>
        </w:rPr>
        <w:footnoteRef/>
      </w:r>
      <w:r>
        <w:rPr>
          <w:rStyle w:val="FootnoteReference"/>
          <w:rFonts w:ascii="KaiTi_GB2312"/>
          <w:b/>
          <w:bCs/>
          <w:color w:val="000000"/>
          <w:sz w:val="22"/>
        </w:rPr>
        <w:t xml:space="preserve"> </w:t>
      </w:r>
      <w:r>
        <w:rPr>
          <w:rFonts w:ascii="KaiTi_GB2312"/>
          <w:color w:val="000000"/>
        </w:rPr>
        <w:t xml:space="preserve"> </w:t>
      </w:r>
      <w:r>
        <w:rPr>
          <w:rFonts w:ascii="KaiTi_GB2312" w:hint="eastAsia"/>
          <w:color w:val="000000"/>
        </w:rPr>
        <w:tab/>
        <w:t>由印度尼西亚共和国和东帝汶民主共和国为真相与友谊委员会确定的职权范围的第19条。</w:t>
      </w:r>
    </w:p>
  </w:footnote>
  <w:footnote w:id="75">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color w:val="000000"/>
        </w:rPr>
        <w:t xml:space="preserve"> </w:t>
      </w:r>
      <w:r>
        <w:rPr>
          <w:rFonts w:ascii="KaiTi_GB2312" w:hint="eastAsia"/>
          <w:color w:val="000000"/>
        </w:rPr>
        <w:tab/>
        <w:t>一个旨在通过对话与合作促进该地区和平与安全的组织。</w:t>
      </w:r>
    </w:p>
  </w:footnote>
  <w:footnote w:id="76">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Style w:val="FootnoteReference"/>
          <w:rFonts w:ascii="KaiTi_GB2312" w:hint="eastAsia"/>
          <w:b/>
          <w:color w:val="000000"/>
          <w:sz w:val="22"/>
        </w:rPr>
        <w:t xml:space="preserve"> </w:t>
      </w:r>
      <w:r>
        <w:rPr>
          <w:rFonts w:ascii="KaiTi_GB2312" w:hint="eastAsia"/>
          <w:color w:val="000000"/>
        </w:rPr>
        <w:t>《东盟宣言》指出，东盟旨在：（一）本着平等与合作的精神，通过共同努力加速区域经济增长、社会进步和文化发展，从而为东南亚国家的繁荣与和平奠定更坚实的基础；（二 ）在各国的关系中主张正义与法制，遵守《联合国宪章》的各项原则，以此促进该地区的和平与稳定。</w:t>
      </w:r>
    </w:p>
  </w:footnote>
  <w:footnote w:id="77">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Style w:val="FootnoteReference"/>
          <w:rFonts w:ascii="KaiTi_GB2312" w:hint="eastAsia"/>
          <w:b/>
          <w:color w:val="000000"/>
          <w:sz w:val="22"/>
        </w:rPr>
        <w:t xml:space="preserve"> </w:t>
      </w:r>
      <w:r>
        <w:rPr>
          <w:rFonts w:ascii="KaiTi_GB2312" w:hint="eastAsia"/>
          <w:color w:val="000000"/>
        </w:rPr>
        <w:t>《东帝汶民主共和国宪法》，第16（1）条。</w:t>
      </w:r>
      <w:r>
        <w:rPr>
          <w:rStyle w:val="FootnoteReference"/>
          <w:rFonts w:ascii="KaiTi_GB2312" w:hint="eastAsia"/>
          <w:b/>
          <w:color w:val="000000"/>
          <w:sz w:val="22"/>
        </w:rPr>
        <w:t xml:space="preserve"> </w:t>
      </w:r>
    </w:p>
  </w:footnote>
  <w:footnote w:id="78">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Style w:val="FootnoteReference"/>
          <w:rFonts w:ascii="KaiTi_GB2312" w:hint="eastAsia"/>
          <w:b/>
          <w:color w:val="000000"/>
          <w:sz w:val="22"/>
        </w:rPr>
        <w:t xml:space="preserve"> </w:t>
      </w:r>
      <w:r>
        <w:rPr>
          <w:rFonts w:ascii="KaiTi_GB2312" w:hint="eastAsia"/>
          <w:color w:val="000000"/>
        </w:rPr>
        <w:t>《东帝汶民主共和国宪法》，第20（1）条</w:t>
      </w:r>
      <w:r>
        <w:rPr>
          <w:rStyle w:val="FootnoteReference"/>
          <w:rFonts w:ascii="KaiTi_GB2312" w:hint="eastAsia"/>
          <w:bCs/>
          <w:color w:val="000000"/>
          <w:sz w:val="22"/>
          <w:vertAlign w:val="baseline"/>
        </w:rPr>
        <w:t>。</w:t>
      </w:r>
    </w:p>
  </w:footnote>
  <w:footnote w:id="79">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hint="eastAsia"/>
          <w:color w:val="000000"/>
        </w:rPr>
        <w:t>《东帝汶民主共和国宪法》，第21（1）条</w:t>
      </w:r>
      <w:r>
        <w:rPr>
          <w:rStyle w:val="FootnoteReference"/>
          <w:rFonts w:ascii="KaiTi_GB2312" w:hint="eastAsia"/>
          <w:b/>
          <w:color w:val="000000"/>
          <w:sz w:val="22"/>
        </w:rPr>
        <w:t>。</w:t>
      </w:r>
    </w:p>
  </w:footnote>
  <w:footnote w:id="80">
    <w:p w:rsidR="00692915" w:rsidRDefault="00692915" w:rsidP="009A1C1B">
      <w:pPr>
        <w:pStyle w:val="FootnoteText"/>
        <w:tabs>
          <w:tab w:val="left" w:pos="780"/>
        </w:tabs>
        <w:ind w:firstLine="31680"/>
        <w:rPr>
          <w:rStyle w:val="FootnoteReference"/>
          <w:rFonts w:ascii="KaiTi_GB2312"/>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hint="eastAsia"/>
          <w:color w:val="000000"/>
        </w:rPr>
        <w:t>《东帝汶民主共和国宪法》，第22条。</w:t>
      </w:r>
    </w:p>
  </w:footnote>
  <w:footnote w:id="81">
    <w:p w:rsidR="00692915" w:rsidRDefault="00692915" w:rsidP="009A1C1B">
      <w:pPr>
        <w:pStyle w:val="FootnoteText"/>
        <w:tabs>
          <w:tab w:val="left" w:pos="780"/>
        </w:tabs>
        <w:ind w:firstLine="31680"/>
        <w:rPr>
          <w:rStyle w:val="FootnoteReference"/>
          <w:rFonts w:ascii="KaiTi_GB2312"/>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hint="eastAsia"/>
          <w:color w:val="000000"/>
        </w:rPr>
        <w:t>《东帝汶民主共和国宪法》，第27（2）条。</w:t>
      </w:r>
    </w:p>
  </w:footnote>
  <w:footnote w:id="82">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Style w:val="FootnoteReference"/>
          <w:rFonts w:ascii="KaiTi_GB2312" w:hint="eastAsia"/>
          <w:b/>
          <w:color w:val="000000"/>
          <w:sz w:val="22"/>
        </w:rPr>
        <w:t xml:space="preserve"> </w:t>
      </w:r>
      <w:r>
        <w:rPr>
          <w:rFonts w:ascii="KaiTi_GB2312" w:hint="eastAsia"/>
          <w:color w:val="000000"/>
        </w:rPr>
        <w:t>《东帝汶民主共和国宪法》，第28（1）条。</w:t>
      </w:r>
    </w:p>
  </w:footnote>
  <w:footnote w:id="83">
    <w:p w:rsidR="00692915" w:rsidRDefault="00692915" w:rsidP="009A1C1B">
      <w:pPr>
        <w:pStyle w:val="FootnoteText"/>
        <w:tabs>
          <w:tab w:val="left" w:pos="780"/>
        </w:tabs>
        <w:ind w:firstLine="31680"/>
        <w:rPr>
          <w:rStyle w:val="FootnoteReference"/>
          <w:rFonts w:ascii="KaiTi_GB2312"/>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Style w:val="FootnoteReference"/>
          <w:rFonts w:ascii="KaiTi_GB2312" w:hint="eastAsia"/>
          <w:b/>
          <w:color w:val="000000"/>
          <w:sz w:val="22"/>
        </w:rPr>
        <w:t xml:space="preserve"> </w:t>
      </w:r>
      <w:r>
        <w:rPr>
          <w:rFonts w:ascii="KaiTi_GB2312" w:hint="eastAsia"/>
          <w:color w:val="000000"/>
        </w:rPr>
        <w:t>《东帝汶民主共和国宪法》，第38（1）条。</w:t>
      </w:r>
    </w:p>
  </w:footnote>
  <w:footnote w:id="84">
    <w:p w:rsidR="00692915" w:rsidRDefault="00692915" w:rsidP="009A1C1B">
      <w:pPr>
        <w:pStyle w:val="FootnoteText"/>
        <w:tabs>
          <w:tab w:val="left" w:pos="780"/>
        </w:tabs>
        <w:ind w:firstLine="31680"/>
        <w:rPr>
          <w:rStyle w:val="FootnoteReference"/>
          <w:rFonts w:ascii="KaiTi_GB2312"/>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Style w:val="FootnoteReference"/>
          <w:rFonts w:ascii="KaiTi_GB2312" w:hint="eastAsia"/>
          <w:b/>
          <w:color w:val="000000"/>
          <w:sz w:val="22"/>
        </w:rPr>
        <w:t xml:space="preserve"> </w:t>
      </w:r>
      <w:r>
        <w:rPr>
          <w:rFonts w:ascii="KaiTi_GB2312" w:hint="eastAsia"/>
          <w:color w:val="000000"/>
        </w:rPr>
        <w:t>《东帝汶民主共和国宪法》，第46-48条。</w:t>
      </w:r>
    </w:p>
  </w:footnote>
  <w:footnote w:id="85">
    <w:p w:rsidR="00692915" w:rsidRDefault="00692915" w:rsidP="009A1C1B">
      <w:pPr>
        <w:pStyle w:val="FootnoteText"/>
        <w:tabs>
          <w:tab w:val="left" w:pos="780"/>
        </w:tabs>
        <w:ind w:firstLine="31680"/>
        <w:rPr>
          <w:rStyle w:val="FootnoteReference"/>
          <w:rFonts w:ascii="KaiTi_GB2312"/>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Style w:val="FootnoteReference"/>
          <w:rFonts w:ascii="KaiTi_GB2312" w:hint="eastAsia"/>
          <w:b/>
          <w:color w:val="000000"/>
          <w:sz w:val="22"/>
        </w:rPr>
        <w:t xml:space="preserve"> </w:t>
      </w:r>
      <w:r>
        <w:rPr>
          <w:rFonts w:ascii="KaiTi_GB2312" w:hint="eastAsia"/>
          <w:color w:val="000000"/>
        </w:rPr>
        <w:t>《东帝汶民主共和国宪法》，第49条。</w:t>
      </w:r>
    </w:p>
  </w:footnote>
  <w:footnote w:id="86">
    <w:p w:rsidR="00692915" w:rsidRDefault="00692915" w:rsidP="009A1C1B">
      <w:pPr>
        <w:pStyle w:val="FootnoteText"/>
        <w:tabs>
          <w:tab w:val="left" w:pos="780"/>
        </w:tabs>
        <w:ind w:firstLine="31680"/>
        <w:rPr>
          <w:rStyle w:val="FootnoteReference"/>
          <w:rFonts w:ascii="KaiTi_GB2312"/>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Style w:val="FootnoteReference"/>
          <w:rFonts w:ascii="KaiTi_GB2312" w:hint="eastAsia"/>
          <w:b/>
          <w:color w:val="000000"/>
          <w:sz w:val="22"/>
        </w:rPr>
        <w:t xml:space="preserve"> </w:t>
      </w:r>
      <w:r>
        <w:rPr>
          <w:rFonts w:ascii="KaiTi_GB2312" w:hint="eastAsia"/>
          <w:color w:val="000000"/>
        </w:rPr>
        <w:t>《东帝汶民主共和国宪法》，第50（1）条。</w:t>
      </w:r>
    </w:p>
  </w:footnote>
  <w:footnote w:id="87">
    <w:p w:rsidR="00692915" w:rsidRDefault="00692915" w:rsidP="009A1C1B">
      <w:pPr>
        <w:pStyle w:val="FootnoteText"/>
        <w:tabs>
          <w:tab w:val="left" w:pos="780"/>
        </w:tabs>
        <w:ind w:firstLine="31680"/>
        <w:rPr>
          <w:rStyle w:val="FootnoteReference"/>
          <w:rFonts w:ascii="KaiTi_GB2312"/>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Style w:val="FootnoteReference"/>
          <w:rFonts w:ascii="KaiTi_GB2312" w:hint="eastAsia"/>
          <w:b/>
          <w:color w:val="000000"/>
          <w:sz w:val="22"/>
        </w:rPr>
        <w:t xml:space="preserve"> </w:t>
      </w:r>
      <w:r>
        <w:rPr>
          <w:rFonts w:ascii="KaiTi_GB2312" w:hint="eastAsia"/>
          <w:color w:val="000000"/>
        </w:rPr>
        <w:t>《东帝汶民主共和国宪法》，第59条。</w:t>
      </w:r>
    </w:p>
  </w:footnote>
  <w:footnote w:id="88">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hint="eastAsia"/>
          <w:b/>
          <w:color w:val="000000"/>
        </w:rPr>
        <w:tab/>
      </w:r>
      <w:r>
        <w:rPr>
          <w:rFonts w:ascii="KaiTi_GB2312" w:hint="eastAsia"/>
          <w:color w:val="000000"/>
        </w:rPr>
        <w:t>2004年5月26日第</w:t>
      </w:r>
      <w:r>
        <w:rPr>
          <w:color w:val="000000"/>
        </w:rPr>
        <w:t>7</w:t>
      </w:r>
      <w:r>
        <w:rPr>
          <w:rFonts w:ascii="KaiTi_GB2312"/>
          <w:color w:val="000000"/>
        </w:rPr>
        <w:t>/2004</w:t>
      </w:r>
      <w:r>
        <w:rPr>
          <w:rFonts w:ascii="KaiTi_GB2312" w:hint="eastAsia"/>
          <w:color w:val="000000"/>
        </w:rPr>
        <w:t>号法律。</w:t>
      </w:r>
    </w:p>
  </w:footnote>
  <w:footnote w:id="89">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hint="eastAsia"/>
          <w:b/>
          <w:color w:val="000000"/>
        </w:rPr>
        <w:tab/>
      </w:r>
      <w:r>
        <w:rPr>
          <w:rFonts w:ascii="KaiTi_GB2312" w:hint="eastAsia"/>
          <w:color w:val="000000"/>
        </w:rPr>
        <w:t>见第13条。</w:t>
      </w:r>
    </w:p>
  </w:footnote>
  <w:footnote w:id="90">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color w:val="000000"/>
        </w:rPr>
        <w:t xml:space="preserve"> </w:t>
      </w:r>
      <w:r>
        <w:rPr>
          <w:rFonts w:hint="eastAsia"/>
          <w:color w:val="000000"/>
        </w:rPr>
        <w:tab/>
      </w:r>
      <w:r>
        <w:rPr>
          <w:rFonts w:ascii="KaiTi_GB2312" w:hint="eastAsia"/>
          <w:color w:val="000000"/>
        </w:rPr>
        <w:t>第</w:t>
      </w:r>
      <w:r>
        <w:rPr>
          <w:rFonts w:ascii="KaiTi_GB2312"/>
          <w:color w:val="000000"/>
        </w:rPr>
        <w:t>7/2004</w:t>
      </w:r>
      <w:r>
        <w:rPr>
          <w:rFonts w:ascii="KaiTi_GB2312" w:hint="eastAsia"/>
          <w:color w:val="000000"/>
        </w:rPr>
        <w:t>号法令。</w:t>
      </w:r>
    </w:p>
  </w:footnote>
  <w:footnote w:id="91">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hint="eastAsia"/>
          <w:b/>
          <w:color w:val="000000"/>
        </w:rPr>
        <w:tab/>
      </w:r>
      <w:r>
        <w:rPr>
          <w:rFonts w:ascii="KaiTi_GB2312" w:hint="eastAsia"/>
          <w:color w:val="000000"/>
        </w:rPr>
        <w:t>东帝汶过渡当局第</w:t>
      </w:r>
      <w:r>
        <w:rPr>
          <w:rFonts w:ascii="KaiTi_GB2312"/>
          <w:color w:val="000000"/>
        </w:rPr>
        <w:t>2001/10</w:t>
      </w:r>
      <w:r>
        <w:rPr>
          <w:rFonts w:ascii="KaiTi_GB2312" w:hint="eastAsia"/>
          <w:color w:val="000000"/>
        </w:rPr>
        <w:t>号条例。</w:t>
      </w:r>
    </w:p>
  </w:footnote>
  <w:footnote w:id="92">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bCs/>
          <w:color w:val="000000"/>
          <w:sz w:val="22"/>
        </w:rPr>
        <w:footnoteRef/>
      </w:r>
      <w:r>
        <w:rPr>
          <w:rFonts w:ascii="KaiTi_GB2312" w:hint="eastAsia"/>
          <w:color w:val="000000"/>
        </w:rPr>
        <w:t xml:space="preserve"> </w:t>
      </w:r>
      <w:r>
        <w:rPr>
          <w:rFonts w:ascii="KaiTi_GB2312" w:hint="eastAsia"/>
          <w:color w:val="000000"/>
        </w:rPr>
        <w:tab/>
        <w:t>见第</w:t>
      </w:r>
      <w:r>
        <w:rPr>
          <w:rFonts w:ascii="KaiTi_GB2312"/>
          <w:color w:val="000000"/>
        </w:rPr>
        <w:t>3/2004</w:t>
      </w:r>
      <w:r>
        <w:rPr>
          <w:rFonts w:ascii="KaiTi_GB2312" w:hint="eastAsia"/>
          <w:color w:val="000000"/>
        </w:rPr>
        <w:t>号法律。</w:t>
      </w:r>
    </w:p>
  </w:footnote>
  <w:footnote w:id="93">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Fonts w:ascii="KaiTi_GB2312"/>
          <w:color w:val="000000"/>
        </w:rPr>
        <w:t xml:space="preserve">  </w:t>
      </w:r>
      <w:r>
        <w:rPr>
          <w:rFonts w:ascii="KaiTi_GB2312" w:hint="eastAsia"/>
          <w:color w:val="000000"/>
        </w:rPr>
        <w:t>见《东帝汶民主共和国宪法》，第</w:t>
      </w:r>
      <w:r>
        <w:rPr>
          <w:rFonts w:ascii="KaiTi_GB2312"/>
          <w:color w:val="000000"/>
        </w:rPr>
        <w:t>46</w:t>
      </w:r>
      <w:r>
        <w:rPr>
          <w:rFonts w:ascii="KaiTi_GB2312" w:hint="eastAsia"/>
          <w:color w:val="000000"/>
        </w:rPr>
        <w:t>-</w:t>
      </w:r>
      <w:r>
        <w:rPr>
          <w:rFonts w:ascii="KaiTi_GB2312"/>
          <w:color w:val="000000"/>
        </w:rPr>
        <w:t>47</w:t>
      </w:r>
      <w:r>
        <w:rPr>
          <w:rFonts w:ascii="KaiTi_GB2312" w:hint="eastAsia"/>
          <w:color w:val="000000"/>
        </w:rPr>
        <w:t>条和第</w:t>
      </w:r>
      <w:r>
        <w:rPr>
          <w:rFonts w:ascii="KaiTi_GB2312"/>
          <w:color w:val="000000"/>
        </w:rPr>
        <w:t xml:space="preserve"> 63</w:t>
      </w:r>
      <w:r>
        <w:rPr>
          <w:rFonts w:ascii="KaiTi_GB2312" w:hint="eastAsia"/>
          <w:color w:val="000000"/>
        </w:rPr>
        <w:t>条。</w:t>
      </w:r>
    </w:p>
  </w:footnote>
  <w:footnote w:id="94">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bCs/>
          <w:color w:val="000000"/>
          <w:sz w:val="22"/>
        </w:rPr>
        <w:footnoteRef/>
      </w:r>
      <w:r>
        <w:rPr>
          <w:rFonts w:ascii="KaiTi_GB2312"/>
          <w:color w:val="000000"/>
        </w:rPr>
        <w:t xml:space="preserve">  </w:t>
      </w:r>
      <w:r>
        <w:rPr>
          <w:rFonts w:ascii="KaiTi_GB2312" w:hint="eastAsia"/>
          <w:color w:val="000000"/>
        </w:rPr>
        <w:t>见《东帝汶民主共和国宪法》，第30条和第44条。</w:t>
      </w:r>
    </w:p>
  </w:footnote>
  <w:footnote w:id="95">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hint="eastAsia"/>
          <w:b/>
          <w:color w:val="000000"/>
        </w:rPr>
        <w:tab/>
      </w:r>
      <w:r>
        <w:rPr>
          <w:rFonts w:ascii="KaiTi_GB2312" w:hint="eastAsia"/>
          <w:color w:val="000000"/>
        </w:rPr>
        <w:t>《东帝汶民主共和国宪法》，第</w:t>
      </w:r>
      <w:r>
        <w:rPr>
          <w:rFonts w:ascii="KaiTi_GB2312"/>
          <w:color w:val="000000"/>
        </w:rPr>
        <w:t>85（g）</w:t>
      </w:r>
      <w:r>
        <w:rPr>
          <w:rFonts w:ascii="KaiTi_GB2312" w:hint="eastAsia"/>
          <w:color w:val="000000"/>
        </w:rPr>
        <w:t>条。</w:t>
      </w:r>
    </w:p>
  </w:footnote>
  <w:footnote w:id="96">
    <w:p w:rsidR="00692915" w:rsidRDefault="00692915" w:rsidP="009A1C1B">
      <w:pPr>
        <w:pStyle w:val="FootnoteText"/>
        <w:tabs>
          <w:tab w:val="left" w:pos="780"/>
        </w:tabs>
        <w:ind w:firstLine="31680"/>
        <w:rPr>
          <w:rFonts w:hint="eastAsia"/>
          <w:color w:val="000000"/>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hint="eastAsia"/>
          <w:b/>
          <w:color w:val="000000"/>
        </w:rPr>
        <w:tab/>
      </w:r>
      <w:r>
        <w:rPr>
          <w:rFonts w:ascii="KaiTi_GB2312" w:hint="eastAsia"/>
          <w:color w:val="000000"/>
        </w:rPr>
        <w:t>《</w:t>
      </w:r>
      <w:r>
        <w:rPr>
          <w:color w:val="000000"/>
        </w:rPr>
        <w:t>东帝汶民主共和国宪法</w:t>
      </w:r>
      <w:r>
        <w:rPr>
          <w:rFonts w:ascii="KaiTi_GB2312" w:hint="eastAsia"/>
          <w:color w:val="000000"/>
        </w:rPr>
        <w:t>》，第</w:t>
      </w:r>
      <w:r>
        <w:rPr>
          <w:rFonts w:ascii="KaiTi_GB2312"/>
          <w:color w:val="000000"/>
        </w:rPr>
        <w:t>25（5）</w:t>
      </w:r>
      <w:r>
        <w:rPr>
          <w:rFonts w:hint="eastAsia"/>
          <w:color w:val="000000"/>
        </w:rPr>
        <w:t>条。</w:t>
      </w:r>
    </w:p>
  </w:footnote>
  <w:footnote w:id="97">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Style w:val="FootnoteReference"/>
          <w:rFonts w:ascii="KaiTi_GB2312" w:hint="eastAsia"/>
          <w:b/>
          <w:color w:val="000000"/>
          <w:sz w:val="22"/>
        </w:rPr>
        <w:t xml:space="preserve"> </w:t>
      </w:r>
      <w:r>
        <w:rPr>
          <w:rFonts w:ascii="KaiTi_GB2312" w:hint="eastAsia"/>
          <w:color w:val="000000"/>
        </w:rPr>
        <w:t>第</w:t>
      </w:r>
      <w:r>
        <w:rPr>
          <w:rFonts w:ascii="KaiTi_GB2312"/>
          <w:color w:val="000000"/>
        </w:rPr>
        <w:t>126（a）</w:t>
      </w:r>
      <w:r>
        <w:rPr>
          <w:rFonts w:ascii="KaiTi_GB2312" w:hint="eastAsia"/>
          <w:color w:val="000000"/>
        </w:rPr>
        <w:t>条规定：“最高法院有义务对法律和宪法事务进行审查，并确定国家机关的规范性行为和立法行为是否违宪或违反了法律规定。”</w:t>
      </w:r>
    </w:p>
  </w:footnote>
  <w:footnote w:id="98">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bCs/>
          <w:color w:val="000000"/>
          <w:sz w:val="22"/>
        </w:rPr>
        <w:footnoteRef/>
      </w:r>
      <w:r>
        <w:rPr>
          <w:rFonts w:ascii="KaiTi_GB2312" w:hint="eastAsia"/>
          <w:color w:val="000000"/>
        </w:rPr>
        <w:t xml:space="preserve"> </w:t>
      </w:r>
      <w:r>
        <w:rPr>
          <w:rFonts w:ascii="KaiTi_GB2312" w:hint="eastAsia"/>
          <w:color w:val="000000"/>
        </w:rPr>
        <w:tab/>
        <w:t>见《</w:t>
      </w:r>
      <w:r>
        <w:rPr>
          <w:color w:val="000000"/>
        </w:rPr>
        <w:t>东帝汶民主共和国宪法</w:t>
      </w:r>
      <w:r>
        <w:rPr>
          <w:rFonts w:ascii="KaiTi_GB2312" w:hint="eastAsia"/>
          <w:color w:val="000000"/>
        </w:rPr>
        <w:t>》，第126条。</w:t>
      </w:r>
    </w:p>
  </w:footnote>
  <w:footnote w:id="99">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hint="eastAsia"/>
          <w:b/>
          <w:color w:val="000000"/>
        </w:rPr>
        <w:tab/>
      </w:r>
      <w:r>
        <w:rPr>
          <w:rFonts w:ascii="KaiTi_GB2312" w:hint="eastAsia"/>
          <w:color w:val="000000"/>
        </w:rPr>
        <w:t>2004年5月26日，第</w:t>
      </w:r>
      <w:r>
        <w:rPr>
          <w:rFonts w:ascii="KaiTi_GB2312"/>
          <w:color w:val="000000"/>
        </w:rPr>
        <w:t> </w:t>
      </w:r>
      <w:r>
        <w:rPr>
          <w:rFonts w:ascii="KaiTi_GB2312"/>
          <w:color w:val="000000"/>
        </w:rPr>
        <w:t>7/2004</w:t>
      </w:r>
      <w:r>
        <w:rPr>
          <w:rFonts w:ascii="KaiTi_GB2312" w:hint="eastAsia"/>
          <w:color w:val="000000"/>
        </w:rPr>
        <w:t>号法律《人权与正义监察员办公室条例》第5条。</w:t>
      </w:r>
    </w:p>
  </w:footnote>
  <w:footnote w:id="100">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hint="eastAsia"/>
          <w:color w:val="000000"/>
        </w:rPr>
        <w:t>《</w:t>
      </w:r>
      <w:r>
        <w:rPr>
          <w:rFonts w:ascii="KaiTi_GB2312"/>
          <w:color w:val="000000"/>
        </w:rPr>
        <w:t>东帝汶</w:t>
      </w:r>
      <w:r>
        <w:rPr>
          <w:color w:val="000000"/>
        </w:rPr>
        <w:t>民主共和国宪法</w:t>
      </w:r>
      <w:r>
        <w:rPr>
          <w:rFonts w:ascii="KaiTi_GB2312" w:hint="eastAsia"/>
          <w:color w:val="000000"/>
        </w:rPr>
        <w:t>》，</w:t>
      </w:r>
      <w:r>
        <w:rPr>
          <w:rFonts w:hint="eastAsia"/>
          <w:color w:val="000000"/>
        </w:rPr>
        <w:t>第</w:t>
      </w:r>
      <w:r>
        <w:rPr>
          <w:rFonts w:ascii="KaiTi_GB2312" w:hint="eastAsia"/>
          <w:color w:val="000000"/>
        </w:rPr>
        <w:t>151条。</w:t>
      </w:r>
    </w:p>
  </w:footnote>
  <w:footnote w:id="101">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hint="eastAsia"/>
          <w:b/>
          <w:color w:val="000000"/>
        </w:rPr>
        <w:tab/>
      </w:r>
      <w:r>
        <w:rPr>
          <w:rFonts w:ascii="KaiTi_GB2312" w:hint="eastAsia"/>
          <w:color w:val="000000"/>
        </w:rPr>
        <w:t>2004年5月26日，第</w:t>
      </w:r>
      <w:r>
        <w:rPr>
          <w:rFonts w:ascii="KaiTi_GB2312"/>
          <w:color w:val="000000"/>
        </w:rPr>
        <w:t>7/2004</w:t>
      </w:r>
      <w:r>
        <w:rPr>
          <w:rFonts w:ascii="KaiTi_GB2312" w:hint="eastAsia"/>
          <w:color w:val="000000"/>
        </w:rPr>
        <w:t>号法律，第27条。</w:t>
      </w:r>
    </w:p>
  </w:footnote>
  <w:footnote w:id="102">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hint="eastAsia"/>
          <w:b/>
          <w:color w:val="000000"/>
        </w:rPr>
        <w:tab/>
      </w:r>
      <w:r>
        <w:rPr>
          <w:rFonts w:ascii="KaiTi_GB2312" w:hint="eastAsia"/>
          <w:color w:val="000000"/>
        </w:rPr>
        <w:t>2004年5月26日，第</w:t>
      </w:r>
      <w:r>
        <w:rPr>
          <w:rFonts w:ascii="KaiTi_GB2312"/>
          <w:color w:val="000000"/>
        </w:rPr>
        <w:t>7/2004</w:t>
      </w:r>
      <w:r>
        <w:rPr>
          <w:rFonts w:ascii="KaiTi_GB2312" w:hint="eastAsia"/>
          <w:color w:val="000000"/>
        </w:rPr>
        <w:t>号法律《人权与正义监察</w:t>
      </w:r>
      <w:r>
        <w:rPr>
          <w:rFonts w:ascii="KaiTi_GB2312" w:hint="eastAsia"/>
          <w:bCs/>
          <w:color w:val="000000"/>
        </w:rPr>
        <w:t>员办公</w:t>
      </w:r>
      <w:r>
        <w:rPr>
          <w:rFonts w:ascii="KaiTi_GB2312" w:hint="eastAsia"/>
          <w:color w:val="000000"/>
        </w:rPr>
        <w:t>室条例》第27（3）条。</w:t>
      </w:r>
    </w:p>
  </w:footnote>
  <w:footnote w:id="103">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bCs/>
          <w:color w:val="000000"/>
          <w:sz w:val="22"/>
        </w:rPr>
        <w:footnoteRef/>
      </w:r>
      <w:r>
        <w:rPr>
          <w:rFonts w:ascii="KaiTi_GB2312"/>
          <w:color w:val="000000"/>
        </w:rPr>
        <w:t xml:space="preserve">  </w:t>
      </w:r>
      <w:r>
        <w:rPr>
          <w:rFonts w:hint="eastAsia"/>
          <w:color w:val="000000"/>
        </w:rPr>
        <w:t>《</w:t>
      </w:r>
      <w:r>
        <w:rPr>
          <w:color w:val="000000"/>
        </w:rPr>
        <w:t>东帝汶民主共和国宪法</w:t>
      </w:r>
      <w:r>
        <w:rPr>
          <w:rFonts w:ascii="KaiTi_GB2312" w:hint="eastAsia"/>
          <w:color w:val="000000"/>
        </w:rPr>
        <w:t>》，第126条。</w:t>
      </w:r>
    </w:p>
  </w:footnote>
  <w:footnote w:id="104">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hint="eastAsia"/>
          <w:color w:val="000000"/>
        </w:rPr>
        <w:t>《东帝汶：权力、正义与平等部门投资方案》，2005年4月，第18页。</w:t>
      </w:r>
    </w:p>
  </w:footnote>
  <w:footnote w:id="105">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bCs/>
          <w:color w:val="000000"/>
          <w:sz w:val="22"/>
        </w:rPr>
        <w:footnoteRef/>
      </w:r>
      <w:r>
        <w:rPr>
          <w:rFonts w:ascii="KaiTi_GB2312"/>
          <w:color w:val="000000"/>
        </w:rPr>
        <w:t xml:space="preserve">  </w:t>
      </w:r>
      <w:r>
        <w:rPr>
          <w:rFonts w:ascii="KaiTi_GB2312" w:hint="eastAsia"/>
          <w:color w:val="000000"/>
        </w:rPr>
        <w:t>提交总理的活动报告（2005年，上半年）。</w:t>
      </w:r>
    </w:p>
  </w:footnote>
  <w:footnote w:id="106">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bCs/>
          <w:color w:val="000000"/>
          <w:sz w:val="22"/>
        </w:rPr>
        <w:footnoteRef/>
      </w:r>
      <w:r>
        <w:rPr>
          <w:rFonts w:ascii="KaiTi_GB2312"/>
          <w:color w:val="000000"/>
        </w:rPr>
        <w:t xml:space="preserve">  </w:t>
      </w:r>
      <w:r>
        <w:rPr>
          <w:rFonts w:ascii="KaiTi_GB2312" w:hint="eastAsia"/>
          <w:color w:val="000000"/>
        </w:rPr>
        <w:t xml:space="preserve">提交瑞士政府的有关2005年联络官员情况的报告。 </w:t>
      </w:r>
    </w:p>
  </w:footnote>
  <w:footnote w:id="107">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bCs/>
          <w:color w:val="000000"/>
          <w:sz w:val="22"/>
        </w:rPr>
        <w:footnoteRef/>
      </w:r>
      <w:r>
        <w:rPr>
          <w:rFonts w:ascii="KaiTi_GB2312"/>
          <w:color w:val="000000"/>
        </w:rPr>
        <w:t xml:space="preserve">  </w:t>
      </w:r>
      <w:r>
        <w:rPr>
          <w:rFonts w:ascii="KaiTi_GB2312" w:hint="eastAsia"/>
          <w:color w:val="000000"/>
        </w:rPr>
        <w:t>《</w:t>
      </w:r>
      <w:r>
        <w:rPr>
          <w:rFonts w:ascii="KaiTi_GB2312" w:hint="eastAsia"/>
          <w:color w:val="000000"/>
          <w:szCs w:val="22"/>
        </w:rPr>
        <w:t>关于重建第一个宪法政府的第</w:t>
      </w:r>
      <w:r>
        <w:rPr>
          <w:rFonts w:ascii="KaiTi_GB2312"/>
          <w:color w:val="000000"/>
          <w:szCs w:val="22"/>
        </w:rPr>
        <w:t>3/2005</w:t>
      </w:r>
      <w:r>
        <w:rPr>
          <w:rFonts w:ascii="KaiTi_GB2312" w:hint="eastAsia"/>
          <w:color w:val="000000"/>
          <w:szCs w:val="22"/>
        </w:rPr>
        <w:t>号法令》，第8条。</w:t>
      </w:r>
    </w:p>
  </w:footnote>
  <w:footnote w:id="108">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Fonts w:ascii="KaiTi_GB2312" w:hint="eastAsia"/>
          <w:color w:val="000000"/>
        </w:rPr>
        <w:t xml:space="preserve"> </w:t>
      </w:r>
      <w:r>
        <w:rPr>
          <w:rFonts w:ascii="KaiTi_GB2312" w:hint="eastAsia"/>
          <w:color w:val="000000"/>
        </w:rPr>
        <w:tab/>
        <w:t>《</w:t>
      </w:r>
      <w:r>
        <w:rPr>
          <w:rFonts w:ascii="KaiTi_GB2312" w:hint="eastAsia"/>
          <w:color w:val="000000"/>
          <w:szCs w:val="22"/>
        </w:rPr>
        <w:t>关于重建第一个宪政府的第</w:t>
      </w:r>
      <w:r>
        <w:rPr>
          <w:rFonts w:ascii="KaiTi_GB2312"/>
          <w:color w:val="000000"/>
          <w:szCs w:val="22"/>
        </w:rPr>
        <w:t>3/2005</w:t>
      </w:r>
      <w:r>
        <w:rPr>
          <w:rFonts w:ascii="KaiTi_GB2312" w:hint="eastAsia"/>
          <w:color w:val="000000"/>
          <w:szCs w:val="22"/>
        </w:rPr>
        <w:t>号法令》第25（1）（b）和（e）条。</w:t>
      </w:r>
    </w:p>
  </w:footnote>
  <w:footnote w:id="109">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Style w:val="FootnoteReference"/>
          <w:rFonts w:ascii="KaiTi_GB2312" w:hint="eastAsia"/>
          <w:b/>
          <w:color w:val="000000"/>
          <w:sz w:val="22"/>
        </w:rPr>
        <w:t xml:space="preserve"> </w:t>
      </w:r>
      <w:r>
        <w:rPr>
          <w:rFonts w:ascii="KaiTi_GB2312" w:hint="eastAsia"/>
          <w:b/>
          <w:color w:val="000000"/>
        </w:rPr>
        <w:tab/>
      </w:r>
      <w:r>
        <w:rPr>
          <w:rFonts w:ascii="KaiTi_GB2312" w:hint="eastAsia"/>
          <w:bCs/>
          <w:color w:val="000000"/>
        </w:rPr>
        <w:t>《</w:t>
      </w:r>
      <w:r>
        <w:rPr>
          <w:rFonts w:ascii="KaiTi_GB2312" w:hint="eastAsia"/>
          <w:color w:val="000000"/>
        </w:rPr>
        <w:t>关于卫生部组织结构的</w:t>
      </w:r>
      <w:r>
        <w:rPr>
          <w:rFonts w:ascii="KaiTi_GB2312" w:hint="eastAsia"/>
          <w:color w:val="000000"/>
          <w:szCs w:val="22"/>
        </w:rPr>
        <w:t>第</w:t>
      </w:r>
      <w:r>
        <w:rPr>
          <w:rFonts w:ascii="KaiTi_GB2312"/>
          <w:color w:val="000000"/>
          <w:szCs w:val="22"/>
        </w:rPr>
        <w:t>5/2003</w:t>
      </w:r>
      <w:r>
        <w:rPr>
          <w:rFonts w:ascii="KaiTi_GB2312" w:hint="eastAsia"/>
          <w:color w:val="000000"/>
          <w:szCs w:val="22"/>
        </w:rPr>
        <w:t>号</w:t>
      </w:r>
      <w:r>
        <w:rPr>
          <w:rFonts w:hint="eastAsia"/>
          <w:color w:val="000000"/>
          <w:szCs w:val="22"/>
        </w:rPr>
        <w:t>法令》，</w:t>
      </w:r>
      <w:r>
        <w:rPr>
          <w:rFonts w:ascii="KaiTi_GB2312" w:hint="eastAsia"/>
          <w:color w:val="000000"/>
          <w:szCs w:val="22"/>
        </w:rPr>
        <w:t>第2条</w:t>
      </w:r>
      <w:r>
        <w:rPr>
          <w:rFonts w:ascii="KaiTi_GB2312" w:hint="eastAsia"/>
          <w:color w:val="000000"/>
        </w:rPr>
        <w:t>。</w:t>
      </w:r>
    </w:p>
  </w:footnote>
  <w:footnote w:id="110">
    <w:p w:rsidR="00692915" w:rsidRDefault="00692915" w:rsidP="009A1C1B">
      <w:pPr>
        <w:pStyle w:val="FootnoteText"/>
        <w:tabs>
          <w:tab w:val="left" w:pos="780"/>
        </w:tabs>
        <w:ind w:firstLine="31680"/>
        <w:rPr>
          <w:rStyle w:val="FootnoteReference"/>
          <w:rFonts w:ascii="KaiTi_GB2312"/>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b/>
          <w:color w:val="000000"/>
        </w:rPr>
        <w:tab/>
      </w:r>
      <w:r>
        <w:rPr>
          <w:rFonts w:ascii="KaiTi_GB2312" w:hint="eastAsia"/>
          <w:bCs/>
          <w:color w:val="000000"/>
        </w:rPr>
        <w:t>《</w:t>
      </w:r>
      <w:r>
        <w:rPr>
          <w:rFonts w:ascii="KaiTi_GB2312" w:hint="eastAsia"/>
          <w:color w:val="000000"/>
        </w:rPr>
        <w:t>关于司法部组织结构的第</w:t>
      </w:r>
      <w:r>
        <w:rPr>
          <w:rFonts w:ascii="KaiTi_GB2312"/>
          <w:color w:val="000000"/>
        </w:rPr>
        <w:t>3/2003</w:t>
      </w:r>
      <w:r>
        <w:rPr>
          <w:rFonts w:ascii="KaiTi_GB2312" w:hint="eastAsia"/>
          <w:color w:val="000000"/>
        </w:rPr>
        <w:t>号法</w:t>
      </w:r>
      <w:r>
        <w:rPr>
          <w:rFonts w:hint="eastAsia"/>
          <w:color w:val="000000"/>
        </w:rPr>
        <w:t>令》，</w:t>
      </w:r>
      <w:r>
        <w:rPr>
          <w:rFonts w:ascii="KaiTi_GB2312" w:hint="eastAsia"/>
          <w:color w:val="000000"/>
        </w:rPr>
        <w:t>第2（1）（c）条。</w:t>
      </w:r>
    </w:p>
  </w:footnote>
  <w:footnote w:id="111">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Fonts w:ascii="KaiTi_GB2312" w:hint="eastAsia"/>
          <w:color w:val="000000"/>
        </w:rPr>
        <w:t xml:space="preserve"> </w:t>
      </w:r>
      <w:r>
        <w:rPr>
          <w:rFonts w:ascii="KaiTi_GB2312"/>
          <w:color w:val="000000"/>
        </w:rPr>
        <w:tab/>
      </w:r>
      <w:r>
        <w:rPr>
          <w:rFonts w:ascii="KaiTi_GB2312" w:hint="eastAsia"/>
          <w:color w:val="000000"/>
        </w:rPr>
        <w:t>第</w:t>
      </w:r>
      <w:r>
        <w:rPr>
          <w:color w:val="000000"/>
        </w:rPr>
        <w:t xml:space="preserve"> </w:t>
      </w:r>
      <w:r>
        <w:rPr>
          <w:rFonts w:ascii="KaiTi_GB2312"/>
          <w:color w:val="000000"/>
        </w:rPr>
        <w:t>3/2005</w:t>
      </w:r>
      <w:r>
        <w:rPr>
          <w:rFonts w:ascii="KaiTi_GB2312" w:hint="eastAsia"/>
          <w:color w:val="000000"/>
        </w:rPr>
        <w:t>号</w:t>
      </w:r>
      <w:r>
        <w:rPr>
          <w:rFonts w:hint="eastAsia"/>
          <w:color w:val="000000"/>
        </w:rPr>
        <w:t>法令</w:t>
      </w:r>
      <w:r>
        <w:rPr>
          <w:rFonts w:ascii="KaiTi_GB2312" w:hint="eastAsia"/>
          <w:color w:val="000000"/>
        </w:rPr>
        <w:t>第27（1）（d）条。</w:t>
      </w:r>
    </w:p>
  </w:footnote>
  <w:footnote w:id="112">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b/>
          <w:color w:val="000000"/>
        </w:rPr>
        <w:tab/>
      </w:r>
      <w:r>
        <w:rPr>
          <w:rFonts w:ascii="KaiTi_GB2312" w:hint="eastAsia"/>
          <w:bCs/>
          <w:color w:val="000000"/>
        </w:rPr>
        <w:t>《</w:t>
      </w:r>
      <w:r>
        <w:rPr>
          <w:rFonts w:ascii="KaiTi_GB2312" w:hint="eastAsia"/>
          <w:color w:val="000000"/>
        </w:rPr>
        <w:t>关于司法部组织结构的第</w:t>
      </w:r>
      <w:r>
        <w:rPr>
          <w:rFonts w:ascii="KaiTi_GB2312"/>
          <w:color w:val="000000"/>
        </w:rPr>
        <w:t>3/2003</w:t>
      </w:r>
      <w:r>
        <w:rPr>
          <w:rFonts w:hint="eastAsia"/>
          <w:color w:val="000000"/>
        </w:rPr>
        <w:t>号</w:t>
      </w:r>
      <w:r>
        <w:rPr>
          <w:rFonts w:ascii="KaiTi_GB2312" w:hint="eastAsia"/>
          <w:color w:val="000000"/>
        </w:rPr>
        <w:t>法令》，第2（1）（g）条。</w:t>
      </w:r>
    </w:p>
  </w:footnote>
  <w:footnote w:id="113">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color w:val="000000"/>
        </w:rPr>
        <w:t xml:space="preserve"> </w:t>
      </w:r>
      <w:r>
        <w:rPr>
          <w:color w:val="000000"/>
        </w:rPr>
        <w:tab/>
      </w:r>
      <w:r>
        <w:rPr>
          <w:rFonts w:ascii="KaiTi_GB2312" w:hint="eastAsia"/>
          <w:color w:val="000000"/>
        </w:rPr>
        <w:t>L.卡特丽亚，《</w:t>
      </w:r>
      <w:r>
        <w:rPr>
          <w:rFonts w:hint="eastAsia"/>
          <w:color w:val="000000"/>
        </w:rPr>
        <w:t>性别</w:t>
      </w:r>
      <w:r>
        <w:rPr>
          <w:rFonts w:ascii="KaiTi_GB2312" w:hint="eastAsia"/>
          <w:color w:val="000000"/>
        </w:rPr>
        <w:t>平等》：对国家战略与计划第一阶段报告：</w:t>
      </w:r>
      <w:r>
        <w:rPr>
          <w:rFonts w:ascii="KaiTi_GB2312"/>
          <w:color w:val="000000"/>
        </w:rPr>
        <w:t>2005/2006</w:t>
      </w:r>
      <w:r>
        <w:rPr>
          <w:rFonts w:ascii="KaiTi_GB2312" w:hint="eastAsia"/>
          <w:color w:val="000000"/>
        </w:rPr>
        <w:t>财政年度上半年的贡献。</w:t>
      </w:r>
    </w:p>
  </w:footnote>
  <w:footnote w:id="114">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b/>
          <w:color w:val="000000"/>
        </w:rPr>
        <w:tab/>
      </w:r>
      <w:r>
        <w:rPr>
          <w:rFonts w:hint="eastAsia"/>
          <w:color w:val="000000"/>
        </w:rPr>
        <w:t>同上。</w:t>
      </w:r>
    </w:p>
  </w:footnote>
  <w:footnote w:id="115">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color w:val="000000"/>
        </w:rPr>
        <w:t xml:space="preserve"> </w:t>
      </w:r>
      <w:r>
        <w:rPr>
          <w:rFonts w:ascii="KaiTi_GB2312" w:hint="eastAsia"/>
          <w:color w:val="000000"/>
        </w:rPr>
        <w:t>L.卡特丽亚，《性别平等》：对国家战略与计划第一阶段报告：</w:t>
      </w:r>
      <w:r>
        <w:rPr>
          <w:rFonts w:ascii="KaiTi_GB2312"/>
          <w:color w:val="000000"/>
        </w:rPr>
        <w:t>2005/2006</w:t>
      </w:r>
      <w:r>
        <w:rPr>
          <w:rFonts w:ascii="KaiTi_GB2312" w:hint="eastAsia"/>
          <w:color w:val="000000"/>
        </w:rPr>
        <w:t>财政年度上半年的贡献。</w:t>
      </w:r>
    </w:p>
  </w:footnote>
  <w:footnote w:id="116">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Fonts w:ascii="KaiTi_GB2312"/>
          <w:color w:val="000000"/>
        </w:rPr>
        <w:t xml:space="preserve"> </w:t>
      </w:r>
      <w:r>
        <w:rPr>
          <w:rStyle w:val="FootnoteReference"/>
          <w:rFonts w:ascii="KaiTi_GB2312"/>
          <w:b/>
          <w:color w:val="000000"/>
          <w:sz w:val="22"/>
        </w:rPr>
        <w:t xml:space="preserve"> </w:t>
      </w:r>
      <w:r>
        <w:rPr>
          <w:rFonts w:ascii="KaiTi_GB2312" w:hint="eastAsia"/>
          <w:color w:val="000000"/>
        </w:rPr>
        <w:t>2005年10月，由劳动与社会安置部提供的信息。</w:t>
      </w:r>
    </w:p>
  </w:footnote>
  <w:footnote w:id="117">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b/>
          <w:color w:val="000000"/>
        </w:rPr>
        <w:tab/>
      </w:r>
      <w:r>
        <w:rPr>
          <w:rFonts w:ascii="KaiTi_GB2312" w:hint="eastAsia"/>
          <w:color w:val="000000"/>
        </w:rPr>
        <w:t>人口卫生调查（2004年）与多指标类集调查（2002年）。</w:t>
      </w:r>
    </w:p>
  </w:footnote>
  <w:footnote w:id="118">
    <w:p w:rsidR="00692915" w:rsidRDefault="00692915" w:rsidP="009A1C1B">
      <w:pPr>
        <w:pStyle w:val="FootnoteText"/>
        <w:tabs>
          <w:tab w:val="left" w:pos="780"/>
        </w:tabs>
        <w:ind w:firstLine="31680"/>
        <w:rPr>
          <w:rStyle w:val="FootnoteReference"/>
          <w:rFonts w:ascii="KaiTi_GB2312" w:hint="eastAsia"/>
          <w:b/>
          <w:iCs/>
          <w:color w:val="000000"/>
          <w:sz w:val="22"/>
          <w:szCs w:val="22"/>
        </w:rPr>
      </w:pPr>
      <w:r>
        <w:rPr>
          <w:rStyle w:val="FootnoteReference"/>
          <w:rFonts w:ascii="KaiTi_GB2312"/>
          <w:bCs/>
          <w:color w:val="000000"/>
          <w:sz w:val="22"/>
          <w:szCs w:val="22"/>
        </w:rPr>
        <w:footnoteRef/>
      </w:r>
      <w:r>
        <w:rPr>
          <w:rFonts w:ascii="KaiTi_GB2312" w:hint="eastAsia"/>
          <w:iCs/>
          <w:color w:val="000000"/>
          <w:szCs w:val="22"/>
        </w:rPr>
        <w:t xml:space="preserve"> 《关于内政部组织法</w:t>
      </w:r>
      <w:r>
        <w:rPr>
          <w:rFonts w:ascii="KaiTi_GB2312" w:hint="eastAsia"/>
          <w:color w:val="000000"/>
        </w:rPr>
        <w:t>的第</w:t>
      </w:r>
      <w:r>
        <w:rPr>
          <w:rFonts w:ascii="KaiTi_GB2312"/>
          <w:color w:val="000000"/>
        </w:rPr>
        <w:t>3/2004</w:t>
      </w:r>
      <w:r>
        <w:rPr>
          <w:rFonts w:ascii="KaiTi_GB2312" w:hint="eastAsia"/>
          <w:color w:val="000000"/>
        </w:rPr>
        <w:t>号法</w:t>
      </w:r>
      <w:r>
        <w:rPr>
          <w:rFonts w:ascii="KaiTi_GB2312" w:hint="eastAsia"/>
          <w:iCs/>
          <w:color w:val="000000"/>
          <w:szCs w:val="22"/>
        </w:rPr>
        <w:t>律》，第13条。</w:t>
      </w:r>
    </w:p>
  </w:footnote>
  <w:footnote w:id="119">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bCs/>
          <w:iCs/>
          <w:color w:val="000000"/>
          <w:sz w:val="22"/>
          <w:szCs w:val="22"/>
        </w:rPr>
        <w:footnoteRef/>
      </w:r>
      <w:r>
        <w:rPr>
          <w:rStyle w:val="FootnoteReference"/>
          <w:rFonts w:ascii="KaiTi_GB2312"/>
          <w:b/>
          <w:iCs/>
          <w:color w:val="000000"/>
          <w:sz w:val="22"/>
          <w:szCs w:val="22"/>
        </w:rPr>
        <w:t xml:space="preserve">  </w:t>
      </w:r>
      <w:r>
        <w:rPr>
          <w:rFonts w:ascii="KaiTi_GB2312" w:hint="eastAsia"/>
          <w:b/>
          <w:iCs/>
          <w:color w:val="000000"/>
          <w:szCs w:val="22"/>
        </w:rPr>
        <w:tab/>
      </w:r>
      <w:r>
        <w:rPr>
          <w:rFonts w:ascii="KaiTi_GB2312" w:hint="eastAsia"/>
          <w:iCs/>
          <w:color w:val="000000"/>
          <w:szCs w:val="22"/>
        </w:rPr>
        <w:t>《关于内政部组织法的第</w:t>
      </w:r>
      <w:r>
        <w:rPr>
          <w:rFonts w:ascii="KaiTi_GB2312"/>
          <w:iCs/>
          <w:color w:val="000000"/>
          <w:szCs w:val="22"/>
        </w:rPr>
        <w:t>3/2004</w:t>
      </w:r>
      <w:r>
        <w:rPr>
          <w:rFonts w:ascii="KaiTi_GB2312" w:hint="eastAsia"/>
          <w:iCs/>
          <w:color w:val="000000"/>
          <w:szCs w:val="22"/>
        </w:rPr>
        <w:t>号法律》，第11条。</w:t>
      </w:r>
    </w:p>
  </w:footnote>
  <w:footnote w:id="120">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hint="eastAsia"/>
          <w:b/>
          <w:color w:val="000000"/>
        </w:rPr>
        <w:tab/>
      </w:r>
      <w:r>
        <w:rPr>
          <w:rFonts w:ascii="KaiTi_GB2312" w:hint="eastAsia"/>
          <w:color w:val="000000"/>
        </w:rPr>
        <w:t>见</w:t>
      </w:r>
      <w:r>
        <w:rPr>
          <w:rFonts w:ascii="KaiTi_GB2312" w:hint="eastAsia"/>
          <w:iCs/>
          <w:color w:val="000000"/>
          <w:szCs w:val="22"/>
        </w:rPr>
        <w:t>《</w:t>
      </w:r>
      <w:r>
        <w:rPr>
          <w:iCs/>
          <w:color w:val="000000"/>
          <w:szCs w:val="22"/>
        </w:rPr>
        <w:t>东</w:t>
      </w:r>
      <w:r>
        <w:rPr>
          <w:rFonts w:ascii="KaiTi_GB2312"/>
          <w:iCs/>
          <w:color w:val="000000"/>
          <w:szCs w:val="22"/>
        </w:rPr>
        <w:t>帝汶民主共和国宪法</w:t>
      </w:r>
      <w:r>
        <w:rPr>
          <w:rFonts w:ascii="KaiTi_GB2312" w:hint="eastAsia"/>
          <w:iCs/>
          <w:color w:val="000000"/>
          <w:szCs w:val="22"/>
        </w:rPr>
        <w:t>》，第95（2）（</w:t>
      </w:r>
      <w:r>
        <w:rPr>
          <w:rFonts w:ascii="KaiTi_GB2312"/>
          <w:iCs/>
          <w:color w:val="000000"/>
          <w:szCs w:val="22"/>
        </w:rPr>
        <w:t>l</w:t>
      </w:r>
      <w:r>
        <w:rPr>
          <w:rFonts w:ascii="KaiTi_GB2312" w:hint="eastAsia"/>
          <w:iCs/>
          <w:color w:val="000000"/>
          <w:szCs w:val="22"/>
        </w:rPr>
        <w:t>）（</w:t>
      </w:r>
      <w:r>
        <w:rPr>
          <w:rFonts w:ascii="KaiTi_GB2312"/>
          <w:iCs/>
          <w:color w:val="000000"/>
          <w:szCs w:val="22"/>
        </w:rPr>
        <w:t>m</w:t>
      </w:r>
      <w:r>
        <w:rPr>
          <w:rFonts w:ascii="KaiTi_GB2312" w:hint="eastAsia"/>
          <w:iCs/>
          <w:color w:val="000000"/>
          <w:szCs w:val="22"/>
        </w:rPr>
        <w:t>）</w:t>
      </w:r>
      <w:r>
        <w:rPr>
          <w:rFonts w:ascii="KaiTi_GB2312" w:hint="eastAsia"/>
          <w:color w:val="000000"/>
        </w:rPr>
        <w:t>条。</w:t>
      </w:r>
    </w:p>
  </w:footnote>
  <w:footnote w:id="121">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hint="eastAsia"/>
          <w:b/>
          <w:color w:val="000000"/>
        </w:rPr>
        <w:tab/>
      </w:r>
      <w:r>
        <w:rPr>
          <w:rFonts w:ascii="KaiTi_GB2312" w:hint="eastAsia"/>
          <w:iCs/>
          <w:color w:val="000000"/>
          <w:szCs w:val="22"/>
        </w:rPr>
        <w:t>《</w:t>
      </w:r>
      <w:r>
        <w:rPr>
          <w:iCs/>
          <w:color w:val="000000"/>
          <w:szCs w:val="22"/>
        </w:rPr>
        <w:t>东帝汶民主共和国宪法</w:t>
      </w:r>
      <w:r>
        <w:rPr>
          <w:rFonts w:ascii="KaiTi_GB2312" w:hint="eastAsia"/>
          <w:iCs/>
          <w:color w:val="000000"/>
          <w:szCs w:val="22"/>
        </w:rPr>
        <w:t>》，</w:t>
      </w:r>
      <w:r>
        <w:rPr>
          <w:rFonts w:hint="eastAsia"/>
          <w:iCs/>
          <w:color w:val="000000"/>
          <w:szCs w:val="22"/>
        </w:rPr>
        <w:t>第</w:t>
      </w:r>
      <w:r>
        <w:rPr>
          <w:rFonts w:ascii="KaiTi_GB2312" w:hint="eastAsia"/>
          <w:iCs/>
          <w:color w:val="000000"/>
          <w:szCs w:val="22"/>
        </w:rPr>
        <w:t>95（3）（</w:t>
      </w:r>
      <w:r>
        <w:rPr>
          <w:iCs/>
          <w:color w:val="000000"/>
          <w:szCs w:val="22"/>
        </w:rPr>
        <w:t>f</w:t>
      </w:r>
      <w:r>
        <w:rPr>
          <w:rFonts w:ascii="KaiTi_GB2312" w:hint="eastAsia"/>
          <w:iCs/>
          <w:color w:val="000000"/>
          <w:szCs w:val="22"/>
        </w:rPr>
        <w:t>）条</w:t>
      </w:r>
      <w:r>
        <w:rPr>
          <w:rFonts w:ascii="KaiTi_GB2312" w:hint="eastAsia"/>
          <w:color w:val="000000"/>
        </w:rPr>
        <w:t>。</w:t>
      </w:r>
    </w:p>
  </w:footnote>
  <w:footnote w:id="122">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hint="eastAsia"/>
          <w:b/>
          <w:color w:val="000000"/>
        </w:rPr>
        <w:tab/>
      </w:r>
      <w:r>
        <w:rPr>
          <w:rFonts w:ascii="KaiTi_GB2312" w:hint="eastAsia"/>
          <w:color w:val="000000"/>
        </w:rPr>
        <w:t>《国民议会</w:t>
      </w:r>
      <w:r>
        <w:rPr>
          <w:rFonts w:ascii="KaiTi_GB2312" w:hint="eastAsia"/>
          <w:iCs/>
          <w:color w:val="000000"/>
          <w:szCs w:val="22"/>
        </w:rPr>
        <w:t>程序规则》，第34</w:t>
      </w:r>
      <w:r>
        <w:rPr>
          <w:rFonts w:ascii="KaiTi_GB2312" w:hint="eastAsia"/>
          <w:color w:val="000000"/>
        </w:rPr>
        <w:t>条。</w:t>
      </w:r>
    </w:p>
  </w:footnote>
  <w:footnote w:id="123">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hint="eastAsia"/>
          <w:color w:val="000000"/>
        </w:rPr>
        <w:t xml:space="preserve"> 第</w:t>
      </w:r>
      <w:r>
        <w:rPr>
          <w:rFonts w:ascii="KaiTi_GB2312"/>
          <w:color w:val="000000"/>
        </w:rPr>
        <w:t>7/2004</w:t>
      </w:r>
      <w:r>
        <w:rPr>
          <w:rFonts w:ascii="KaiTi_GB2312" w:hint="eastAsia"/>
          <w:color w:val="000000"/>
        </w:rPr>
        <w:t>号法律《人权与正义监察员办公室条例》，第46条。</w:t>
      </w:r>
    </w:p>
  </w:footnote>
  <w:footnote w:id="124">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b/>
          <w:color w:val="000000"/>
        </w:rPr>
        <w:tab/>
      </w:r>
      <w:r>
        <w:rPr>
          <w:rFonts w:ascii="KaiTi_GB2312" w:hint="eastAsia"/>
          <w:color w:val="000000"/>
        </w:rPr>
        <w:t>这些文件是在</w:t>
      </w:r>
      <w:r>
        <w:rPr>
          <w:rFonts w:ascii="KaiTi_GB2312"/>
          <w:color w:val="000000"/>
        </w:rPr>
        <w:t>东帝汶</w:t>
      </w:r>
      <w:r>
        <w:rPr>
          <w:color w:val="000000"/>
        </w:rPr>
        <w:t>支助团</w:t>
      </w:r>
      <w:r>
        <w:rPr>
          <w:rFonts w:ascii="KaiTi_GB2312" w:hint="eastAsia"/>
          <w:color w:val="000000"/>
        </w:rPr>
        <w:t>人权股和几个非政府组织的合作下，在开发计划署、儿童基金会和人权事务高级专员办事处的支持下编制和印发的。</w:t>
      </w:r>
    </w:p>
  </w:footnote>
  <w:footnote w:id="125">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b/>
          <w:color w:val="000000"/>
        </w:rPr>
        <w:tab/>
      </w:r>
      <w:r>
        <w:rPr>
          <w:rFonts w:ascii="KaiTi_GB2312" w:hint="eastAsia"/>
          <w:color w:val="000000"/>
        </w:rPr>
        <w:t>如：2003年，</w:t>
      </w:r>
      <w:r>
        <w:rPr>
          <w:color w:val="000000"/>
        </w:rPr>
        <w:t>东帝汶支助团</w:t>
      </w:r>
      <w:r>
        <w:rPr>
          <w:rFonts w:ascii="KaiTi_GB2312" w:hint="eastAsia"/>
          <w:color w:val="000000"/>
        </w:rPr>
        <w:t>人权股为监狱的工作人员出版了袖珍卡和培训手册。</w:t>
      </w:r>
    </w:p>
  </w:footnote>
  <w:footnote w:id="126">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b/>
          <w:color w:val="000000"/>
        </w:rPr>
        <w:tab/>
      </w:r>
      <w:r>
        <w:rPr>
          <w:rFonts w:ascii="KaiTi_GB2312" w:hint="eastAsia"/>
          <w:color w:val="000000"/>
        </w:rPr>
        <w:t>尤其是，各联合国机构积极印发了一些有助于宣传各种人权信息的材料，包括：</w:t>
      </w:r>
    </w:p>
    <w:p w:rsidR="00692915" w:rsidRDefault="00692915" w:rsidP="009A1C1B">
      <w:pPr>
        <w:pStyle w:val="FootnoteText"/>
        <w:tabs>
          <w:tab w:val="left" w:pos="1170"/>
        </w:tabs>
        <w:ind w:leftChars="300" w:left="31680" w:hangingChars="177" w:firstLine="31680"/>
        <w:rPr>
          <w:rStyle w:val="FootnoteReference"/>
          <w:rFonts w:ascii="KaiTi_GB2312"/>
          <w:b/>
          <w:color w:val="000000"/>
          <w:sz w:val="22"/>
        </w:rPr>
      </w:pPr>
      <w:r>
        <w:rPr>
          <w:rFonts w:ascii="KaiTi_GB2312"/>
          <w:color w:val="000000"/>
        </w:rPr>
        <w:sym w:font="Wingdings 2" w:char="F097"/>
      </w:r>
      <w:r>
        <w:rPr>
          <w:rFonts w:ascii="KaiTi_GB2312"/>
          <w:color w:val="000000"/>
        </w:rPr>
        <w:t xml:space="preserve">  </w:t>
      </w:r>
      <w:r>
        <w:rPr>
          <w:rFonts w:ascii="KaiTi_GB2312" w:hint="eastAsia"/>
          <w:color w:val="000000"/>
        </w:rPr>
        <w:t>5000件印有人权信息的短袖圆领衫，以纪念“国际人权日”和5月20日的庆祝活动。</w:t>
      </w:r>
    </w:p>
    <w:p w:rsidR="00692915" w:rsidRDefault="00692915" w:rsidP="009A1C1B">
      <w:pPr>
        <w:pStyle w:val="FootnoteText"/>
        <w:tabs>
          <w:tab w:val="left" w:pos="1170"/>
        </w:tabs>
        <w:ind w:leftChars="300" w:left="31680" w:hangingChars="177" w:firstLine="31680"/>
        <w:rPr>
          <w:rStyle w:val="FootnoteReference"/>
          <w:rFonts w:ascii="KaiTi_GB2312"/>
          <w:b/>
          <w:color w:val="000000"/>
          <w:sz w:val="22"/>
        </w:rPr>
      </w:pPr>
      <w:r>
        <w:rPr>
          <w:rFonts w:ascii="KaiTi_GB2312"/>
          <w:color w:val="000000"/>
        </w:rPr>
        <w:sym w:font="Wingdings 2" w:char="F097"/>
      </w:r>
      <w:r>
        <w:rPr>
          <w:rFonts w:ascii="KaiTi_GB2312"/>
          <w:color w:val="000000"/>
        </w:rPr>
        <w:t xml:space="preserve">  </w:t>
      </w:r>
      <w:r>
        <w:rPr>
          <w:rFonts w:ascii="KaiTi_GB2312" w:hint="eastAsia"/>
          <w:color w:val="000000"/>
        </w:rPr>
        <w:t>印有《世界人权宣言》重要信息的“国际人权日”传单。</w:t>
      </w:r>
    </w:p>
    <w:p w:rsidR="00692915" w:rsidRDefault="00692915" w:rsidP="009A1C1B">
      <w:pPr>
        <w:pStyle w:val="FootnoteText"/>
        <w:tabs>
          <w:tab w:val="left" w:pos="1170"/>
        </w:tabs>
        <w:ind w:leftChars="300" w:left="31680" w:hangingChars="177" w:firstLine="31680"/>
        <w:rPr>
          <w:rStyle w:val="FootnoteReference"/>
          <w:rFonts w:ascii="KaiTi_GB2312"/>
          <w:b/>
          <w:color w:val="000000"/>
          <w:sz w:val="22"/>
        </w:rPr>
      </w:pPr>
      <w:r>
        <w:rPr>
          <w:rFonts w:ascii="KaiTi_GB2312"/>
          <w:color w:val="000000"/>
        </w:rPr>
        <w:t>*</w:t>
      </w:r>
      <w:r>
        <w:rPr>
          <w:rFonts w:ascii="KaiTi_GB2312"/>
          <w:color w:val="000000"/>
        </w:rPr>
        <w:tab/>
      </w:r>
      <w:r>
        <w:rPr>
          <w:rFonts w:ascii="KaiTi_GB2312" w:hint="eastAsia"/>
          <w:color w:val="000000"/>
        </w:rPr>
        <w:t>带有一小时广播节目的57张光盘，节目涉及与人权有关的各种主题（包括：警务工作中的人权、对妇女暴力、儿童权利、性剥削、社会、文化和经济权利等）。</w:t>
      </w:r>
    </w:p>
  </w:footnote>
  <w:footnote w:id="127">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b/>
          <w:color w:val="000000"/>
        </w:rPr>
        <w:tab/>
      </w:r>
      <w:r>
        <w:rPr>
          <w:rFonts w:ascii="KaiTi_GB2312" w:hint="eastAsia"/>
          <w:color w:val="000000"/>
        </w:rPr>
        <w:t>大多为德顿语和印度尼西亚语。</w:t>
      </w:r>
    </w:p>
  </w:footnote>
  <w:footnote w:id="128">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b/>
          <w:color w:val="000000"/>
        </w:rPr>
        <w:tab/>
      </w:r>
      <w:r>
        <w:rPr>
          <w:rFonts w:ascii="KaiTi_GB2312" w:hint="eastAsia"/>
          <w:color w:val="000000"/>
        </w:rPr>
        <w:t>2004年，</w:t>
      </w:r>
      <w:r>
        <w:rPr>
          <w:color w:val="000000"/>
        </w:rPr>
        <w:t>东帝汶支助团</w:t>
      </w:r>
      <w:r>
        <w:rPr>
          <w:rFonts w:ascii="KaiTi_GB2312" w:hint="eastAsia"/>
          <w:color w:val="000000"/>
        </w:rPr>
        <w:t>人权股用印度尼西亚语和德顿语印发了</w:t>
      </w:r>
      <w:r>
        <w:rPr>
          <w:rFonts w:ascii="KaiTi_GB2312"/>
          <w:color w:val="000000"/>
        </w:rPr>
        <w:t>14</w:t>
      </w:r>
      <w:r>
        <w:rPr>
          <w:rFonts w:ascii="KaiTi_GB2312" w:hint="eastAsia"/>
          <w:color w:val="000000"/>
        </w:rPr>
        <w:t xml:space="preserve"> </w:t>
      </w:r>
      <w:r>
        <w:rPr>
          <w:rFonts w:ascii="KaiTi_GB2312"/>
          <w:color w:val="000000"/>
        </w:rPr>
        <w:t>000</w:t>
      </w:r>
      <w:r>
        <w:rPr>
          <w:rFonts w:ascii="KaiTi_GB2312" w:hint="eastAsia"/>
          <w:color w:val="000000"/>
        </w:rPr>
        <w:t>本图画书，内容涉及《世界人权宣言》、《公民及政治权利国际公约》、《儿童权利公约》和《禁止酷刑和其他残忍、不人道或有辱人格的待遇或处罚公约》。为了让有关人权标准的信息通俗易懂，还特地采用了漫画形式。这些漫画书的发行面向所有地区的警察、教师、管理人员、在校儿童、妇女、青年团体和广大公众。另外，还向人权教育者，如：教师、青年领导人、教会领导人和社区领导提供这些漫画书，以便他们向各自领域的人群分发这些书籍。此外，还向小学分发了这种材料，以便在儿童早期介绍人权方面的知识。</w:t>
      </w:r>
    </w:p>
  </w:footnote>
  <w:footnote w:id="129">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b/>
          <w:color w:val="000000"/>
        </w:rPr>
        <w:tab/>
      </w:r>
      <w:r>
        <w:rPr>
          <w:rFonts w:ascii="KaiTi_GB2312" w:hint="eastAsia"/>
          <w:color w:val="000000"/>
        </w:rPr>
        <w:t>见2005年4-7月间地区联络小组讨论时所有地区提交的文件。</w:t>
      </w:r>
    </w:p>
  </w:footnote>
  <w:footnote w:id="130">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b/>
          <w:color w:val="000000"/>
        </w:rPr>
        <w:tab/>
      </w:r>
      <w:r>
        <w:rPr>
          <w:rFonts w:ascii="KaiTi_GB2312" w:hint="eastAsia"/>
          <w:color w:val="000000"/>
        </w:rPr>
        <w:t>在政府有关侵犯人权案件及其补救措施的国家和地区讨论中，很少提到个人申诉机制。</w:t>
      </w:r>
    </w:p>
  </w:footnote>
  <w:footnote w:id="131">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hint="eastAsia"/>
          <w:color w:val="000000"/>
        </w:rPr>
        <w:t>2005年5月30日，</w:t>
      </w:r>
      <w:r>
        <w:rPr>
          <w:rFonts w:ascii="KaiTi_GB2312"/>
          <w:color w:val="000000"/>
        </w:rPr>
        <w:t>东帝</w:t>
      </w:r>
      <w:r>
        <w:rPr>
          <w:color w:val="000000"/>
        </w:rPr>
        <w:t>汶支助团</w:t>
      </w:r>
      <w:r>
        <w:rPr>
          <w:rFonts w:ascii="KaiTi_GB2312" w:hint="eastAsia"/>
          <w:color w:val="000000"/>
        </w:rPr>
        <w:t>人权股提交的文件。</w:t>
      </w:r>
    </w:p>
  </w:footnote>
  <w:footnote w:id="132">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bCs/>
          <w:color w:val="000000"/>
          <w:sz w:val="22"/>
        </w:rPr>
        <w:footnoteRef/>
      </w:r>
      <w:r>
        <w:rPr>
          <w:rFonts w:ascii="KaiTi_GB2312" w:hint="eastAsia"/>
          <w:color w:val="000000"/>
        </w:rPr>
        <w:t xml:space="preserve"> </w:t>
      </w:r>
      <w:r>
        <w:rPr>
          <w:rFonts w:ascii="KaiTi_GB2312" w:hint="eastAsia"/>
          <w:color w:val="000000"/>
        </w:rPr>
        <w:tab/>
        <w:t>开发计划署，《2006年东帝汶人类发展报告》，第46页。</w:t>
      </w:r>
    </w:p>
  </w:footnote>
  <w:footnote w:id="133">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hint="eastAsia"/>
          <w:b/>
          <w:color w:val="000000"/>
        </w:rPr>
        <w:tab/>
      </w:r>
      <w:r>
        <w:rPr>
          <w:rFonts w:ascii="KaiTi_GB2312" w:hint="eastAsia"/>
          <w:bCs/>
          <w:color w:val="000000"/>
        </w:rPr>
        <w:t>《</w:t>
      </w:r>
      <w:r>
        <w:rPr>
          <w:rFonts w:ascii="KaiTi_GB2312" w:hint="eastAsia"/>
          <w:color w:val="000000"/>
        </w:rPr>
        <w:t>国际记者培训机构（</w:t>
      </w:r>
      <w:r>
        <w:rPr>
          <w:rFonts w:ascii="KaiTi_GB2312"/>
          <w:color w:val="000000"/>
        </w:rPr>
        <w:t>Internews</w:t>
      </w:r>
      <w:r>
        <w:rPr>
          <w:rFonts w:ascii="KaiTi_GB2312" w:hint="eastAsia"/>
          <w:color w:val="000000"/>
        </w:rPr>
        <w:t>）最终评估报告</w:t>
      </w:r>
      <w:r>
        <w:rPr>
          <w:rFonts w:hint="eastAsia"/>
          <w:color w:val="000000"/>
        </w:rPr>
        <w:t>》，</w:t>
      </w:r>
      <w:r>
        <w:rPr>
          <w:rFonts w:ascii="KaiTi_GB2312" w:hint="eastAsia"/>
          <w:color w:val="000000"/>
        </w:rPr>
        <w:t>2005年4月。</w:t>
      </w:r>
    </w:p>
  </w:footnote>
  <w:footnote w:id="134">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hint="eastAsia"/>
          <w:color w:val="000000"/>
        </w:rPr>
        <w:t>广播电视总局是公共广播服务署的一个机构，而公共广播服务署则是一个独立的法定机构，对议会负责。</w:t>
      </w:r>
    </w:p>
  </w:footnote>
  <w:footnote w:id="135">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Fonts w:ascii="KaiTi_GB2312"/>
          <w:color w:val="000000"/>
        </w:rPr>
        <w:t xml:space="preserve">  </w:t>
      </w:r>
      <w:r>
        <w:rPr>
          <w:rFonts w:ascii="KaiTi_GB2312" w:hint="eastAsia"/>
          <w:color w:val="000000"/>
        </w:rPr>
        <w:t>亚洲基金会，《东帝汶选民知识全国调查》，2001年，第58页。</w:t>
      </w:r>
    </w:p>
  </w:footnote>
  <w:footnote w:id="136">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hint="eastAsia"/>
          <w:color w:val="000000"/>
        </w:rPr>
        <w:t>包考、</w:t>
      </w:r>
      <w:r>
        <w:rPr>
          <w:rFonts w:ascii="KaiTi_GB2312"/>
          <w:color w:val="000000"/>
          <w:szCs w:val="18"/>
        </w:rPr>
        <w:t>马纳图</w:t>
      </w:r>
      <w:r>
        <w:rPr>
          <w:rFonts w:ascii="KaiTi_GB2312"/>
          <w:color w:val="000000"/>
        </w:rPr>
        <w:t>托</w:t>
      </w:r>
      <w:r>
        <w:rPr>
          <w:rFonts w:ascii="KaiTi_GB2312" w:hint="eastAsia"/>
          <w:color w:val="000000"/>
        </w:rPr>
        <w:t>和</w:t>
      </w:r>
      <w:r>
        <w:rPr>
          <w:color w:val="000000"/>
        </w:rPr>
        <w:t>洛斯帕洛斯</w:t>
      </w:r>
      <w:r>
        <w:rPr>
          <w:rFonts w:ascii="KaiTi_GB2312" w:hint="eastAsia"/>
          <w:color w:val="000000"/>
        </w:rPr>
        <w:t>等地区</w:t>
      </w:r>
      <w:r>
        <w:rPr>
          <w:rFonts w:ascii="KaiTi_GB2312" w:hint="eastAsia"/>
          <w:color w:val="000000"/>
          <w:szCs w:val="18"/>
        </w:rPr>
        <w:t>的边远村庄接收不到东帝汶广播台。</w:t>
      </w:r>
    </w:p>
  </w:footnote>
  <w:footnote w:id="137">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bCs/>
          <w:color w:val="000000"/>
          <w:sz w:val="22"/>
        </w:rPr>
        <w:footnoteRef/>
      </w:r>
      <w:r>
        <w:rPr>
          <w:rFonts w:ascii="KaiTi_GB2312"/>
          <w:color w:val="000000"/>
        </w:rPr>
        <w:t xml:space="preserve">  </w:t>
      </w:r>
      <w:r>
        <w:rPr>
          <w:rFonts w:ascii="KaiTi_GB2312" w:hint="eastAsia"/>
          <w:color w:val="000000"/>
        </w:rPr>
        <w:t>亚洲基金会，《东帝汶选民知识全国调查》，2001年，第58页。</w:t>
      </w:r>
    </w:p>
  </w:footnote>
  <w:footnote w:id="138">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Fonts w:ascii="KaiTi_GB2312" w:hint="eastAsia"/>
          <w:color w:val="000000"/>
        </w:rPr>
        <w:t xml:space="preserve"> </w:t>
      </w:r>
      <w:r>
        <w:rPr>
          <w:rFonts w:ascii="KaiTi_GB2312" w:hint="eastAsia"/>
          <w:color w:val="000000"/>
        </w:rPr>
        <w:tab/>
        <w:t>例如：2004年，芬兰驻雅加达使馆（通过了TL认证）为《东帝汶之声》资助了</w:t>
      </w:r>
      <w:r>
        <w:rPr>
          <w:rStyle w:val="FootnoteReference"/>
          <w:rFonts w:ascii="KaiTi_GB2312"/>
          <w:bCs/>
          <w:color w:val="000000"/>
          <w:sz w:val="22"/>
          <w:vertAlign w:val="baseline"/>
        </w:rPr>
        <w:t>24</w:t>
      </w:r>
      <w:r>
        <w:rPr>
          <w:rStyle w:val="FootnoteReference"/>
          <w:rFonts w:ascii="KaiTi_GB2312" w:hint="eastAsia"/>
          <w:bCs/>
          <w:color w:val="000000"/>
          <w:sz w:val="22"/>
          <w:vertAlign w:val="baseline"/>
        </w:rPr>
        <w:t xml:space="preserve"> 0</w:t>
      </w:r>
      <w:r>
        <w:rPr>
          <w:rStyle w:val="FootnoteReference"/>
          <w:rFonts w:ascii="KaiTi_GB2312"/>
          <w:bCs/>
          <w:color w:val="000000"/>
          <w:sz w:val="22"/>
          <w:vertAlign w:val="baseline"/>
        </w:rPr>
        <w:t>00</w:t>
      </w:r>
      <w:r>
        <w:rPr>
          <w:rFonts w:ascii="KaiTi_GB2312" w:hint="eastAsia"/>
          <w:color w:val="000000"/>
        </w:rPr>
        <w:t>欧元。</w:t>
      </w:r>
    </w:p>
  </w:footnote>
  <w:footnote w:id="139">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hint="eastAsia"/>
          <w:color w:val="000000"/>
        </w:rPr>
        <w:t>《国际记者培训机构最终评估报告》，2005年4月。</w:t>
      </w:r>
    </w:p>
  </w:footnote>
  <w:footnote w:id="140">
    <w:p w:rsidR="00692915" w:rsidRDefault="00692915" w:rsidP="009A1C1B">
      <w:pPr>
        <w:tabs>
          <w:tab w:val="left" w:pos="780"/>
        </w:tabs>
        <w:spacing w:line="288" w:lineRule="auto"/>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eastAsia="KaiTi_GB2312" w:hint="eastAsia"/>
          <w:bCs/>
          <w:color w:val="000000"/>
          <w:sz w:val="22"/>
        </w:rPr>
        <w:t>国际记者培训机构《性别均衡媒体监测报告》（2004年）。</w:t>
      </w:r>
    </w:p>
  </w:footnote>
  <w:footnote w:id="141">
    <w:p w:rsidR="00692915" w:rsidRDefault="00692915" w:rsidP="009A1C1B">
      <w:pPr>
        <w:tabs>
          <w:tab w:val="left" w:pos="780"/>
        </w:tabs>
        <w:spacing w:line="288" w:lineRule="auto"/>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eastAsia="KaiTi_GB2312"/>
          <w:bCs/>
          <w:color w:val="000000"/>
          <w:sz w:val="22"/>
        </w:rPr>
        <w:t xml:space="preserve"> </w:t>
      </w:r>
      <w:r>
        <w:rPr>
          <w:rFonts w:ascii="KaiTi_GB2312" w:eastAsia="KaiTi_GB2312" w:hint="eastAsia"/>
          <w:bCs/>
          <w:color w:val="000000"/>
          <w:sz w:val="22"/>
        </w:rPr>
        <w:t>截止2002年12月，向非政府论坛注册的有366个国家非政府组织和128个国际非政府组织。</w:t>
      </w:r>
    </w:p>
  </w:footnote>
  <w:footnote w:id="142">
    <w:p w:rsidR="00692915" w:rsidRDefault="00692915" w:rsidP="009A1C1B">
      <w:pPr>
        <w:tabs>
          <w:tab w:val="left" w:pos="780"/>
        </w:tabs>
        <w:spacing w:line="288" w:lineRule="auto"/>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eastAsia="KaiTi_GB2312"/>
          <w:bCs/>
          <w:color w:val="000000"/>
          <w:sz w:val="22"/>
        </w:rPr>
        <w:t xml:space="preserve"> </w:t>
      </w:r>
      <w:r>
        <w:rPr>
          <w:rFonts w:ascii="KaiTi_GB2312" w:eastAsia="KaiTi_GB2312" w:hint="eastAsia"/>
          <w:bCs/>
          <w:color w:val="000000"/>
          <w:sz w:val="22"/>
        </w:rPr>
        <w:t>《2005年1-12月非政府组织论坛报告》。在2005年召开的非政府组织论坛年度大会期间，对非政府组织的活动进行了调查并努力确认了解散的原因。</w:t>
      </w:r>
    </w:p>
  </w:footnote>
  <w:footnote w:id="143">
    <w:p w:rsidR="00692915" w:rsidRDefault="00692915" w:rsidP="009A1C1B">
      <w:pPr>
        <w:tabs>
          <w:tab w:val="left" w:pos="780"/>
        </w:tabs>
        <w:spacing w:line="288" w:lineRule="auto"/>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eastAsia="KaiTi_GB2312"/>
          <w:bCs/>
          <w:color w:val="000000"/>
          <w:sz w:val="22"/>
        </w:rPr>
        <w:t xml:space="preserve"> </w:t>
      </w:r>
      <w:r>
        <w:rPr>
          <w:rFonts w:ascii="KaiTi_GB2312" w:eastAsia="KaiTi_GB2312" w:hint="eastAsia"/>
          <w:bCs/>
          <w:color w:val="000000"/>
          <w:sz w:val="22"/>
        </w:rPr>
        <w:t xml:space="preserve"> 《东帝汶：地方政府与民间社会部门投资方案》，2005年4月，第6页。</w:t>
      </w:r>
    </w:p>
  </w:footnote>
  <w:footnote w:id="144">
    <w:p w:rsidR="00692915" w:rsidRDefault="00692915" w:rsidP="009A1C1B">
      <w:pPr>
        <w:tabs>
          <w:tab w:val="left" w:pos="780"/>
        </w:tabs>
        <w:spacing w:line="288" w:lineRule="auto"/>
        <w:ind w:firstLine="31680"/>
        <w:rPr>
          <w:rStyle w:val="FootnoteReference"/>
          <w:rFonts w:ascii="KaiTi_GB2312"/>
          <w:b/>
          <w:bCs/>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eastAsia="KaiTi_GB2312"/>
          <w:bCs/>
          <w:color w:val="000000"/>
          <w:sz w:val="22"/>
        </w:rPr>
        <w:t xml:space="preserve"> </w:t>
      </w:r>
      <w:r>
        <w:rPr>
          <w:rFonts w:ascii="KaiTi_GB2312" w:eastAsia="KaiTi_GB2312" w:hint="eastAsia"/>
          <w:bCs/>
          <w:color w:val="000000"/>
          <w:sz w:val="22"/>
        </w:rPr>
        <w:t xml:space="preserve"> 《东帝汶：地方政府与民间社会部门投资方案》，2005年4月，第5页。</w:t>
      </w:r>
    </w:p>
  </w:footnote>
  <w:footnote w:id="145">
    <w:p w:rsidR="00692915" w:rsidRDefault="00692915" w:rsidP="009A1C1B">
      <w:pPr>
        <w:tabs>
          <w:tab w:val="left" w:pos="780"/>
        </w:tabs>
        <w:spacing w:line="288" w:lineRule="auto"/>
        <w:ind w:firstLine="31680"/>
        <w:rPr>
          <w:rStyle w:val="FootnoteReference"/>
          <w:rFonts w:ascii="KaiTi_GB2312"/>
          <w:b/>
          <w:bCs/>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eastAsia="KaiTi_GB2312"/>
          <w:bCs/>
          <w:color w:val="000000"/>
          <w:sz w:val="22"/>
        </w:rPr>
        <w:t xml:space="preserve"> </w:t>
      </w:r>
      <w:r>
        <w:rPr>
          <w:rFonts w:ascii="KaiTi_GB2312" w:eastAsia="KaiTi_GB2312" w:hint="eastAsia"/>
          <w:bCs/>
          <w:color w:val="000000"/>
          <w:sz w:val="22"/>
        </w:rPr>
        <w:t xml:space="preserve"> 《东帝汶：地方政府与民间社会部门投资方案》，2005年4月，第</w:t>
      </w:r>
      <w:r>
        <w:rPr>
          <w:rFonts w:hint="eastAsia"/>
          <w:color w:val="000000"/>
        </w:rPr>
        <w:t>4</w:t>
      </w:r>
      <w:r>
        <w:rPr>
          <w:rFonts w:ascii="KaiTi_GB2312" w:eastAsia="KaiTi_GB2312" w:hint="eastAsia"/>
          <w:bCs/>
          <w:color w:val="000000"/>
          <w:sz w:val="22"/>
        </w:rPr>
        <w:t>页。</w:t>
      </w:r>
    </w:p>
  </w:footnote>
  <w:footnote w:id="146">
    <w:p w:rsidR="00692915" w:rsidRDefault="00692915" w:rsidP="009A1C1B">
      <w:pPr>
        <w:tabs>
          <w:tab w:val="left" w:pos="780"/>
        </w:tabs>
        <w:spacing w:line="288" w:lineRule="auto"/>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b/>
          <w:bCs/>
          <w:color w:val="000000"/>
          <w:sz w:val="22"/>
        </w:rPr>
        <w:tab/>
      </w:r>
      <w:r>
        <w:rPr>
          <w:rFonts w:ascii="KaiTi_GB2312" w:eastAsia="KaiTi_GB2312" w:hint="eastAsia"/>
          <w:bCs/>
          <w:color w:val="000000"/>
          <w:sz w:val="22"/>
        </w:rPr>
        <w:t>例</w:t>
      </w:r>
      <w:r>
        <w:rPr>
          <w:rStyle w:val="FootnoteReference"/>
          <w:rFonts w:ascii="KaiTi_GB2312"/>
          <w:b/>
          <w:bCs/>
          <w:color w:val="000000"/>
          <w:sz w:val="22"/>
        </w:rPr>
        <w:t xml:space="preserve"> </w:t>
      </w:r>
      <w:r>
        <w:rPr>
          <w:rFonts w:ascii="KaiTi_GB2312" w:eastAsia="KaiTi_GB2312" w:hint="eastAsia"/>
          <w:bCs/>
          <w:color w:val="000000"/>
          <w:sz w:val="22"/>
        </w:rPr>
        <w:t>如，在包考、</w:t>
      </w:r>
      <w:r>
        <w:rPr>
          <w:rFonts w:ascii="KaiTi_GB2312" w:eastAsia="KaiTi_GB2312" w:hAnsi="Arial" w:cs="Arial" w:hint="eastAsia"/>
          <w:color w:val="000000"/>
          <w:sz w:val="22"/>
        </w:rPr>
        <w:t>埃尔梅拉和</w:t>
      </w:r>
      <w:r>
        <w:rPr>
          <w:rFonts w:ascii="KaiTi_GB2312" w:eastAsia="KaiTi_GB2312" w:hint="eastAsia"/>
          <w:bCs/>
          <w:color w:val="000000"/>
          <w:sz w:val="22"/>
        </w:rPr>
        <w:t>帝力的医疗卫生领域，政府与澳大利亚明爱学会、CIY女修会、阿洛拉基金会开展了紧密合作。</w:t>
      </w:r>
    </w:p>
  </w:footnote>
  <w:footnote w:id="147">
    <w:p w:rsidR="00692915" w:rsidRDefault="00692915" w:rsidP="009A1C1B">
      <w:pPr>
        <w:tabs>
          <w:tab w:val="left" w:pos="780"/>
        </w:tabs>
        <w:spacing w:line="288" w:lineRule="auto"/>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eastAsia="KaiTi_GB2312"/>
          <w:bCs/>
          <w:color w:val="000000"/>
          <w:sz w:val="22"/>
        </w:rPr>
        <w:tab/>
      </w:r>
      <w:r>
        <w:rPr>
          <w:rFonts w:ascii="KaiTi_GB2312" w:eastAsia="KaiTi_GB2312" w:hint="eastAsia"/>
          <w:bCs/>
          <w:color w:val="000000"/>
          <w:sz w:val="22"/>
        </w:rPr>
        <w:t>例如，在马纳图托和欧库西，政府与民间社会在教育和语言培训方面开展了紧密合作。</w:t>
      </w:r>
    </w:p>
  </w:footnote>
  <w:footnote w:id="148">
    <w:p w:rsidR="00692915" w:rsidRDefault="00692915" w:rsidP="009A1C1B">
      <w:pPr>
        <w:tabs>
          <w:tab w:val="left" w:pos="780"/>
        </w:tabs>
        <w:spacing w:line="288" w:lineRule="auto"/>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b/>
          <w:bCs/>
          <w:color w:val="000000"/>
          <w:sz w:val="22"/>
        </w:rPr>
        <w:tab/>
      </w:r>
      <w:r>
        <w:rPr>
          <w:rFonts w:ascii="KaiTi_GB2312" w:eastAsia="KaiTi_GB2312" w:hint="eastAsia"/>
          <w:bCs/>
          <w:color w:val="000000"/>
          <w:sz w:val="22"/>
        </w:rPr>
        <w:t>例</w:t>
      </w:r>
      <w:r>
        <w:rPr>
          <w:rFonts w:ascii="KaiTi_GB2312" w:eastAsia="KaiTi_GB2312" w:hAnsi="Arial" w:cs="Arial" w:hint="eastAsia"/>
          <w:color w:val="000000"/>
          <w:sz w:val="22"/>
        </w:rPr>
        <w:t>如，科瓦利马区的</w:t>
      </w:r>
      <w:r>
        <w:rPr>
          <w:rFonts w:ascii="KaiTi_GB2312" w:eastAsia="KaiTi_GB2312" w:hint="eastAsia"/>
          <w:bCs/>
          <w:color w:val="000000"/>
          <w:sz w:val="22"/>
        </w:rPr>
        <w:t>地方政府与农村供水与卫生项目（C</w:t>
      </w:r>
      <w:r>
        <w:rPr>
          <w:rFonts w:ascii="KaiTi_GB2312" w:eastAsia="KaiTi_GB2312"/>
          <w:bCs/>
          <w:color w:val="000000"/>
          <w:sz w:val="22"/>
        </w:rPr>
        <w:t>WSSP</w:t>
      </w:r>
      <w:r>
        <w:rPr>
          <w:rFonts w:ascii="KaiTi_GB2312" w:eastAsia="KaiTi_GB2312" w:hint="eastAsia"/>
          <w:bCs/>
          <w:color w:val="000000"/>
          <w:sz w:val="22"/>
        </w:rPr>
        <w:t>）开展了紧密合作。</w:t>
      </w:r>
    </w:p>
  </w:footnote>
  <w:footnote w:id="149">
    <w:p w:rsidR="00692915" w:rsidRDefault="00692915" w:rsidP="009A1C1B">
      <w:pPr>
        <w:tabs>
          <w:tab w:val="left" w:pos="780"/>
        </w:tabs>
        <w:spacing w:line="288" w:lineRule="auto"/>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b/>
          <w:bCs/>
          <w:color w:val="000000"/>
          <w:sz w:val="22"/>
        </w:rPr>
        <w:tab/>
      </w:r>
      <w:r>
        <w:rPr>
          <w:rFonts w:ascii="KaiTi_GB2312" w:eastAsia="KaiTi_GB2312" w:hint="eastAsia"/>
          <w:bCs/>
          <w:color w:val="000000"/>
          <w:sz w:val="22"/>
        </w:rPr>
        <w:t>至于民间社会与政府各组织中当权者之间的关系，一个重要特征就是他们有着共同的历史，共同为独立而奋斗。共有的历史为两者之间的紧密合作和共同进步提供了重要契机，但是也给民间组织与国家之间的动态关系带来了特别的挑战。一方面，在历史上，他们并肩抵抗共同的敌人，但目前情况发生了变化，民间社会如今有着制衡作用，因而与政府之间不再是以前的合作关系。由于关注重点不同，所以两者的发展路线出现了分歧，有些情况下，还会出现利益冲突的问题。</w:t>
      </w:r>
    </w:p>
  </w:footnote>
  <w:footnote w:id="150">
    <w:p w:rsidR="00692915" w:rsidRDefault="00692915" w:rsidP="009A1C1B">
      <w:pPr>
        <w:tabs>
          <w:tab w:val="left" w:pos="780"/>
        </w:tabs>
        <w:spacing w:line="288" w:lineRule="auto"/>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eastAsia="KaiTi_GB2312"/>
          <w:bCs/>
          <w:color w:val="000000"/>
          <w:sz w:val="22"/>
        </w:rPr>
        <w:t xml:space="preserve"> </w:t>
      </w:r>
      <w:r>
        <w:rPr>
          <w:rFonts w:ascii="KaiTi_GB2312" w:eastAsia="KaiTi_GB2312" w:hint="eastAsia"/>
          <w:bCs/>
          <w:color w:val="000000"/>
          <w:sz w:val="22"/>
        </w:rPr>
        <w:t>在制订《石油收入法》期间，总理办公室内设的帝汶海洋办公室广泛征求了各方意见，其中包括民间组织和广大社区的意见。最后还征求了相关领域中民间组织的意见。</w:t>
      </w:r>
    </w:p>
  </w:footnote>
  <w:footnote w:id="151">
    <w:p w:rsidR="00692915" w:rsidRDefault="00692915" w:rsidP="009A1C1B">
      <w:pPr>
        <w:tabs>
          <w:tab w:val="left" w:pos="780"/>
        </w:tabs>
        <w:spacing w:line="288" w:lineRule="auto"/>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b/>
          <w:bCs/>
          <w:color w:val="000000"/>
          <w:sz w:val="22"/>
        </w:rPr>
        <w:tab/>
      </w:r>
      <w:r>
        <w:rPr>
          <w:rFonts w:ascii="KaiTi_GB2312" w:eastAsia="KaiTi_GB2312" w:hint="eastAsia"/>
          <w:bCs/>
          <w:color w:val="000000"/>
          <w:sz w:val="22"/>
        </w:rPr>
        <w:t>第</w:t>
      </w:r>
      <w:r>
        <w:rPr>
          <w:color w:val="000000"/>
        </w:rPr>
        <w:t>8</w:t>
      </w:r>
      <w:r>
        <w:rPr>
          <w:rFonts w:ascii="KaiTi_GB2312" w:eastAsia="KaiTi_GB2312"/>
          <w:bCs/>
          <w:color w:val="000000"/>
          <w:sz w:val="22"/>
        </w:rPr>
        <w:t>/2004</w:t>
      </w:r>
      <w:r>
        <w:rPr>
          <w:rFonts w:ascii="KaiTi_GB2312" w:eastAsia="KaiTi_GB2312" w:hint="eastAsia"/>
          <w:bCs/>
          <w:color w:val="000000"/>
          <w:sz w:val="22"/>
        </w:rPr>
        <w:t>号法律——《公务员条例》。</w:t>
      </w:r>
    </w:p>
  </w:footnote>
  <w:footnote w:id="152">
    <w:p w:rsidR="00692915" w:rsidRDefault="00692915" w:rsidP="009A1C1B">
      <w:pPr>
        <w:tabs>
          <w:tab w:val="left" w:pos="780"/>
        </w:tabs>
        <w:spacing w:line="288" w:lineRule="auto"/>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eastAsia="KaiTi_GB2312"/>
          <w:bCs/>
          <w:color w:val="000000"/>
          <w:sz w:val="22"/>
        </w:rPr>
        <w:t xml:space="preserve"> </w:t>
      </w:r>
      <w:r>
        <w:rPr>
          <w:rFonts w:ascii="KaiTi_GB2312" w:eastAsia="KaiTi_GB2312" w:hint="eastAsia"/>
          <w:bCs/>
          <w:color w:val="000000"/>
          <w:sz w:val="22"/>
        </w:rPr>
        <w:t>第</w:t>
      </w:r>
      <w:r>
        <w:rPr>
          <w:color w:val="000000"/>
        </w:rPr>
        <w:t>1/2</w:t>
      </w:r>
      <w:r>
        <w:rPr>
          <w:rFonts w:ascii="KaiTi_GB2312" w:eastAsia="KaiTi_GB2312"/>
          <w:bCs/>
          <w:color w:val="000000"/>
          <w:sz w:val="22"/>
        </w:rPr>
        <w:t>003</w:t>
      </w:r>
      <w:r>
        <w:rPr>
          <w:rFonts w:ascii="KaiTi_GB2312" w:eastAsia="KaiTi_GB2312" w:hint="eastAsia"/>
          <w:bCs/>
          <w:color w:val="000000"/>
          <w:sz w:val="22"/>
        </w:rPr>
        <w:t>号法律——《不动产司法制度》。</w:t>
      </w:r>
    </w:p>
  </w:footnote>
  <w:footnote w:id="153">
    <w:p w:rsidR="00692915" w:rsidRDefault="00692915" w:rsidP="009A1C1B">
      <w:pPr>
        <w:tabs>
          <w:tab w:val="left" w:pos="780"/>
        </w:tabs>
        <w:spacing w:line="288" w:lineRule="auto"/>
        <w:ind w:firstLine="31680"/>
        <w:rPr>
          <w:rStyle w:val="FootnoteReference"/>
          <w:rFonts w:ascii="KaiTi_GB2312" w:hint="eastAsia"/>
          <w:b/>
          <w:bCs/>
          <w:color w:val="000000"/>
          <w:sz w:val="22"/>
          <w:lang w:val="pt-PT"/>
        </w:rPr>
      </w:pPr>
      <w:r>
        <w:rPr>
          <w:rStyle w:val="FootnoteReference"/>
          <w:rFonts w:ascii="KaiTi_GB2312"/>
          <w:color w:val="000000"/>
          <w:sz w:val="22"/>
        </w:rPr>
        <w:footnoteRef/>
      </w:r>
      <w:r>
        <w:rPr>
          <w:rFonts w:ascii="KaiTi_GB2312" w:eastAsia="KaiTi_GB2312"/>
          <w:bCs/>
          <w:color w:val="000000"/>
          <w:sz w:val="22"/>
          <w:lang w:val="pt-PT"/>
        </w:rPr>
        <w:t xml:space="preserve"> </w:t>
      </w:r>
      <w:r>
        <w:rPr>
          <w:rFonts w:ascii="KaiTi_GB2312" w:eastAsia="KaiTi_GB2312" w:hint="eastAsia"/>
          <w:bCs/>
          <w:color w:val="000000"/>
          <w:sz w:val="22"/>
          <w:lang w:val="pt-PT"/>
        </w:rPr>
        <w:t>《东帝汶：部门投资方案，地方政府和民间社会》，2005年4月，第7页。2005年3-7月期间，在欧库</w:t>
      </w:r>
      <w:r>
        <w:rPr>
          <w:rFonts w:ascii="KaiTi_GB2312" w:eastAsia="KaiTi_GB2312" w:hint="eastAsia"/>
          <w:bCs/>
          <w:color w:val="000000"/>
          <w:sz w:val="22"/>
        </w:rPr>
        <w:t>西、</w:t>
      </w:r>
      <w:r>
        <w:rPr>
          <w:rFonts w:ascii="KaiTi_GB2312" w:eastAsia="KaiTi_GB2312"/>
          <w:bCs/>
          <w:color w:val="000000"/>
          <w:sz w:val="22"/>
        </w:rPr>
        <w:t>科瓦利马</w:t>
      </w:r>
      <w:r>
        <w:rPr>
          <w:rFonts w:ascii="KaiTi_GB2312" w:eastAsia="KaiTi_GB2312" w:hint="eastAsia"/>
          <w:bCs/>
          <w:color w:val="000000"/>
          <w:sz w:val="22"/>
        </w:rPr>
        <w:t>和</w:t>
      </w:r>
      <w:r>
        <w:rPr>
          <w:rFonts w:ascii="KaiTi_GB2312" w:eastAsia="KaiTi_GB2312"/>
          <w:bCs/>
          <w:color w:val="000000"/>
          <w:sz w:val="22"/>
        </w:rPr>
        <w:t>马纳图托</w:t>
      </w:r>
      <w:r>
        <w:rPr>
          <w:rFonts w:ascii="KaiTi_GB2312" w:eastAsia="KaiTi_GB2312" w:hint="eastAsia"/>
          <w:bCs/>
          <w:color w:val="000000"/>
          <w:sz w:val="22"/>
          <w:lang w:val="pt-PT"/>
        </w:rPr>
        <w:t>进行的地区性专题小组讨论说明，非政府组织应进一步集中精力，加强与政府部门，尤其是警察部门之间的合作，以确保受害人和嫌疑犯的隐私权。</w:t>
      </w:r>
    </w:p>
  </w:footnote>
  <w:footnote w:id="154">
    <w:p w:rsidR="00692915" w:rsidRDefault="00692915" w:rsidP="009A1C1B">
      <w:pPr>
        <w:tabs>
          <w:tab w:val="left" w:pos="780"/>
        </w:tabs>
        <w:spacing w:line="288" w:lineRule="auto"/>
        <w:ind w:firstLine="31680"/>
        <w:rPr>
          <w:rStyle w:val="FootnoteReference"/>
          <w:rFonts w:ascii="KaiTi_GB2312" w:hint="eastAsia"/>
          <w:b/>
          <w:bCs/>
          <w:color w:val="000000"/>
          <w:sz w:val="22"/>
          <w:lang w:val="pt-PT"/>
        </w:rPr>
      </w:pPr>
      <w:r>
        <w:rPr>
          <w:rStyle w:val="FootnoteReference"/>
          <w:rFonts w:ascii="KaiTi_GB2312"/>
          <w:color w:val="000000"/>
          <w:sz w:val="22"/>
        </w:rPr>
        <w:footnoteRef/>
      </w:r>
      <w:r>
        <w:rPr>
          <w:rStyle w:val="FootnoteReference"/>
          <w:rFonts w:ascii="KaiTi_GB2312"/>
          <w:b/>
          <w:bCs/>
          <w:color w:val="000000"/>
          <w:sz w:val="22"/>
          <w:lang w:val="pt-PT"/>
        </w:rPr>
        <w:t xml:space="preserve"> </w:t>
      </w:r>
      <w:r>
        <w:rPr>
          <w:rFonts w:ascii="KaiTi_GB2312" w:eastAsia="KaiTi_GB2312"/>
          <w:bCs/>
          <w:color w:val="000000"/>
          <w:sz w:val="22"/>
          <w:lang w:val="pt-PT"/>
        </w:rPr>
        <w:t xml:space="preserve"> </w:t>
      </w:r>
      <w:r>
        <w:rPr>
          <w:rFonts w:ascii="KaiTi_GB2312" w:eastAsia="KaiTi_GB2312" w:hint="eastAsia"/>
          <w:bCs/>
          <w:color w:val="000000"/>
          <w:sz w:val="22"/>
          <w:lang w:val="pt-PT"/>
        </w:rPr>
        <w:t>例如，司法领域的效率较低，针对警察的监督机制较薄弱，非政府组织——例如：司法系统监测方案、法律人权与正义基金会、人权监督网——都对这一问题表示担心。</w:t>
      </w:r>
    </w:p>
  </w:footnote>
  <w:footnote w:id="155">
    <w:p w:rsidR="00692915" w:rsidRDefault="00692915" w:rsidP="009A1C1B">
      <w:pPr>
        <w:tabs>
          <w:tab w:val="left" w:pos="780"/>
        </w:tabs>
        <w:spacing w:line="288" w:lineRule="auto"/>
        <w:ind w:firstLine="31680"/>
        <w:rPr>
          <w:rFonts w:ascii="KaiTi_GB2312" w:eastAsia="KaiTi_GB2312" w:hint="eastAsia"/>
          <w:bCs/>
          <w:color w:val="000000"/>
          <w:sz w:val="22"/>
          <w:lang w:val="pt-PT"/>
        </w:rPr>
      </w:pPr>
      <w:r>
        <w:rPr>
          <w:rStyle w:val="FootnoteReference"/>
          <w:rFonts w:ascii="KaiTi_GB2312"/>
          <w:color w:val="000000"/>
          <w:sz w:val="22"/>
        </w:rPr>
        <w:footnoteRef/>
      </w:r>
      <w:r>
        <w:rPr>
          <w:rFonts w:ascii="KaiTi_GB2312" w:eastAsia="KaiTi_GB2312"/>
          <w:bCs/>
          <w:color w:val="000000"/>
          <w:sz w:val="22"/>
          <w:lang w:val="pt-PT"/>
        </w:rPr>
        <w:t xml:space="preserve">  </w:t>
      </w:r>
      <w:r>
        <w:rPr>
          <w:rFonts w:ascii="KaiTi_GB2312" w:eastAsia="KaiTi_GB2312" w:hint="eastAsia"/>
          <w:bCs/>
          <w:color w:val="000000"/>
          <w:sz w:val="22"/>
          <w:lang w:val="pt-PT"/>
        </w:rPr>
        <w:t>《2002年国家发展计划》，第</w:t>
      </w:r>
      <w:r>
        <w:rPr>
          <w:rFonts w:ascii="KaiTi_GB2312" w:eastAsia="KaiTi_GB2312"/>
          <w:color w:val="000000"/>
          <w:sz w:val="22"/>
        </w:rPr>
        <w:t>2.13</w:t>
      </w:r>
      <w:r>
        <w:rPr>
          <w:rFonts w:ascii="KaiTi_GB2312" w:eastAsia="KaiTi_GB2312" w:hint="eastAsia"/>
          <w:color w:val="000000"/>
          <w:sz w:val="22"/>
        </w:rPr>
        <w:t>-</w:t>
      </w:r>
      <w:r>
        <w:rPr>
          <w:rFonts w:ascii="KaiTi_GB2312" w:eastAsia="KaiTi_GB2312"/>
          <w:color w:val="000000"/>
          <w:sz w:val="22"/>
        </w:rPr>
        <w:t>2.14</w:t>
      </w:r>
      <w:r>
        <w:rPr>
          <w:rFonts w:ascii="KaiTi_GB2312" w:eastAsia="KaiTi_GB2312" w:hint="eastAsia"/>
          <w:bCs/>
          <w:color w:val="000000"/>
          <w:sz w:val="22"/>
          <w:lang w:val="pt-PT"/>
        </w:rPr>
        <w:t>段。</w:t>
      </w:r>
    </w:p>
  </w:footnote>
  <w:footnote w:id="156">
    <w:p w:rsidR="00692915" w:rsidRDefault="00692915" w:rsidP="009A1C1B">
      <w:pPr>
        <w:tabs>
          <w:tab w:val="left" w:pos="780"/>
        </w:tabs>
        <w:spacing w:line="288" w:lineRule="auto"/>
        <w:ind w:firstLine="31680"/>
        <w:rPr>
          <w:rStyle w:val="FootnoteReference"/>
          <w:rFonts w:ascii="KaiTi_GB2312" w:hint="eastAsia"/>
          <w:b/>
          <w:bCs/>
          <w:color w:val="000000"/>
          <w:sz w:val="22"/>
          <w:lang w:val="pt-PT"/>
        </w:rPr>
      </w:pPr>
      <w:r>
        <w:rPr>
          <w:rStyle w:val="FootnoteReference"/>
          <w:rFonts w:ascii="KaiTi_GB2312"/>
          <w:color w:val="000000"/>
          <w:sz w:val="22"/>
        </w:rPr>
        <w:footnoteRef/>
      </w:r>
      <w:r>
        <w:rPr>
          <w:rFonts w:ascii="KaiTi_GB2312" w:eastAsia="KaiTi_GB2312" w:hint="eastAsia"/>
          <w:bCs/>
          <w:color w:val="000000"/>
          <w:sz w:val="22"/>
          <w:lang w:val="pt-PT"/>
        </w:rPr>
        <w:t xml:space="preserve"> </w:t>
      </w:r>
      <w:r>
        <w:rPr>
          <w:rFonts w:ascii="KaiTi_GB2312" w:eastAsia="KaiTi_GB2312"/>
          <w:bCs/>
          <w:color w:val="000000"/>
          <w:sz w:val="22"/>
          <w:lang w:val="pt-PT"/>
        </w:rPr>
        <w:tab/>
      </w:r>
      <w:r>
        <w:rPr>
          <w:rFonts w:ascii="KaiTi_GB2312" w:eastAsia="KaiTi_GB2312" w:hint="eastAsia"/>
          <w:bCs/>
          <w:color w:val="000000"/>
          <w:sz w:val="22"/>
          <w:lang w:val="pt-PT"/>
        </w:rPr>
        <w:t>见《2002年国家发展计划》，第2.16段以及附件2.1。</w:t>
      </w:r>
    </w:p>
  </w:footnote>
  <w:footnote w:id="157">
    <w:p w:rsidR="00692915" w:rsidRDefault="00692915" w:rsidP="009A1C1B">
      <w:pPr>
        <w:tabs>
          <w:tab w:val="left" w:pos="780"/>
        </w:tabs>
        <w:spacing w:line="288" w:lineRule="auto"/>
        <w:ind w:firstLine="31680"/>
        <w:rPr>
          <w:rFonts w:ascii="KaiTi_GB2312" w:eastAsia="KaiTi_GB2312" w:hint="eastAsia"/>
          <w:bCs/>
          <w:color w:val="000000"/>
          <w:sz w:val="22"/>
          <w:lang w:val="pt-PT"/>
        </w:rPr>
      </w:pPr>
      <w:r>
        <w:rPr>
          <w:rStyle w:val="FootnoteReference"/>
          <w:rFonts w:ascii="KaiTi_GB2312"/>
          <w:color w:val="000000"/>
          <w:sz w:val="22"/>
        </w:rPr>
        <w:footnoteRef/>
      </w:r>
      <w:r>
        <w:rPr>
          <w:rFonts w:ascii="KaiTi_GB2312" w:eastAsia="KaiTi_GB2312"/>
          <w:bCs/>
          <w:color w:val="000000"/>
          <w:sz w:val="22"/>
          <w:lang w:val="pt-PT"/>
        </w:rPr>
        <w:t xml:space="preserve"> </w:t>
      </w:r>
      <w:r>
        <w:rPr>
          <w:rFonts w:ascii="KaiTi_GB2312" w:eastAsia="KaiTi_GB2312"/>
          <w:bCs/>
          <w:color w:val="000000"/>
          <w:sz w:val="22"/>
          <w:lang w:val="pt-PT"/>
        </w:rPr>
        <w:tab/>
      </w:r>
      <w:r>
        <w:rPr>
          <w:rFonts w:ascii="KaiTi_GB2312" w:eastAsia="KaiTi_GB2312" w:hint="eastAsia"/>
          <w:bCs/>
          <w:color w:val="000000"/>
          <w:sz w:val="22"/>
          <w:lang w:val="pt-PT"/>
        </w:rPr>
        <w:t>根据定义，基础教育系指头9年的教育。</w:t>
      </w:r>
    </w:p>
  </w:footnote>
  <w:footnote w:id="158">
    <w:p w:rsidR="00692915" w:rsidRDefault="00692915" w:rsidP="009A1C1B">
      <w:pPr>
        <w:tabs>
          <w:tab w:val="left" w:pos="780"/>
        </w:tabs>
        <w:spacing w:line="288" w:lineRule="auto"/>
        <w:ind w:firstLine="31680"/>
        <w:rPr>
          <w:rStyle w:val="FootnoteReference"/>
          <w:rFonts w:ascii="KaiTi_GB2312" w:hint="eastAsia"/>
          <w:b/>
          <w:bCs/>
          <w:color w:val="000000"/>
          <w:sz w:val="22"/>
          <w:lang w:val="pt-PT"/>
        </w:rPr>
      </w:pPr>
      <w:r>
        <w:rPr>
          <w:rStyle w:val="FootnoteReference"/>
          <w:rFonts w:ascii="KaiTi_GB2312"/>
          <w:color w:val="000000"/>
          <w:sz w:val="22"/>
        </w:rPr>
        <w:footnoteRef/>
      </w:r>
      <w:r>
        <w:rPr>
          <w:rFonts w:ascii="KaiTi_GB2312" w:eastAsia="KaiTi_GB2312"/>
          <w:bCs/>
          <w:color w:val="000000"/>
          <w:sz w:val="22"/>
          <w:lang w:val="pt-PT"/>
        </w:rPr>
        <w:t xml:space="preserve"> </w:t>
      </w:r>
      <w:r>
        <w:rPr>
          <w:rFonts w:ascii="KaiTi_GB2312" w:eastAsia="KaiTi_GB2312" w:hint="eastAsia"/>
          <w:bCs/>
          <w:color w:val="000000"/>
          <w:sz w:val="22"/>
          <w:lang w:val="pt-PT"/>
        </w:rPr>
        <w:t>《东帝汶：教育与培训部门投资方案》，2005年4月，第12页。</w:t>
      </w:r>
    </w:p>
  </w:footnote>
  <w:footnote w:id="159">
    <w:p w:rsidR="00692915" w:rsidRDefault="00692915" w:rsidP="009A1C1B">
      <w:pPr>
        <w:tabs>
          <w:tab w:val="left" w:pos="780"/>
        </w:tabs>
        <w:spacing w:line="288" w:lineRule="auto"/>
        <w:ind w:firstLine="31680"/>
        <w:rPr>
          <w:rStyle w:val="FootnoteReference"/>
          <w:rFonts w:ascii="KaiTi_GB2312" w:hint="eastAsia"/>
          <w:b/>
          <w:bCs/>
          <w:color w:val="000000"/>
          <w:sz w:val="22"/>
          <w:lang w:val="pt-PT"/>
        </w:rPr>
      </w:pPr>
      <w:r>
        <w:rPr>
          <w:rStyle w:val="FootnoteReference"/>
          <w:rFonts w:ascii="KaiTi_GB2312"/>
          <w:color w:val="000000"/>
          <w:sz w:val="22"/>
        </w:rPr>
        <w:footnoteRef/>
      </w:r>
      <w:r>
        <w:rPr>
          <w:rFonts w:ascii="KaiTi_GB2312" w:eastAsia="KaiTi_GB2312"/>
          <w:bCs/>
          <w:color w:val="000000"/>
          <w:sz w:val="22"/>
          <w:lang w:val="pt-PT"/>
        </w:rPr>
        <w:t xml:space="preserve"> </w:t>
      </w:r>
      <w:r>
        <w:rPr>
          <w:rFonts w:ascii="KaiTi_GB2312" w:eastAsia="KaiTi_GB2312" w:hint="eastAsia"/>
          <w:bCs/>
          <w:color w:val="000000"/>
          <w:sz w:val="22"/>
          <w:lang w:val="pt-PT"/>
        </w:rPr>
        <w:t>《2002年国家发展计划》，第</w:t>
      </w:r>
      <w:r>
        <w:rPr>
          <w:rFonts w:ascii="KaiTi_GB2312" w:eastAsia="KaiTi_GB2312"/>
          <w:bCs/>
          <w:color w:val="000000"/>
          <w:sz w:val="22"/>
          <w:lang w:val="pt-PT"/>
        </w:rPr>
        <w:t>8.45（e）</w:t>
      </w:r>
      <w:r>
        <w:rPr>
          <w:rFonts w:ascii="KaiTi_GB2312" w:eastAsia="KaiTi_GB2312" w:hint="eastAsia"/>
          <w:bCs/>
          <w:color w:val="000000"/>
          <w:sz w:val="22"/>
          <w:lang w:val="pt-PT"/>
        </w:rPr>
        <w:t>段。</w:t>
      </w:r>
    </w:p>
  </w:footnote>
  <w:footnote w:id="160">
    <w:p w:rsidR="00692915" w:rsidRDefault="00692915" w:rsidP="009A1C1B">
      <w:pPr>
        <w:tabs>
          <w:tab w:val="left" w:pos="780"/>
        </w:tabs>
        <w:spacing w:line="288" w:lineRule="auto"/>
        <w:ind w:firstLine="31680"/>
        <w:rPr>
          <w:rStyle w:val="FootnoteReference"/>
          <w:rFonts w:ascii="KaiTi_GB2312" w:hint="eastAsia"/>
          <w:b/>
          <w:bCs/>
          <w:color w:val="000000"/>
          <w:sz w:val="22"/>
          <w:lang w:val="pt-PT"/>
        </w:rPr>
      </w:pPr>
      <w:r>
        <w:rPr>
          <w:rStyle w:val="FootnoteReference"/>
          <w:rFonts w:ascii="KaiTi_GB2312"/>
          <w:color w:val="000000"/>
          <w:sz w:val="22"/>
        </w:rPr>
        <w:footnoteRef/>
      </w:r>
      <w:r>
        <w:rPr>
          <w:rStyle w:val="FootnoteReference"/>
          <w:rFonts w:ascii="KaiTi_GB2312"/>
          <w:b/>
          <w:bCs/>
          <w:color w:val="000000"/>
          <w:sz w:val="22"/>
          <w:lang w:val="pt-PT"/>
        </w:rPr>
        <w:t xml:space="preserve">  </w:t>
      </w:r>
      <w:r>
        <w:rPr>
          <w:rFonts w:ascii="KaiTi_GB2312" w:eastAsia="KaiTi_GB2312" w:hint="eastAsia"/>
          <w:bCs/>
          <w:color w:val="000000"/>
          <w:sz w:val="22"/>
          <w:lang w:val="pt-PT"/>
        </w:rPr>
        <w:t>《东帝汶：部门投资方案，权利、正义与平等》，2005年4月，第26页。</w:t>
      </w:r>
    </w:p>
  </w:footnote>
  <w:footnote w:id="161">
    <w:p w:rsidR="00692915" w:rsidRDefault="00692915" w:rsidP="009A1C1B">
      <w:pPr>
        <w:tabs>
          <w:tab w:val="left" w:pos="780"/>
        </w:tabs>
        <w:spacing w:line="288" w:lineRule="auto"/>
        <w:ind w:firstLine="31680"/>
        <w:rPr>
          <w:rFonts w:ascii="KaiTi_GB2312" w:eastAsia="KaiTi_GB2312" w:hint="eastAsia"/>
          <w:bCs/>
          <w:color w:val="000000"/>
          <w:sz w:val="22"/>
          <w:lang w:val="pt-PT"/>
        </w:rPr>
      </w:pPr>
      <w:r>
        <w:rPr>
          <w:rStyle w:val="FootnoteReference"/>
          <w:rFonts w:ascii="KaiTi_GB2312"/>
          <w:color w:val="000000"/>
          <w:sz w:val="22"/>
        </w:rPr>
        <w:footnoteRef/>
      </w:r>
      <w:r>
        <w:rPr>
          <w:rFonts w:ascii="KaiTi_GB2312" w:eastAsia="KaiTi_GB2312"/>
          <w:bCs/>
          <w:color w:val="000000"/>
          <w:sz w:val="22"/>
          <w:lang w:val="pt-PT"/>
        </w:rPr>
        <w:t xml:space="preserve"> </w:t>
      </w:r>
      <w:r>
        <w:rPr>
          <w:rFonts w:ascii="KaiTi_GB2312" w:eastAsia="KaiTi_GB2312" w:hint="eastAsia"/>
          <w:bCs/>
          <w:color w:val="000000"/>
          <w:sz w:val="22"/>
          <w:lang w:val="pt-PT"/>
        </w:rPr>
        <w:t>《2002年多指标类集调查》，儿童基金会，2003年。</w:t>
      </w:r>
    </w:p>
  </w:footnote>
  <w:footnote w:id="162">
    <w:p w:rsidR="00692915" w:rsidRDefault="00692915" w:rsidP="009A1C1B">
      <w:pPr>
        <w:pStyle w:val="FootnoteText"/>
        <w:tabs>
          <w:tab w:val="left" w:pos="780"/>
        </w:tabs>
        <w:ind w:firstLine="31680"/>
        <w:rPr>
          <w:rFonts w:ascii="KaiTi_GB2312" w:hint="eastAsia"/>
          <w:color w:val="000000"/>
          <w:lang w:val="pt-PT"/>
        </w:rPr>
      </w:pPr>
      <w:r>
        <w:rPr>
          <w:rStyle w:val="FootnoteReference"/>
          <w:rFonts w:ascii="KaiTi_GB2312"/>
          <w:color w:val="000000"/>
          <w:sz w:val="22"/>
        </w:rPr>
        <w:footnoteRef/>
      </w:r>
      <w:r>
        <w:rPr>
          <w:rFonts w:ascii="KaiTi_GB2312"/>
          <w:color w:val="000000"/>
          <w:lang w:val="pt-PT"/>
        </w:rPr>
        <w:t xml:space="preserve">  </w:t>
      </w:r>
      <w:r>
        <w:rPr>
          <w:rFonts w:ascii="KaiTi_GB2312" w:hint="eastAsia"/>
          <w:bCs/>
          <w:color w:val="000000"/>
          <w:lang w:val="pt-PT"/>
        </w:rPr>
        <w:t>促进平等事务内阁，“关于纳入性别平等政策的指南——提高公共治理与管理的效率”， 2003年。</w:t>
      </w:r>
    </w:p>
  </w:footnote>
  <w:footnote w:id="163">
    <w:p w:rsidR="00692915" w:rsidRDefault="00692915" w:rsidP="009A1C1B">
      <w:pPr>
        <w:tabs>
          <w:tab w:val="left" w:pos="780"/>
        </w:tabs>
        <w:spacing w:line="288" w:lineRule="auto"/>
        <w:ind w:firstLine="31680"/>
        <w:rPr>
          <w:rStyle w:val="FootnoteReference"/>
          <w:rFonts w:ascii="KaiTi_GB2312" w:hint="eastAsia"/>
          <w:b/>
          <w:bCs/>
          <w:color w:val="000000"/>
          <w:sz w:val="22"/>
          <w:lang w:val="pt-PT"/>
        </w:rPr>
      </w:pPr>
      <w:r>
        <w:rPr>
          <w:rStyle w:val="FootnoteReference"/>
          <w:rFonts w:ascii="KaiTi_GB2312"/>
          <w:color w:val="000000"/>
          <w:sz w:val="22"/>
        </w:rPr>
        <w:footnoteRef/>
      </w:r>
      <w:r>
        <w:rPr>
          <w:rStyle w:val="FootnoteReference"/>
          <w:rFonts w:ascii="KaiTi_GB2312"/>
          <w:b/>
          <w:bCs/>
          <w:color w:val="000000"/>
          <w:sz w:val="22"/>
          <w:lang w:val="pt-PT"/>
        </w:rPr>
        <w:t xml:space="preserve"> </w:t>
      </w:r>
      <w:r>
        <w:rPr>
          <w:rFonts w:ascii="KaiTi_GB2312" w:eastAsia="KaiTi_GB2312"/>
          <w:bCs/>
          <w:color w:val="000000"/>
          <w:sz w:val="22"/>
          <w:lang w:val="pt-PT"/>
        </w:rPr>
        <w:t xml:space="preserve"> </w:t>
      </w:r>
      <w:r>
        <w:rPr>
          <w:rFonts w:ascii="KaiTi_GB2312" w:eastAsia="KaiTi_GB2312" w:hint="eastAsia"/>
          <w:bCs/>
          <w:color w:val="000000"/>
          <w:sz w:val="22"/>
          <w:lang w:val="pt-PT"/>
        </w:rPr>
        <w:t>《东帝汶：部门投资方案，权利、正义与平等》，2005年4月，第27页。</w:t>
      </w:r>
    </w:p>
  </w:footnote>
  <w:footnote w:id="164">
    <w:p w:rsidR="00692915" w:rsidRDefault="00692915" w:rsidP="009A1C1B">
      <w:pPr>
        <w:tabs>
          <w:tab w:val="left" w:pos="780"/>
        </w:tabs>
        <w:spacing w:line="288" w:lineRule="auto"/>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b/>
          <w:bCs/>
          <w:color w:val="000000"/>
          <w:sz w:val="22"/>
        </w:rPr>
        <w:tab/>
      </w:r>
      <w:r>
        <w:rPr>
          <w:rStyle w:val="FootnoteReference"/>
          <w:rFonts w:ascii="KaiTi_GB2312"/>
          <w:color w:val="000000"/>
          <w:sz w:val="22"/>
          <w:vertAlign w:val="baseline"/>
        </w:rPr>
        <w:t>HRI/MC/2004/3</w:t>
      </w:r>
      <w:r>
        <w:rPr>
          <w:rStyle w:val="FootnoteReference"/>
          <w:rFonts w:ascii="KaiTi_GB2312" w:hint="eastAsia"/>
          <w:color w:val="000000"/>
          <w:sz w:val="22"/>
          <w:vertAlign w:val="baseline"/>
        </w:rPr>
        <w:t>。</w:t>
      </w:r>
    </w:p>
  </w:footnote>
  <w:footnote w:id="165">
    <w:p w:rsidR="00692915" w:rsidRDefault="00692915" w:rsidP="009A1C1B">
      <w:pPr>
        <w:tabs>
          <w:tab w:val="left" w:pos="780"/>
        </w:tabs>
        <w:spacing w:line="288" w:lineRule="auto"/>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b/>
          <w:bCs/>
          <w:color w:val="000000"/>
          <w:sz w:val="22"/>
        </w:rPr>
        <w:tab/>
      </w:r>
      <w:r>
        <w:rPr>
          <w:rFonts w:ascii="KaiTi_GB2312" w:eastAsia="KaiTi_GB2312" w:hint="eastAsia"/>
          <w:bCs/>
          <w:color w:val="000000"/>
          <w:sz w:val="22"/>
        </w:rPr>
        <w:t>在为制定行动计划而召开咨询研讨会后，总理于2004年1月6日根据该研讨会的建议要求每个部、国务秘书处都任命一名人权事务联络官员。该联络员将与人权顾问密切合作，并在人权顾问的协调下开展人权和善治方面的工作。</w:t>
      </w:r>
    </w:p>
  </w:footnote>
  <w:footnote w:id="166">
    <w:p w:rsidR="00692915" w:rsidRDefault="00692915" w:rsidP="009A1C1B">
      <w:pPr>
        <w:tabs>
          <w:tab w:val="left" w:pos="780"/>
        </w:tabs>
        <w:spacing w:line="288" w:lineRule="auto"/>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b/>
          <w:bCs/>
          <w:color w:val="000000"/>
          <w:sz w:val="22"/>
        </w:rPr>
        <w:tab/>
      </w:r>
      <w:r>
        <w:rPr>
          <w:rFonts w:ascii="KaiTi_GB2312" w:eastAsia="KaiTi_GB2312" w:hint="eastAsia"/>
          <w:bCs/>
          <w:color w:val="000000"/>
          <w:sz w:val="22"/>
        </w:rPr>
        <w:t>2004年5月3日至7日在帝力纪念堂召开的有关数据收集的研讨会。</w:t>
      </w:r>
      <w:r>
        <w:rPr>
          <w:rStyle w:val="FootnoteReference"/>
          <w:rFonts w:ascii="KaiTi_GB2312" w:hint="eastAsia"/>
          <w:b/>
          <w:bCs/>
          <w:color w:val="000000"/>
          <w:sz w:val="22"/>
        </w:rPr>
        <w:t xml:space="preserve"> </w:t>
      </w:r>
    </w:p>
  </w:footnote>
  <w:footnote w:id="167">
    <w:p w:rsidR="00692915" w:rsidRDefault="00692915" w:rsidP="009A1C1B">
      <w:pPr>
        <w:tabs>
          <w:tab w:val="left" w:pos="780"/>
        </w:tabs>
        <w:spacing w:line="288" w:lineRule="auto"/>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b/>
          <w:bCs/>
          <w:color w:val="000000"/>
          <w:sz w:val="22"/>
        </w:rPr>
        <w:tab/>
      </w:r>
      <w:r>
        <w:rPr>
          <w:rFonts w:ascii="KaiTi_GB2312" w:eastAsia="KaiTi_GB2312" w:hint="eastAsia"/>
          <w:bCs/>
          <w:color w:val="000000"/>
          <w:sz w:val="22"/>
        </w:rPr>
        <w:t>在几个月期间组织了数次会议。社会化还需要媒体的支持。</w:t>
      </w:r>
    </w:p>
  </w:footnote>
  <w:footnote w:id="168">
    <w:p w:rsidR="00692915" w:rsidRDefault="00692915" w:rsidP="009A1C1B">
      <w:pPr>
        <w:tabs>
          <w:tab w:val="left" w:pos="780"/>
        </w:tabs>
        <w:spacing w:line="288" w:lineRule="auto"/>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b/>
          <w:bCs/>
          <w:color w:val="000000"/>
          <w:sz w:val="22"/>
        </w:rPr>
        <w:tab/>
      </w:r>
      <w:r>
        <w:rPr>
          <w:rFonts w:ascii="KaiTi_GB2312" w:eastAsia="KaiTi_GB2312" w:hint="eastAsia"/>
          <w:bCs/>
          <w:color w:val="000000"/>
          <w:sz w:val="22"/>
        </w:rPr>
        <w:t>2005年6月24日至25日，帝汶抵抗运动全国委员会在帝力巴利德（</w:t>
      </w:r>
      <w:r>
        <w:rPr>
          <w:rFonts w:ascii="KaiTi_GB2312" w:eastAsia="KaiTi_GB2312"/>
          <w:bCs/>
          <w:color w:val="000000"/>
          <w:sz w:val="22"/>
        </w:rPr>
        <w:t>Balide</w:t>
      </w:r>
      <w:r>
        <w:rPr>
          <w:rFonts w:ascii="KaiTi_GB2312" w:eastAsia="KaiTi_GB2312" w:hint="eastAsia"/>
          <w:bCs/>
          <w:color w:val="000000"/>
          <w:sz w:val="22"/>
        </w:rPr>
        <w:t>）召开的社会、经济与文化权利研讨会。</w:t>
      </w:r>
    </w:p>
  </w:footnote>
  <w:footnote w:id="169">
    <w:p w:rsidR="00692915" w:rsidRDefault="00692915" w:rsidP="009A1C1B">
      <w:pPr>
        <w:tabs>
          <w:tab w:val="left" w:pos="780"/>
        </w:tabs>
        <w:spacing w:line="288" w:lineRule="auto"/>
        <w:ind w:firstLine="31680"/>
        <w:rPr>
          <w:rStyle w:val="FootnoteReference"/>
          <w:rFonts w:ascii="KaiTi_GB2312" w:hint="eastAsia"/>
          <w:b/>
          <w:bCs/>
          <w:color w:val="000000"/>
          <w:sz w:val="22"/>
        </w:rPr>
      </w:pPr>
      <w:r>
        <w:rPr>
          <w:rStyle w:val="FootnoteReference"/>
          <w:rFonts w:ascii="KaiTi_GB2312"/>
          <w:color w:val="000000"/>
          <w:sz w:val="22"/>
        </w:rPr>
        <w:footnoteRef/>
      </w:r>
      <w:r>
        <w:rPr>
          <w:rFonts w:ascii="KaiTi_GB2312" w:eastAsia="KaiTi_GB2312" w:hint="eastAsia"/>
          <w:bCs/>
          <w:color w:val="000000"/>
          <w:sz w:val="22"/>
        </w:rPr>
        <w:t xml:space="preserve"> </w:t>
      </w:r>
      <w:r>
        <w:rPr>
          <w:rFonts w:ascii="KaiTi_GB2312" w:eastAsia="KaiTi_GB2312"/>
          <w:bCs/>
          <w:color w:val="000000"/>
          <w:sz w:val="22"/>
        </w:rPr>
        <w:tab/>
      </w:r>
      <w:r>
        <w:rPr>
          <w:rFonts w:ascii="KaiTi_GB2312" w:eastAsia="KaiTi_GB2312" w:hint="eastAsia"/>
          <w:bCs/>
          <w:color w:val="000000"/>
          <w:sz w:val="22"/>
        </w:rPr>
        <w:t>为包考、洛斯帕洛斯、维克克和</w:t>
      </w:r>
      <w:r>
        <w:rPr>
          <w:rFonts w:ascii="KaiTi_GB2312" w:eastAsia="KaiTi_GB2312"/>
          <w:bCs/>
          <w:color w:val="000000"/>
          <w:sz w:val="22"/>
        </w:rPr>
        <w:t>马纳图托</w:t>
      </w:r>
      <w:r>
        <w:rPr>
          <w:rFonts w:ascii="KaiTi_GB2312" w:eastAsia="KaiTi_GB2312" w:hint="eastAsia"/>
          <w:bCs/>
          <w:color w:val="000000"/>
          <w:sz w:val="22"/>
        </w:rPr>
        <w:t>等地区举行的研讨会。</w:t>
      </w:r>
    </w:p>
  </w:footnote>
  <w:footnote w:id="170">
    <w:p w:rsidR="00692915" w:rsidRDefault="00692915" w:rsidP="009A1C1B">
      <w:pPr>
        <w:tabs>
          <w:tab w:val="left" w:pos="780"/>
        </w:tabs>
        <w:spacing w:line="288" w:lineRule="auto"/>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eastAsia="KaiTi_GB2312"/>
          <w:bCs/>
          <w:color w:val="000000"/>
          <w:sz w:val="22"/>
        </w:rPr>
        <w:t xml:space="preserve"> </w:t>
      </w:r>
      <w:r>
        <w:rPr>
          <w:rFonts w:ascii="KaiTi_GB2312" w:eastAsia="KaiTi_GB2312" w:hint="eastAsia"/>
          <w:bCs/>
          <w:color w:val="000000"/>
          <w:sz w:val="22"/>
        </w:rPr>
        <w:t>为阿伊莱乌、萨姆、艾纳鲁和</w:t>
      </w:r>
      <w:r>
        <w:rPr>
          <w:rFonts w:ascii="KaiTi_GB2312" w:eastAsia="KaiTi_GB2312" w:hAnsi="Arial" w:cs="Arial" w:hint="eastAsia"/>
          <w:color w:val="000000"/>
          <w:sz w:val="22"/>
        </w:rPr>
        <w:t>科瓦利马等地区召开的研讨会。</w:t>
      </w:r>
    </w:p>
  </w:footnote>
  <w:footnote w:id="171">
    <w:p w:rsidR="00692915" w:rsidRDefault="00692915" w:rsidP="009A1C1B">
      <w:pPr>
        <w:tabs>
          <w:tab w:val="left" w:pos="780"/>
        </w:tabs>
        <w:spacing w:line="288" w:lineRule="auto"/>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b/>
          <w:bCs/>
          <w:color w:val="000000"/>
          <w:sz w:val="22"/>
        </w:rPr>
        <w:tab/>
      </w:r>
      <w:r>
        <w:rPr>
          <w:rFonts w:ascii="KaiTi_GB2312" w:eastAsia="KaiTi_GB2312" w:hint="eastAsia"/>
          <w:bCs/>
          <w:color w:val="000000"/>
          <w:sz w:val="22"/>
        </w:rPr>
        <w:t>为马利亚纳、埃尔梅拉和利基萨等地区召开的研讨会。</w:t>
      </w:r>
    </w:p>
  </w:footnote>
  <w:footnote w:id="172">
    <w:p w:rsidR="00692915" w:rsidRDefault="00692915" w:rsidP="009A1C1B">
      <w:pPr>
        <w:tabs>
          <w:tab w:val="left" w:pos="780"/>
        </w:tabs>
        <w:spacing w:line="288" w:lineRule="auto"/>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b/>
          <w:bCs/>
          <w:color w:val="000000"/>
          <w:sz w:val="22"/>
        </w:rPr>
        <w:tab/>
      </w:r>
      <w:r>
        <w:rPr>
          <w:rFonts w:ascii="KaiTi_GB2312" w:eastAsia="KaiTi_GB2312" w:hint="eastAsia"/>
          <w:bCs/>
          <w:color w:val="000000"/>
          <w:sz w:val="22"/>
        </w:rPr>
        <w:t>为尼提贝、帕萨贝、欧西罗、潘特马卡萨里等地区召开的研讨会。</w:t>
      </w:r>
    </w:p>
  </w:footnote>
  <w:footnote w:id="173">
    <w:p w:rsidR="00692915" w:rsidRDefault="00692915" w:rsidP="009A1C1B">
      <w:pPr>
        <w:tabs>
          <w:tab w:val="left" w:pos="780"/>
        </w:tabs>
        <w:spacing w:line="288" w:lineRule="auto"/>
        <w:ind w:firstLine="31680"/>
        <w:rPr>
          <w:rStyle w:val="FootnoteReference"/>
          <w:rFonts w:ascii="KaiTi_GB2312" w:hint="eastAsia"/>
          <w:b/>
          <w:bCs/>
          <w:color w:val="000000"/>
          <w:sz w:val="22"/>
        </w:rPr>
      </w:pPr>
      <w:r>
        <w:rPr>
          <w:rStyle w:val="FootnoteReference"/>
          <w:rFonts w:ascii="KaiTi_GB2312"/>
          <w:color w:val="000000"/>
          <w:sz w:val="22"/>
        </w:rPr>
        <w:footnoteRef/>
      </w:r>
      <w:r>
        <w:rPr>
          <w:rFonts w:ascii="KaiTi_GB2312" w:eastAsia="KaiTi_GB2312" w:hint="eastAsia"/>
          <w:bCs/>
          <w:color w:val="000000"/>
          <w:sz w:val="22"/>
        </w:rPr>
        <w:t xml:space="preserve"> </w:t>
      </w:r>
      <w:r>
        <w:rPr>
          <w:rFonts w:ascii="KaiTi_GB2312" w:eastAsia="KaiTi_GB2312"/>
          <w:bCs/>
          <w:color w:val="000000"/>
          <w:sz w:val="22"/>
        </w:rPr>
        <w:tab/>
      </w:r>
      <w:r>
        <w:rPr>
          <w:rFonts w:ascii="KaiTi_GB2312" w:eastAsia="KaiTi_GB2312" w:hint="eastAsia"/>
          <w:bCs/>
          <w:color w:val="000000"/>
          <w:sz w:val="22"/>
        </w:rPr>
        <w:t>有必要强调的是，在每次研讨会召开之前、期间和之后，都需要做大量准备工作。每次会议所需要的后勤服务和人员也显示了东帝汶组织这些会议的现有能力。</w:t>
      </w:r>
      <w:r>
        <w:rPr>
          <w:rFonts w:ascii="KaiTi_GB2312" w:eastAsia="KaiTi_GB2312"/>
          <w:bCs/>
          <w:color w:val="000000"/>
          <w:sz w:val="22"/>
        </w:rPr>
        <w:t>东帝汶支助团</w:t>
      </w:r>
      <w:r>
        <w:rPr>
          <w:rFonts w:ascii="KaiTi_GB2312" w:eastAsia="KaiTi_GB2312" w:hint="eastAsia"/>
          <w:bCs/>
          <w:color w:val="000000"/>
          <w:sz w:val="22"/>
        </w:rPr>
        <w:t>的直升飞机发挥了重要作用。</w:t>
      </w:r>
    </w:p>
  </w:footnote>
  <w:footnote w:id="174">
    <w:p w:rsidR="00692915" w:rsidRDefault="00692915" w:rsidP="009A1C1B">
      <w:pPr>
        <w:tabs>
          <w:tab w:val="left" w:pos="780"/>
        </w:tabs>
        <w:spacing w:line="288" w:lineRule="auto"/>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b/>
          <w:bCs/>
          <w:color w:val="000000"/>
          <w:sz w:val="22"/>
        </w:rPr>
        <w:tab/>
      </w:r>
      <w:r>
        <w:rPr>
          <w:rFonts w:ascii="KaiTi_GB2312" w:eastAsia="KaiTi_GB2312" w:hint="eastAsia"/>
          <w:bCs/>
          <w:color w:val="000000"/>
          <w:sz w:val="22"/>
        </w:rPr>
        <w:t>2004年8月14日组织的会议。</w:t>
      </w:r>
    </w:p>
  </w:footnote>
  <w:footnote w:id="175">
    <w:p w:rsidR="00692915" w:rsidRDefault="00692915" w:rsidP="009A1C1B">
      <w:pPr>
        <w:tabs>
          <w:tab w:val="left" w:pos="780"/>
        </w:tabs>
        <w:spacing w:line="288" w:lineRule="auto"/>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b/>
          <w:bCs/>
          <w:color w:val="000000"/>
          <w:sz w:val="22"/>
        </w:rPr>
        <w:tab/>
      </w:r>
      <w:r>
        <w:rPr>
          <w:rFonts w:ascii="KaiTi_GB2312" w:eastAsia="KaiTi_GB2312" w:hint="eastAsia"/>
          <w:bCs/>
          <w:color w:val="000000"/>
          <w:sz w:val="22"/>
        </w:rPr>
        <w:t>县包括：哈图－布利可、巴扎特特、巴利博、图图阿拉、奥苏、帕萨贝和法图曼。</w:t>
      </w:r>
    </w:p>
  </w:footnote>
  <w:footnote w:id="176">
    <w:p w:rsidR="00692915" w:rsidRDefault="00692915" w:rsidP="009A1C1B">
      <w:pPr>
        <w:tabs>
          <w:tab w:val="left" w:pos="780"/>
        </w:tabs>
        <w:spacing w:line="288" w:lineRule="auto"/>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b/>
          <w:bCs/>
          <w:color w:val="000000"/>
          <w:sz w:val="22"/>
        </w:rPr>
        <w:tab/>
      </w:r>
      <w:r>
        <w:rPr>
          <w:rFonts w:ascii="KaiTi_GB2312" w:eastAsia="KaiTi_GB2312" w:hint="eastAsia"/>
          <w:bCs/>
          <w:color w:val="000000"/>
          <w:sz w:val="22"/>
        </w:rPr>
        <w:t>全国各地至少有1200人参加了这次研讨会。</w:t>
      </w:r>
    </w:p>
  </w:footnote>
  <w:footnote w:id="177">
    <w:p w:rsidR="00692915" w:rsidRDefault="00692915" w:rsidP="009A1C1B">
      <w:pPr>
        <w:tabs>
          <w:tab w:val="left" w:pos="780"/>
        </w:tabs>
        <w:spacing w:line="288" w:lineRule="auto"/>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b/>
          <w:bCs/>
          <w:color w:val="000000"/>
          <w:sz w:val="22"/>
        </w:rPr>
        <w:tab/>
      </w:r>
      <w:r>
        <w:rPr>
          <w:rFonts w:ascii="KaiTi_GB2312" w:eastAsia="KaiTi_GB2312" w:hint="eastAsia"/>
          <w:bCs/>
          <w:color w:val="000000"/>
          <w:sz w:val="22"/>
        </w:rPr>
        <w:t>需要对所有这些文件进行编写、分析、处理和翻译。</w:t>
      </w:r>
    </w:p>
  </w:footnote>
  <w:footnote w:id="178">
    <w:p w:rsidR="00692915" w:rsidRDefault="00692915" w:rsidP="009A1C1B">
      <w:pPr>
        <w:tabs>
          <w:tab w:val="left" w:pos="780"/>
        </w:tabs>
        <w:spacing w:line="288" w:lineRule="auto"/>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eastAsia="KaiTi_GB2312"/>
          <w:bCs/>
          <w:color w:val="000000"/>
          <w:sz w:val="22"/>
        </w:rPr>
        <w:t xml:space="preserve"> </w:t>
      </w:r>
      <w:r>
        <w:rPr>
          <w:rFonts w:ascii="KaiTi_GB2312" w:eastAsia="KaiTi_GB2312" w:hint="eastAsia"/>
          <w:bCs/>
          <w:color w:val="000000"/>
          <w:sz w:val="22"/>
        </w:rPr>
        <w:t>见《2005年国家人权行动计划》幻灯片介绍。</w:t>
      </w:r>
    </w:p>
  </w:footnote>
  <w:footnote w:id="179">
    <w:p w:rsidR="00692915" w:rsidRDefault="00692915" w:rsidP="009A1C1B">
      <w:pPr>
        <w:tabs>
          <w:tab w:val="left" w:pos="780"/>
        </w:tabs>
        <w:spacing w:line="288" w:lineRule="auto"/>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eastAsia="KaiTi_GB2312"/>
          <w:bCs/>
          <w:color w:val="000000"/>
          <w:sz w:val="22"/>
        </w:rPr>
        <w:t xml:space="preserve"> </w:t>
      </w:r>
      <w:r>
        <w:rPr>
          <w:rFonts w:ascii="KaiTi_GB2312" w:eastAsia="KaiTi_GB2312" w:hint="eastAsia"/>
          <w:bCs/>
          <w:color w:val="000000"/>
          <w:sz w:val="22"/>
        </w:rPr>
        <w:t>见附件三的定义。</w:t>
      </w:r>
    </w:p>
  </w:footnote>
  <w:footnote w:id="180">
    <w:p w:rsidR="00692915" w:rsidRDefault="00692915" w:rsidP="009A1C1B">
      <w:pPr>
        <w:tabs>
          <w:tab w:val="left" w:pos="780"/>
        </w:tabs>
        <w:spacing w:line="288" w:lineRule="auto"/>
        <w:ind w:firstLine="31680"/>
        <w:rPr>
          <w:rStyle w:val="FootnoteReference"/>
          <w:rFonts w:ascii="KaiTi_GB2312" w:hint="eastAsia"/>
          <w:b/>
          <w:bCs/>
          <w:color w:val="000000"/>
          <w:sz w:val="22"/>
        </w:rPr>
      </w:pPr>
      <w:r>
        <w:rPr>
          <w:rStyle w:val="FootnoteReference"/>
          <w:rFonts w:ascii="KaiTi_GB2312"/>
          <w:color w:val="000000"/>
          <w:sz w:val="22"/>
        </w:rPr>
        <w:footnoteRef/>
      </w:r>
      <w:r>
        <w:rPr>
          <w:rFonts w:ascii="KaiTi_GB2312" w:eastAsia="KaiTi_GB2312"/>
          <w:bCs/>
          <w:color w:val="000000"/>
          <w:sz w:val="22"/>
        </w:rPr>
        <w:t xml:space="preserve"> </w:t>
      </w:r>
      <w:r>
        <w:rPr>
          <w:rFonts w:ascii="KaiTi_GB2312" w:eastAsia="KaiTi_GB2312"/>
          <w:bCs/>
          <w:color w:val="000000"/>
          <w:sz w:val="22"/>
        </w:rPr>
        <w:tab/>
      </w:r>
      <w:r>
        <w:rPr>
          <w:rFonts w:ascii="KaiTi_GB2312" w:eastAsia="KaiTi_GB2312" w:hint="eastAsia"/>
          <w:bCs/>
          <w:color w:val="000000"/>
          <w:sz w:val="22"/>
        </w:rPr>
        <w:t>见《反家庭暴力法》中关于平等原则的第6条（即将出台，2006年）。</w:t>
      </w:r>
    </w:p>
  </w:footnote>
  <w:footnote w:id="181">
    <w:p w:rsidR="00692915" w:rsidRDefault="00692915" w:rsidP="009A1C1B">
      <w:pPr>
        <w:tabs>
          <w:tab w:val="left" w:pos="780"/>
        </w:tabs>
        <w:spacing w:line="288" w:lineRule="auto"/>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b/>
          <w:bCs/>
          <w:color w:val="000000"/>
          <w:sz w:val="22"/>
        </w:rPr>
        <w:tab/>
      </w:r>
      <w:r>
        <w:rPr>
          <w:rFonts w:ascii="KaiTi_GB2312" w:eastAsia="KaiTi_GB2312" w:hint="eastAsia"/>
          <w:bCs/>
          <w:color w:val="000000"/>
          <w:sz w:val="22"/>
        </w:rPr>
        <w:t>见第3条。</w:t>
      </w:r>
    </w:p>
  </w:footnote>
  <w:footnote w:id="182">
    <w:p w:rsidR="00692915" w:rsidRDefault="00692915" w:rsidP="009A1C1B">
      <w:pPr>
        <w:tabs>
          <w:tab w:val="left" w:pos="780"/>
        </w:tabs>
        <w:spacing w:line="288" w:lineRule="auto"/>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b/>
          <w:bCs/>
          <w:color w:val="000000"/>
          <w:sz w:val="22"/>
        </w:rPr>
        <w:tab/>
      </w:r>
      <w:r>
        <w:rPr>
          <w:rFonts w:ascii="KaiTi_GB2312" w:eastAsia="KaiTi_GB2312" w:hint="eastAsia"/>
          <w:bCs/>
          <w:color w:val="000000"/>
          <w:sz w:val="22"/>
        </w:rPr>
        <w:t>如果某个群体明显优于另一群体，将会产生直接歧视的问题，例如：在资源分配上，可能会出现这种问题。</w:t>
      </w:r>
    </w:p>
  </w:footnote>
  <w:footnote w:id="183">
    <w:p w:rsidR="00692915" w:rsidRDefault="00692915" w:rsidP="009A1C1B">
      <w:pPr>
        <w:tabs>
          <w:tab w:val="left" w:pos="780"/>
        </w:tabs>
        <w:spacing w:line="288" w:lineRule="auto"/>
        <w:ind w:firstLine="31680"/>
        <w:rPr>
          <w:rStyle w:val="FootnoteReference"/>
          <w:rFonts w:ascii="KaiTi_GB2312" w:hint="eastAsia"/>
          <w:b/>
          <w:bCs/>
          <w:color w:val="000000"/>
          <w:sz w:val="22"/>
        </w:rPr>
      </w:pPr>
      <w:r>
        <w:rPr>
          <w:rStyle w:val="FootnoteReference"/>
          <w:rFonts w:ascii="KaiTi_GB2312"/>
          <w:color w:val="000000"/>
          <w:sz w:val="22"/>
        </w:rPr>
        <w:footnoteRef/>
      </w:r>
      <w:r>
        <w:rPr>
          <w:rFonts w:ascii="KaiTi_GB2312" w:eastAsia="KaiTi_GB2312" w:hint="eastAsia"/>
          <w:bCs/>
          <w:color w:val="000000"/>
          <w:sz w:val="22"/>
        </w:rPr>
        <w:t xml:space="preserve"> </w:t>
      </w:r>
      <w:r>
        <w:rPr>
          <w:rFonts w:ascii="KaiTi_GB2312" w:eastAsia="KaiTi_GB2312"/>
          <w:bCs/>
          <w:color w:val="000000"/>
          <w:sz w:val="22"/>
        </w:rPr>
        <w:tab/>
      </w:r>
      <w:r>
        <w:rPr>
          <w:rFonts w:ascii="KaiTi_GB2312" w:eastAsia="KaiTi_GB2312" w:hint="eastAsia"/>
          <w:bCs/>
          <w:color w:val="000000"/>
          <w:sz w:val="22"/>
        </w:rPr>
        <w:t>如果两个群体之间的差别不明显，但是政策偏向于某一群体时，可能会产生间接歧视的问题。例如：地方当局决定只对那些领受过圣洗的儿童签发出生证，尽管这不是直接歧视，但是其结果可能是：只有天主教儿童才能领到出生证，因此，这是基于宗教信仰的间接歧视。</w:t>
      </w:r>
    </w:p>
  </w:footnote>
  <w:footnote w:id="184">
    <w:p w:rsidR="00692915" w:rsidRDefault="00692915" w:rsidP="009A1C1B">
      <w:pPr>
        <w:tabs>
          <w:tab w:val="left" w:pos="780"/>
        </w:tabs>
        <w:spacing w:line="288" w:lineRule="auto"/>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eastAsia="KaiTi_GB2312"/>
          <w:bCs/>
          <w:color w:val="000000"/>
          <w:sz w:val="22"/>
        </w:rPr>
        <w:tab/>
      </w:r>
      <w:r>
        <w:rPr>
          <w:rFonts w:ascii="KaiTi_GB2312" w:eastAsia="KaiTi_GB2312" w:hint="eastAsia"/>
          <w:bCs/>
          <w:color w:val="000000"/>
          <w:sz w:val="22"/>
        </w:rPr>
        <w:t>全国的地区专题小组讨论中反映了这一问题。</w:t>
      </w:r>
    </w:p>
  </w:footnote>
  <w:footnote w:id="185">
    <w:p w:rsidR="00692915" w:rsidRDefault="00692915" w:rsidP="009A1C1B">
      <w:pPr>
        <w:tabs>
          <w:tab w:val="left" w:pos="780"/>
        </w:tabs>
        <w:spacing w:line="288" w:lineRule="auto"/>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eastAsia="KaiTi_GB2312"/>
          <w:bCs/>
          <w:color w:val="000000"/>
          <w:sz w:val="22"/>
        </w:rPr>
        <w:t xml:space="preserve"> </w:t>
      </w:r>
      <w:r>
        <w:rPr>
          <w:rFonts w:ascii="KaiTi_GB2312" w:eastAsia="KaiTi_GB2312" w:hint="eastAsia"/>
          <w:bCs/>
          <w:color w:val="000000"/>
          <w:sz w:val="22"/>
        </w:rPr>
        <w:t>《</w:t>
      </w:r>
      <w:r>
        <w:rPr>
          <w:rFonts w:ascii="KaiTi_GB2312" w:eastAsia="KaiTi_GB2312"/>
          <w:bCs/>
          <w:color w:val="000000"/>
          <w:sz w:val="22"/>
        </w:rPr>
        <w:t>东帝汶民主共和国宪法</w:t>
      </w:r>
      <w:r>
        <w:rPr>
          <w:rFonts w:ascii="KaiTi_GB2312" w:eastAsia="KaiTi_GB2312" w:hint="eastAsia"/>
          <w:bCs/>
          <w:color w:val="000000"/>
          <w:sz w:val="22"/>
        </w:rPr>
        <w:t>》，第</w:t>
      </w:r>
      <w:r>
        <w:rPr>
          <w:rFonts w:ascii="KaiTi_GB2312" w:eastAsia="KaiTi_GB2312"/>
          <w:bCs/>
          <w:color w:val="000000"/>
          <w:sz w:val="22"/>
        </w:rPr>
        <w:t>13.1</w:t>
      </w:r>
      <w:r>
        <w:rPr>
          <w:rFonts w:ascii="KaiTi_GB2312" w:eastAsia="KaiTi_GB2312" w:hint="eastAsia"/>
          <w:bCs/>
          <w:color w:val="000000"/>
          <w:sz w:val="22"/>
        </w:rPr>
        <w:t>条。</w:t>
      </w:r>
    </w:p>
  </w:footnote>
  <w:footnote w:id="186">
    <w:p w:rsidR="00692915" w:rsidRDefault="00692915" w:rsidP="009A1C1B">
      <w:pPr>
        <w:tabs>
          <w:tab w:val="left" w:pos="780"/>
        </w:tabs>
        <w:spacing w:line="288" w:lineRule="auto"/>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b/>
          <w:bCs/>
          <w:color w:val="000000"/>
          <w:sz w:val="22"/>
        </w:rPr>
        <w:tab/>
      </w:r>
      <w:r>
        <w:rPr>
          <w:rFonts w:ascii="KaiTi_GB2312" w:eastAsia="KaiTi_GB2312" w:hint="eastAsia"/>
          <w:bCs/>
          <w:color w:val="000000"/>
          <w:sz w:val="22"/>
        </w:rPr>
        <w:t>这与儿童基金会最近的报告形成鲜明对比。儿童基金会指出“全球残疾人估计数</w:t>
      </w:r>
      <w:r>
        <w:rPr>
          <w:rFonts w:ascii="SimSun" w:hAnsi="SimSun"/>
          <w:bCs/>
          <w:color w:val="000000"/>
          <w:sz w:val="22"/>
        </w:rPr>
        <w:t>……</w:t>
      </w:r>
      <w:r>
        <w:rPr>
          <w:rFonts w:ascii="KaiTi_GB2312" w:eastAsia="KaiTi_GB2312" w:hint="eastAsia"/>
          <w:bCs/>
          <w:color w:val="000000"/>
          <w:sz w:val="22"/>
        </w:rPr>
        <w:t>占总人口的4-8%”，但报告没有列明资料来源，这说明东帝汶残疾人所占的比率非常高（儿童基金会（2004年），第86-87页）。“全球估计数”的数据来源不清楚。更可靠的数据是，根据临时人口普查数据，身体残疾与心理残疾的比率大约与2000年调查的比率接近（见上文脚注）。</w:t>
      </w:r>
    </w:p>
  </w:footnote>
  <w:footnote w:id="187">
    <w:p w:rsidR="00692915" w:rsidRDefault="00692915" w:rsidP="009A1C1B">
      <w:pPr>
        <w:tabs>
          <w:tab w:val="left" w:pos="780"/>
        </w:tabs>
        <w:spacing w:line="288" w:lineRule="auto"/>
        <w:ind w:firstLine="31680"/>
        <w:rPr>
          <w:rStyle w:val="FootnoteReference"/>
          <w:rFonts w:ascii="KaiTi_GB2312" w:hint="eastAsia"/>
          <w:b/>
          <w:bCs/>
          <w:color w:val="000000"/>
          <w:sz w:val="22"/>
        </w:rPr>
      </w:pPr>
      <w:r>
        <w:rPr>
          <w:rStyle w:val="FootnoteReference"/>
          <w:rFonts w:ascii="KaiTi_GB2312"/>
          <w:color w:val="000000"/>
          <w:sz w:val="22"/>
        </w:rPr>
        <w:footnoteRef/>
      </w:r>
      <w:r>
        <w:rPr>
          <w:rFonts w:ascii="KaiTi_GB2312" w:eastAsia="KaiTi_GB2312"/>
          <w:bCs/>
          <w:color w:val="000000"/>
          <w:sz w:val="22"/>
        </w:rPr>
        <w:t xml:space="preserve"> </w:t>
      </w:r>
      <w:r>
        <w:rPr>
          <w:rFonts w:ascii="KaiTi_GB2312" w:eastAsia="KaiTi_GB2312" w:hint="eastAsia"/>
          <w:bCs/>
          <w:color w:val="000000"/>
          <w:sz w:val="22"/>
        </w:rPr>
        <w:t>《</w:t>
      </w:r>
      <w:r>
        <w:rPr>
          <w:rFonts w:ascii="KaiTi_GB2312" w:eastAsia="KaiTi_GB2312" w:hint="eastAsia"/>
          <w:bCs/>
          <w:color w:val="000000"/>
          <w:sz w:val="22"/>
          <w:szCs w:val="22"/>
        </w:rPr>
        <w:t>东帝汶：社会、民事和遗产保护部门投资方案》，2006年4月，第19页。</w:t>
      </w:r>
    </w:p>
  </w:footnote>
  <w:footnote w:id="188">
    <w:p w:rsidR="00692915" w:rsidRDefault="00692915" w:rsidP="009A1C1B">
      <w:pPr>
        <w:tabs>
          <w:tab w:val="left" w:pos="780"/>
        </w:tabs>
        <w:spacing w:line="288" w:lineRule="auto"/>
        <w:ind w:firstLine="31680"/>
        <w:rPr>
          <w:rFonts w:ascii="KaiTi_GB2312" w:eastAsia="KaiTi_GB2312" w:hint="eastAsia"/>
          <w:bCs/>
          <w:color w:val="000000"/>
          <w:sz w:val="22"/>
        </w:rPr>
      </w:pPr>
      <w:r>
        <w:rPr>
          <w:rStyle w:val="FootnoteReference"/>
          <w:rFonts w:ascii="KaiTi_GB2312"/>
          <w:color w:val="000000"/>
          <w:sz w:val="22"/>
        </w:rPr>
        <w:footnoteRef/>
      </w:r>
      <w:r>
        <w:rPr>
          <w:rFonts w:ascii="KaiTi_GB2312" w:eastAsia="KaiTi_GB2312"/>
          <w:bCs/>
          <w:color w:val="000000"/>
          <w:sz w:val="22"/>
        </w:rPr>
        <w:t xml:space="preserve"> </w:t>
      </w:r>
      <w:r>
        <w:rPr>
          <w:rFonts w:ascii="KaiTi_GB2312" w:eastAsia="KaiTi_GB2312" w:hint="eastAsia"/>
          <w:bCs/>
          <w:color w:val="000000"/>
          <w:sz w:val="22"/>
        </w:rPr>
        <w:t>《</w:t>
      </w:r>
      <w:r>
        <w:rPr>
          <w:rFonts w:ascii="KaiTi_GB2312" w:eastAsia="KaiTi_GB2312" w:hint="eastAsia"/>
          <w:bCs/>
          <w:color w:val="000000"/>
          <w:sz w:val="22"/>
          <w:szCs w:val="22"/>
        </w:rPr>
        <w:t>东帝汶：社会、民事和遗产保护部门投资方案》，2006年4月，第18页。</w:t>
      </w:r>
    </w:p>
  </w:footnote>
  <w:footnote w:id="189">
    <w:p w:rsidR="00692915" w:rsidRDefault="00692915" w:rsidP="009A1C1B">
      <w:pPr>
        <w:tabs>
          <w:tab w:val="left" w:pos="780"/>
        </w:tabs>
        <w:spacing w:line="288" w:lineRule="auto"/>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b/>
          <w:bCs/>
          <w:color w:val="000000"/>
          <w:sz w:val="22"/>
        </w:rPr>
        <w:tab/>
      </w:r>
      <w:r>
        <w:rPr>
          <w:rFonts w:ascii="KaiTi_GB2312" w:eastAsia="KaiTi_GB2312" w:hint="eastAsia"/>
          <w:bCs/>
          <w:color w:val="000000"/>
          <w:sz w:val="22"/>
        </w:rPr>
        <w:t>见2005年5月30日人权股提交的文件、司法系统监测方案文件和其他报告。</w:t>
      </w:r>
    </w:p>
  </w:footnote>
  <w:footnote w:id="190">
    <w:p w:rsidR="00692915" w:rsidRDefault="00692915" w:rsidP="009A1C1B">
      <w:pPr>
        <w:tabs>
          <w:tab w:val="left" w:pos="780"/>
        </w:tabs>
        <w:spacing w:line="288" w:lineRule="auto"/>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b/>
          <w:bCs/>
          <w:color w:val="000000"/>
          <w:sz w:val="22"/>
        </w:rPr>
        <w:tab/>
      </w:r>
      <w:r>
        <w:rPr>
          <w:rFonts w:ascii="KaiTi_GB2312" w:eastAsia="KaiTi_GB2312" w:hint="eastAsia"/>
          <w:bCs/>
          <w:color w:val="000000"/>
          <w:sz w:val="22"/>
        </w:rPr>
        <w:t>见2005年5月30日，东帝汶办事处人权股提交的文件。</w:t>
      </w:r>
    </w:p>
  </w:footnote>
  <w:footnote w:id="191">
    <w:p w:rsidR="00692915" w:rsidRDefault="00692915" w:rsidP="009A1C1B">
      <w:pPr>
        <w:tabs>
          <w:tab w:val="left" w:pos="780"/>
        </w:tabs>
        <w:spacing w:line="288" w:lineRule="auto"/>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b/>
          <w:bCs/>
          <w:color w:val="000000"/>
          <w:sz w:val="22"/>
        </w:rPr>
        <w:tab/>
      </w:r>
      <w:r>
        <w:rPr>
          <w:rFonts w:ascii="KaiTi_GB2312" w:eastAsia="KaiTi_GB2312" w:hint="eastAsia"/>
          <w:bCs/>
          <w:color w:val="000000"/>
          <w:sz w:val="22"/>
        </w:rPr>
        <w:t>见2005年5月30日，东帝汶办事处人权股提交的文件。</w:t>
      </w:r>
    </w:p>
  </w:footnote>
  <w:footnote w:id="192">
    <w:p w:rsidR="00692915" w:rsidRDefault="00692915" w:rsidP="009A1C1B">
      <w:pPr>
        <w:tabs>
          <w:tab w:val="left" w:pos="780"/>
        </w:tabs>
        <w:spacing w:line="288" w:lineRule="auto"/>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b/>
          <w:bCs/>
          <w:color w:val="000000"/>
          <w:sz w:val="22"/>
        </w:rPr>
        <w:tab/>
      </w:r>
      <w:r>
        <w:rPr>
          <w:rFonts w:ascii="KaiTi_GB2312" w:eastAsia="KaiTi_GB2312" w:hint="eastAsia"/>
          <w:bCs/>
          <w:color w:val="000000"/>
          <w:sz w:val="22"/>
        </w:rPr>
        <w:t>值得注意的是，国家还没有对“少数民族群体”进行界定。</w:t>
      </w:r>
    </w:p>
  </w:footnote>
  <w:footnote w:id="193">
    <w:p w:rsidR="00692915" w:rsidRDefault="00692915" w:rsidP="009A1C1B">
      <w:pPr>
        <w:tabs>
          <w:tab w:val="left" w:pos="780"/>
        </w:tabs>
        <w:spacing w:line="288" w:lineRule="auto"/>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b/>
          <w:bCs/>
          <w:color w:val="000000"/>
          <w:sz w:val="22"/>
        </w:rPr>
        <w:tab/>
      </w:r>
      <w:r>
        <w:rPr>
          <w:rFonts w:ascii="KaiTi_GB2312" w:eastAsia="KaiTi_GB2312" w:hint="eastAsia"/>
          <w:bCs/>
          <w:color w:val="000000"/>
          <w:sz w:val="22"/>
        </w:rPr>
        <w:t>2005年5月30日，东帝汶办事处人权股提交的文件。</w:t>
      </w:r>
    </w:p>
  </w:footnote>
  <w:footnote w:id="194">
    <w:p w:rsidR="00692915" w:rsidRDefault="00692915" w:rsidP="009A1C1B">
      <w:pPr>
        <w:tabs>
          <w:tab w:val="left" w:pos="780"/>
        </w:tabs>
        <w:spacing w:line="288" w:lineRule="auto"/>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b/>
          <w:bCs/>
          <w:color w:val="000000"/>
          <w:sz w:val="22"/>
        </w:rPr>
        <w:tab/>
      </w:r>
      <w:r>
        <w:rPr>
          <w:rFonts w:ascii="KaiTi_GB2312" w:eastAsia="KaiTi_GB2312" w:hint="eastAsia"/>
          <w:bCs/>
          <w:color w:val="000000"/>
          <w:sz w:val="22"/>
        </w:rPr>
        <w:t>本节将涉及：</w:t>
      </w:r>
    </w:p>
    <w:p w:rsidR="00692915" w:rsidRDefault="00692915" w:rsidP="009A1C1B">
      <w:pPr>
        <w:tabs>
          <w:tab w:val="left" w:pos="1430"/>
        </w:tabs>
        <w:spacing w:line="288" w:lineRule="auto"/>
        <w:ind w:leftChars="299" w:left="31680" w:firstLineChars="0" w:firstLine="0"/>
        <w:rPr>
          <w:rStyle w:val="FootnoteReference"/>
          <w:rFonts w:ascii="KaiTi_GB2312" w:hint="eastAsia"/>
          <w:b/>
          <w:bCs/>
          <w:color w:val="000000"/>
          <w:sz w:val="22"/>
        </w:rPr>
      </w:pPr>
      <w:r>
        <w:rPr>
          <w:rFonts w:ascii="KaiTi_GB2312" w:eastAsia="KaiTi_GB2312" w:hint="eastAsia"/>
          <w:bCs/>
          <w:color w:val="000000"/>
          <w:sz w:val="22"/>
        </w:rPr>
        <w:t>《公民及政治权利国际公约》，第14（1）条和第26条。</w:t>
      </w:r>
      <w:r>
        <w:rPr>
          <w:rFonts w:ascii="KaiTi_GB2312" w:eastAsia="KaiTi_GB2312"/>
          <w:bCs/>
          <w:color w:val="000000"/>
          <w:sz w:val="22"/>
        </w:rPr>
        <w:br/>
        <w:t>《儿童权利公约》</w:t>
      </w:r>
      <w:r>
        <w:rPr>
          <w:rFonts w:ascii="KaiTi_GB2312" w:eastAsia="KaiTi_GB2312" w:hint="eastAsia"/>
          <w:bCs/>
          <w:color w:val="000000"/>
          <w:sz w:val="22"/>
        </w:rPr>
        <w:t>，第9（2）条。</w:t>
      </w:r>
      <w:r>
        <w:rPr>
          <w:rFonts w:ascii="KaiTi_GB2312" w:eastAsia="KaiTi_GB2312"/>
          <w:bCs/>
          <w:color w:val="000000"/>
          <w:sz w:val="22"/>
        </w:rPr>
        <w:br/>
      </w:r>
      <w:r>
        <w:rPr>
          <w:rFonts w:ascii="KaiTi_GB2312" w:eastAsia="KaiTi_GB2312" w:hint="eastAsia"/>
          <w:bCs/>
          <w:color w:val="000000"/>
          <w:sz w:val="22"/>
        </w:rPr>
        <w:t>《保护所有移徙工人及其家庭成员权利国际公约》，第18条。</w:t>
      </w:r>
      <w:r>
        <w:rPr>
          <w:rFonts w:ascii="KaiTi_GB2312" w:eastAsia="KaiTi_GB2312"/>
          <w:bCs/>
          <w:color w:val="000000"/>
          <w:sz w:val="22"/>
        </w:rPr>
        <w:br/>
      </w:r>
      <w:r>
        <w:rPr>
          <w:rFonts w:ascii="KaiTi_GB2312" w:eastAsia="KaiTi_GB2312" w:hint="eastAsia"/>
          <w:bCs/>
          <w:color w:val="000000"/>
          <w:sz w:val="22"/>
        </w:rPr>
        <w:t>《消除一切形式种族歧视国际公约》，第5（c）条。</w:t>
      </w:r>
      <w:r>
        <w:rPr>
          <w:rFonts w:ascii="KaiTi_GB2312" w:eastAsia="KaiTi_GB2312"/>
          <w:bCs/>
          <w:color w:val="000000"/>
          <w:sz w:val="22"/>
        </w:rPr>
        <w:br/>
      </w:r>
      <w:r>
        <w:rPr>
          <w:rFonts w:ascii="KaiTi_GB2312" w:eastAsia="KaiTi_GB2312" w:hint="eastAsia"/>
          <w:bCs/>
          <w:color w:val="000000"/>
          <w:sz w:val="22"/>
        </w:rPr>
        <w:t>《消除对妇女一切形式歧视公约》，第15条。</w:t>
      </w:r>
    </w:p>
  </w:footnote>
  <w:footnote w:id="195">
    <w:p w:rsidR="00692915" w:rsidRDefault="00692915" w:rsidP="009A1C1B">
      <w:pPr>
        <w:tabs>
          <w:tab w:val="left" w:pos="780"/>
        </w:tabs>
        <w:spacing w:line="288" w:lineRule="auto"/>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eastAsia="KaiTi_GB2312" w:hint="eastAsia"/>
          <w:bCs/>
          <w:color w:val="000000"/>
          <w:sz w:val="22"/>
        </w:rPr>
        <w:t>2004年人口普查。</w:t>
      </w:r>
    </w:p>
  </w:footnote>
  <w:footnote w:id="196">
    <w:p w:rsidR="00692915" w:rsidRDefault="00692915" w:rsidP="009A1C1B">
      <w:pPr>
        <w:tabs>
          <w:tab w:val="left" w:pos="780"/>
        </w:tabs>
        <w:spacing w:line="288" w:lineRule="auto"/>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eastAsia="KaiTi_GB2312" w:hint="eastAsia"/>
          <w:bCs/>
          <w:color w:val="000000"/>
          <w:sz w:val="22"/>
        </w:rPr>
        <w:t>本部分涉及：</w:t>
      </w:r>
    </w:p>
    <w:p w:rsidR="00692915" w:rsidRDefault="00692915" w:rsidP="009A1C1B">
      <w:pPr>
        <w:tabs>
          <w:tab w:val="left" w:pos="1430"/>
        </w:tabs>
        <w:spacing w:line="288" w:lineRule="auto"/>
        <w:ind w:leftChars="299" w:left="31680" w:firstLineChars="0" w:firstLine="0"/>
        <w:rPr>
          <w:rStyle w:val="FootnoteReference"/>
          <w:rFonts w:ascii="KaiTi_GB2312" w:hint="eastAsia"/>
          <w:b/>
          <w:bCs/>
          <w:color w:val="000000"/>
          <w:sz w:val="22"/>
        </w:rPr>
      </w:pPr>
      <w:r>
        <w:rPr>
          <w:rFonts w:ascii="KaiTi_GB2312" w:eastAsia="KaiTi_GB2312" w:hint="eastAsia"/>
          <w:bCs/>
          <w:color w:val="000000"/>
          <w:sz w:val="22"/>
        </w:rPr>
        <w:t>《公民及政治权利国际公约》，第27条。</w:t>
      </w:r>
      <w:r>
        <w:rPr>
          <w:rFonts w:ascii="KaiTi_GB2312" w:eastAsia="KaiTi_GB2312"/>
          <w:bCs/>
          <w:color w:val="000000"/>
          <w:sz w:val="22"/>
        </w:rPr>
        <w:br/>
      </w:r>
      <w:r>
        <w:rPr>
          <w:rFonts w:ascii="KaiTi_GB2312" w:eastAsia="KaiTi_GB2312" w:hint="eastAsia"/>
          <w:bCs/>
          <w:color w:val="000000"/>
          <w:sz w:val="22"/>
        </w:rPr>
        <w:t>《</w:t>
      </w:r>
      <w:r>
        <w:rPr>
          <w:rFonts w:ascii="KaiTi_GB2312" w:eastAsia="KaiTi_GB2312" w:hint="eastAsia"/>
          <w:color w:val="000000"/>
          <w:sz w:val="22"/>
        </w:rPr>
        <w:t>经济、社会、文化权利国际公约》，第2（3）条。</w:t>
      </w:r>
      <w:r>
        <w:rPr>
          <w:rFonts w:ascii="KaiTi_GB2312" w:eastAsia="KaiTi_GB2312"/>
          <w:bCs/>
          <w:color w:val="000000"/>
          <w:sz w:val="22"/>
        </w:rPr>
        <w:br/>
      </w:r>
      <w:r>
        <w:rPr>
          <w:rFonts w:ascii="KaiTi_GB2312" w:eastAsia="KaiTi_GB2312" w:hint="eastAsia"/>
          <w:bCs/>
          <w:color w:val="000000"/>
          <w:sz w:val="22"/>
        </w:rPr>
        <w:t>《消除一切形式种族歧视国际公约》，第1（4）条和第2条。</w:t>
      </w:r>
      <w:r>
        <w:rPr>
          <w:rFonts w:ascii="KaiTi_GB2312" w:eastAsia="KaiTi_GB2312"/>
          <w:bCs/>
          <w:color w:val="000000"/>
          <w:sz w:val="22"/>
        </w:rPr>
        <w:br/>
      </w:r>
      <w:r>
        <w:rPr>
          <w:rFonts w:ascii="KaiTi_GB2312" w:eastAsia="KaiTi_GB2312" w:hint="eastAsia"/>
          <w:bCs/>
          <w:color w:val="000000"/>
          <w:sz w:val="22"/>
        </w:rPr>
        <w:t>《消除对妇女一切形式歧视公约》，第4条。</w:t>
      </w:r>
      <w:r>
        <w:rPr>
          <w:rFonts w:ascii="KaiTi_GB2312" w:eastAsia="KaiTi_GB2312"/>
          <w:bCs/>
          <w:color w:val="000000"/>
          <w:sz w:val="22"/>
        </w:rPr>
        <w:br/>
        <w:t>《儿童权利公约》</w:t>
      </w:r>
      <w:r>
        <w:rPr>
          <w:rFonts w:ascii="KaiTi_GB2312" w:eastAsia="KaiTi_GB2312" w:hint="eastAsia"/>
          <w:bCs/>
          <w:color w:val="000000"/>
          <w:sz w:val="22"/>
        </w:rPr>
        <w:t>，第22条和第23条。</w:t>
      </w:r>
    </w:p>
  </w:footnote>
  <w:footnote w:id="197">
    <w:p w:rsidR="00692915" w:rsidRDefault="00692915" w:rsidP="009A1C1B">
      <w:pPr>
        <w:tabs>
          <w:tab w:val="left" w:pos="780"/>
        </w:tabs>
        <w:spacing w:line="288" w:lineRule="auto"/>
        <w:ind w:firstLine="31680"/>
        <w:rPr>
          <w:rStyle w:val="FootnoteReference"/>
          <w:rFonts w:ascii="KaiTi_GB2312" w:hint="eastAsia"/>
          <w:b/>
          <w:bCs/>
          <w:color w:val="000000"/>
          <w:sz w:val="22"/>
        </w:rPr>
      </w:pPr>
      <w:r>
        <w:rPr>
          <w:rStyle w:val="FootnoteReference"/>
          <w:rFonts w:ascii="KaiTi_GB2312"/>
          <w:color w:val="000000"/>
          <w:sz w:val="22"/>
        </w:rPr>
        <w:footnoteRef/>
      </w:r>
      <w:r>
        <w:rPr>
          <w:rFonts w:ascii="KaiTi_GB2312" w:eastAsia="KaiTi_GB2312"/>
          <w:bCs/>
          <w:color w:val="000000"/>
          <w:sz w:val="22"/>
        </w:rPr>
        <w:t xml:space="preserve"> </w:t>
      </w:r>
      <w:r>
        <w:rPr>
          <w:rStyle w:val="FootnoteReference"/>
          <w:rFonts w:ascii="KaiTi_GB2312" w:hint="eastAsia"/>
          <w:b/>
          <w:bCs/>
          <w:color w:val="000000"/>
          <w:sz w:val="22"/>
        </w:rPr>
        <w:t xml:space="preserve"> </w:t>
      </w:r>
      <w:r>
        <w:rPr>
          <w:rFonts w:ascii="KaiTi_GB2312" w:eastAsia="KaiTi_GB2312" w:hint="eastAsia"/>
          <w:bCs/>
          <w:color w:val="000000"/>
          <w:sz w:val="22"/>
        </w:rPr>
        <w:t>见附件三定义。</w:t>
      </w:r>
    </w:p>
  </w:footnote>
  <w:footnote w:id="198">
    <w:p w:rsidR="00692915" w:rsidRDefault="00692915" w:rsidP="009A1C1B">
      <w:pPr>
        <w:tabs>
          <w:tab w:val="left" w:pos="780"/>
        </w:tabs>
        <w:spacing w:line="288" w:lineRule="auto"/>
        <w:ind w:firstLine="31680"/>
        <w:rPr>
          <w:rStyle w:val="FootnoteReference"/>
          <w:rFonts w:ascii="KaiTi_GB2312" w:hint="eastAsia"/>
          <w:b/>
          <w:bCs/>
          <w:color w:val="000000"/>
          <w:sz w:val="22"/>
        </w:rPr>
      </w:pPr>
      <w:r>
        <w:rPr>
          <w:rStyle w:val="FootnoteReference"/>
          <w:rFonts w:ascii="KaiTi_GB2312"/>
          <w:color w:val="000000"/>
          <w:sz w:val="22"/>
        </w:rPr>
        <w:footnoteRef/>
      </w:r>
      <w:r>
        <w:rPr>
          <w:rFonts w:ascii="KaiTi_GB2312" w:eastAsia="KaiTi_GB2312"/>
          <w:bCs/>
          <w:color w:val="000000"/>
          <w:sz w:val="22"/>
        </w:rPr>
        <w:t xml:space="preserve"> </w:t>
      </w:r>
      <w:r>
        <w:rPr>
          <w:rStyle w:val="FootnoteReference"/>
          <w:rFonts w:ascii="KaiTi_GB2312" w:hint="eastAsia"/>
          <w:b/>
          <w:bCs/>
          <w:color w:val="000000"/>
          <w:sz w:val="22"/>
        </w:rPr>
        <w:t xml:space="preserve"> </w:t>
      </w:r>
      <w:r>
        <w:rPr>
          <w:rFonts w:ascii="KaiTi_GB2312" w:eastAsia="KaiTi_GB2312" w:hint="eastAsia"/>
          <w:bCs/>
          <w:color w:val="000000"/>
          <w:sz w:val="22"/>
        </w:rPr>
        <w:t>第18（1）条规定：“儿童有权受到家庭、社会和国家的特殊保护，尤其要保护儿童免受各种形式的遗弃、歧视、暴力压迫、性虐待和剥削。”</w:t>
      </w:r>
    </w:p>
  </w:footnote>
  <w:footnote w:id="199">
    <w:p w:rsidR="00692915" w:rsidRDefault="00692915" w:rsidP="009A1C1B">
      <w:pPr>
        <w:tabs>
          <w:tab w:val="left" w:pos="780"/>
        </w:tabs>
        <w:spacing w:line="288" w:lineRule="auto"/>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b/>
          <w:bCs/>
          <w:color w:val="000000"/>
          <w:sz w:val="22"/>
        </w:rPr>
        <w:tab/>
      </w:r>
      <w:r>
        <w:rPr>
          <w:rFonts w:ascii="KaiTi_GB2312" w:eastAsia="KaiTi_GB2312" w:hint="eastAsia"/>
          <w:bCs/>
          <w:color w:val="000000"/>
          <w:sz w:val="22"/>
        </w:rPr>
        <w:t>第20（1）条规定，“每位老年公民都有权受到国家的特殊保护”。</w:t>
      </w:r>
    </w:p>
  </w:footnote>
  <w:footnote w:id="200">
    <w:p w:rsidR="00692915" w:rsidRDefault="00692915" w:rsidP="009A1C1B">
      <w:pPr>
        <w:pStyle w:val="FootnoteText"/>
        <w:tabs>
          <w:tab w:val="left" w:pos="780"/>
        </w:tabs>
        <w:ind w:firstLine="31680"/>
        <w:rPr>
          <w:rStyle w:val="FootnoteReference"/>
          <w:rFonts w:ascii="KaiTi_GB2312" w:hint="eastAsia"/>
          <w:b/>
          <w:bCs/>
          <w:color w:val="000000"/>
          <w:sz w:val="22"/>
        </w:rPr>
      </w:pPr>
      <w:r>
        <w:rPr>
          <w:rStyle w:val="FootnoteReference"/>
          <w:rFonts w:ascii="KaiTi_GB2312"/>
          <w:color w:val="000000"/>
          <w:sz w:val="22"/>
        </w:rPr>
        <w:footnoteRef/>
      </w:r>
      <w:r>
        <w:rPr>
          <w:rFonts w:ascii="KaiTi_GB2312"/>
          <w:bCs/>
          <w:color w:val="000000"/>
        </w:rPr>
        <w:t xml:space="preserve"> </w:t>
      </w:r>
      <w:r>
        <w:rPr>
          <w:rFonts w:ascii="KaiTi_GB2312" w:hint="eastAsia"/>
          <w:bCs/>
          <w:color w:val="000000"/>
        </w:rPr>
        <w:tab/>
        <w:t>第21（2）条规定，“国家将在切实可行的情况下依法促进残疾人的保护工作。”</w:t>
      </w:r>
    </w:p>
  </w:footnote>
  <w:footnote w:id="201">
    <w:p w:rsidR="00692915" w:rsidRDefault="00692915" w:rsidP="009A1C1B">
      <w:pPr>
        <w:pStyle w:val="FootnoteText"/>
        <w:tabs>
          <w:tab w:val="left" w:pos="780"/>
        </w:tabs>
        <w:ind w:firstLine="31680"/>
        <w:rPr>
          <w:rFonts w:ascii="KaiTi_GB2312" w:hint="eastAsia"/>
          <w:bCs/>
          <w:color w:val="000000"/>
        </w:rPr>
      </w:pPr>
      <w:r>
        <w:rPr>
          <w:rStyle w:val="FootnoteReference"/>
          <w:rFonts w:ascii="KaiTi_GB2312"/>
          <w:bCs/>
          <w:color w:val="000000"/>
          <w:sz w:val="22"/>
        </w:rPr>
        <w:footnoteRef/>
      </w:r>
      <w:r>
        <w:rPr>
          <w:rFonts w:ascii="KaiTi_GB2312"/>
          <w:b/>
          <w:color w:val="000000"/>
        </w:rPr>
        <w:t xml:space="preserve">  </w:t>
      </w:r>
      <w:r>
        <w:rPr>
          <w:rFonts w:ascii="KaiTi_GB2312" w:hint="eastAsia"/>
          <w:color w:val="000000"/>
        </w:rPr>
        <w:t>第</w:t>
      </w:r>
      <w:r>
        <w:rPr>
          <w:rFonts w:ascii="KaiTi_GB2312"/>
          <w:color w:val="000000"/>
        </w:rPr>
        <w:t>2/2004</w:t>
      </w:r>
      <w:r>
        <w:rPr>
          <w:rFonts w:ascii="KaiTi_GB2312" w:hint="eastAsia"/>
          <w:color w:val="000000"/>
        </w:rPr>
        <w:t>号法律。</w:t>
      </w:r>
    </w:p>
  </w:footnote>
  <w:footnote w:id="202">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color w:val="000000"/>
          <w:sz w:val="22"/>
        </w:rPr>
        <w:footnoteRef/>
      </w:r>
      <w:r>
        <w:rPr>
          <w:rFonts w:ascii="KaiTi_GB2312"/>
          <w:color w:val="000000"/>
        </w:rPr>
        <w:t xml:space="preserve">  </w:t>
      </w:r>
      <w:r>
        <w:rPr>
          <w:rFonts w:ascii="KaiTi_GB2312" w:hint="eastAsia"/>
          <w:color w:val="000000"/>
        </w:rPr>
        <w:t>劳动与社会安置部数据（2005年7月）。</w:t>
      </w:r>
    </w:p>
  </w:footnote>
  <w:footnote w:id="203">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bCs/>
          <w:color w:val="000000"/>
          <w:sz w:val="22"/>
        </w:rPr>
        <w:footnoteRef/>
      </w:r>
      <w:r>
        <w:rPr>
          <w:rFonts w:ascii="KaiTi_GB2312"/>
          <w:bCs/>
          <w:color w:val="000000"/>
          <w:szCs w:val="22"/>
        </w:rPr>
        <w:t xml:space="preserve"> </w:t>
      </w:r>
      <w:r>
        <w:rPr>
          <w:rFonts w:ascii="KaiTi_GB2312" w:hint="eastAsia"/>
          <w:bCs/>
          <w:color w:val="000000"/>
          <w:szCs w:val="22"/>
        </w:rPr>
        <w:t>《东帝汶：社会、民事和遗产保护部门投资方案》，2006年4月，第37页。</w:t>
      </w:r>
    </w:p>
  </w:footnote>
  <w:footnote w:id="204">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bCs/>
          <w:color w:val="000000"/>
          <w:sz w:val="22"/>
        </w:rPr>
        <w:footnoteRef/>
      </w:r>
      <w:r>
        <w:rPr>
          <w:rStyle w:val="FootnoteReference"/>
          <w:rFonts w:ascii="KaiTi_GB2312"/>
          <w:b/>
          <w:color w:val="000000"/>
          <w:sz w:val="22"/>
        </w:rPr>
        <w:t xml:space="preserve"> </w:t>
      </w:r>
      <w:r>
        <w:rPr>
          <w:rStyle w:val="FootnoteReference"/>
          <w:rFonts w:ascii="KaiTi_GB2312" w:hint="eastAsia"/>
          <w:b/>
          <w:color w:val="000000"/>
          <w:sz w:val="22"/>
        </w:rPr>
        <w:t xml:space="preserve"> </w:t>
      </w:r>
      <w:r>
        <w:rPr>
          <w:rFonts w:ascii="KaiTi_GB2312"/>
          <w:b/>
          <w:color w:val="000000"/>
        </w:rPr>
        <w:t xml:space="preserve"> </w:t>
      </w:r>
      <w:r>
        <w:rPr>
          <w:rFonts w:ascii="KaiTi_GB2312" w:hint="eastAsia"/>
          <w:color w:val="000000"/>
        </w:rPr>
        <w:t>本部分涉及：</w:t>
      </w:r>
    </w:p>
    <w:p w:rsidR="00692915" w:rsidRDefault="00692915" w:rsidP="009A1C1B">
      <w:pPr>
        <w:pStyle w:val="FootnoteText"/>
        <w:numPr>
          <w:ilvl w:val="0"/>
          <w:numId w:val="11"/>
        </w:numPr>
        <w:tabs>
          <w:tab w:val="clear" w:pos="1494"/>
          <w:tab w:val="left" w:pos="1170"/>
        </w:tabs>
        <w:ind w:leftChars="299" w:left="31680" w:hangingChars="177" w:firstLine="31680"/>
        <w:rPr>
          <w:rFonts w:ascii="KaiTi_GB2312"/>
          <w:color w:val="000000"/>
        </w:rPr>
      </w:pPr>
      <w:r>
        <w:rPr>
          <w:rStyle w:val="FootnoteReference"/>
          <w:rFonts w:ascii="KaiTi_GB2312" w:hint="eastAsia"/>
          <w:b/>
          <w:color w:val="000000"/>
          <w:sz w:val="22"/>
        </w:rPr>
        <w:t xml:space="preserve"> </w:t>
      </w:r>
      <w:r>
        <w:rPr>
          <w:rFonts w:ascii="KaiTi_GB2312" w:hint="eastAsia"/>
          <w:bCs/>
          <w:color w:val="000000"/>
        </w:rPr>
        <w:t>《公民及政治权利国际公约》第9、14和15条。</w:t>
      </w:r>
    </w:p>
    <w:p w:rsidR="00692915" w:rsidRDefault="00692915" w:rsidP="009A1C1B">
      <w:pPr>
        <w:pStyle w:val="FootnoteText"/>
        <w:numPr>
          <w:ilvl w:val="0"/>
          <w:numId w:val="11"/>
        </w:numPr>
        <w:tabs>
          <w:tab w:val="clear" w:pos="1494"/>
          <w:tab w:val="left" w:pos="1170"/>
        </w:tabs>
        <w:ind w:leftChars="299" w:left="31680" w:hangingChars="177" w:firstLine="31680"/>
        <w:rPr>
          <w:rFonts w:ascii="KaiTi_GB2312"/>
          <w:color w:val="000000"/>
        </w:rPr>
      </w:pPr>
      <w:r>
        <w:rPr>
          <w:rStyle w:val="FootnoteReference"/>
          <w:rFonts w:ascii="KaiTi_GB2312" w:hint="eastAsia"/>
          <w:b/>
          <w:color w:val="000000"/>
          <w:sz w:val="22"/>
        </w:rPr>
        <w:t xml:space="preserve"> </w:t>
      </w:r>
      <w:r>
        <w:rPr>
          <w:rFonts w:ascii="KaiTi_GB2312" w:hint="eastAsia"/>
          <w:bCs/>
          <w:color w:val="000000"/>
        </w:rPr>
        <w:t>《保护所有移徙工人及其家庭成员权利国际公约》，第18（2）和（3）条、第19条。</w:t>
      </w:r>
    </w:p>
    <w:p w:rsidR="00692915" w:rsidRDefault="00692915" w:rsidP="009A1C1B">
      <w:pPr>
        <w:pStyle w:val="FootnoteText"/>
        <w:numPr>
          <w:ilvl w:val="0"/>
          <w:numId w:val="11"/>
        </w:numPr>
        <w:tabs>
          <w:tab w:val="clear" w:pos="1494"/>
          <w:tab w:val="left" w:pos="1170"/>
        </w:tabs>
        <w:ind w:leftChars="299" w:left="31680" w:hangingChars="177" w:firstLine="31680"/>
        <w:rPr>
          <w:rFonts w:ascii="KaiTi_GB2312"/>
          <w:color w:val="000000"/>
        </w:rPr>
      </w:pPr>
      <w:r>
        <w:rPr>
          <w:rStyle w:val="FootnoteReference"/>
          <w:rFonts w:ascii="KaiTi_GB2312" w:hint="eastAsia"/>
          <w:b/>
          <w:color w:val="000000"/>
          <w:sz w:val="22"/>
        </w:rPr>
        <w:t xml:space="preserve"> </w:t>
      </w:r>
      <w:r>
        <w:rPr>
          <w:rFonts w:ascii="KaiTi_GB2312" w:hint="eastAsia"/>
          <w:bCs/>
          <w:color w:val="000000"/>
        </w:rPr>
        <w:t>《消除一切形式种族歧视国际公约》，第5条。</w:t>
      </w:r>
    </w:p>
    <w:p w:rsidR="00692915" w:rsidRDefault="00692915" w:rsidP="009A1C1B">
      <w:pPr>
        <w:pStyle w:val="FootnoteText"/>
        <w:numPr>
          <w:ilvl w:val="0"/>
          <w:numId w:val="11"/>
        </w:numPr>
        <w:tabs>
          <w:tab w:val="clear" w:pos="1494"/>
          <w:tab w:val="left" w:pos="1170"/>
        </w:tabs>
        <w:ind w:leftChars="299" w:left="31680" w:hangingChars="177" w:firstLine="31680"/>
        <w:rPr>
          <w:rFonts w:ascii="KaiTi_GB2312"/>
          <w:color w:val="000000"/>
        </w:rPr>
      </w:pPr>
      <w:r>
        <w:rPr>
          <w:rStyle w:val="FootnoteReference"/>
          <w:rFonts w:ascii="KaiTi_GB2312" w:hint="eastAsia"/>
          <w:b/>
          <w:color w:val="000000"/>
          <w:sz w:val="22"/>
        </w:rPr>
        <w:t xml:space="preserve"> </w:t>
      </w:r>
      <w:r>
        <w:rPr>
          <w:rFonts w:ascii="KaiTi_GB2312" w:hint="eastAsia"/>
          <w:color w:val="000000"/>
        </w:rPr>
        <w:t>《禁止酷刑和其他残忍、不人道或有辱人格的待遇或处罚公约》，第7、12、13和15条。</w:t>
      </w:r>
    </w:p>
    <w:p w:rsidR="00692915" w:rsidRDefault="00692915" w:rsidP="009A1C1B">
      <w:pPr>
        <w:pStyle w:val="FootnoteText"/>
        <w:numPr>
          <w:ilvl w:val="0"/>
          <w:numId w:val="11"/>
        </w:numPr>
        <w:tabs>
          <w:tab w:val="clear" w:pos="1494"/>
          <w:tab w:val="left" w:pos="1170"/>
        </w:tabs>
        <w:ind w:leftChars="299" w:left="31680" w:hangingChars="177" w:firstLine="31680"/>
        <w:rPr>
          <w:color w:val="000000"/>
        </w:rPr>
      </w:pPr>
      <w:r>
        <w:rPr>
          <w:rFonts w:ascii="KaiTi_GB2312" w:hint="eastAsia"/>
          <w:color w:val="000000"/>
        </w:rPr>
        <w:t xml:space="preserve"> </w:t>
      </w:r>
      <w:r>
        <w:rPr>
          <w:rFonts w:ascii="KaiTi_GB2312"/>
          <w:color w:val="000000"/>
        </w:rPr>
        <w:t>《儿童权利公约》</w:t>
      </w:r>
      <w:r>
        <w:rPr>
          <w:rFonts w:ascii="KaiTi_GB2312" w:hint="eastAsia"/>
          <w:color w:val="000000"/>
        </w:rPr>
        <w:t>，第37、39和40条。</w:t>
      </w:r>
    </w:p>
  </w:footnote>
  <w:footnote w:id="205">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color w:val="000000"/>
        </w:rPr>
        <w:t xml:space="preserve"> </w:t>
      </w:r>
      <w:r>
        <w:rPr>
          <w:rFonts w:ascii="KaiTi_GB2312" w:hint="eastAsia"/>
          <w:color w:val="000000"/>
        </w:rPr>
        <w:t>见《宪法》第147条。有关警察执法职能的具体情况，见《有关东帝汶国家警察组织结构的第</w:t>
      </w:r>
      <w:r>
        <w:rPr>
          <w:rFonts w:ascii="KaiTi_GB2312"/>
          <w:color w:val="000000"/>
        </w:rPr>
        <w:t>8/2004</w:t>
      </w:r>
      <w:r>
        <w:rPr>
          <w:rFonts w:ascii="KaiTi_GB2312" w:hint="eastAsia"/>
          <w:color w:val="000000"/>
        </w:rPr>
        <w:t>号法令》。关于逮捕与拘留，见第</w:t>
      </w:r>
      <w:r>
        <w:rPr>
          <w:rFonts w:ascii="KaiTi_GB2312"/>
          <w:color w:val="000000"/>
        </w:rPr>
        <w:t>2</w:t>
      </w:r>
      <w:r>
        <w:rPr>
          <w:rFonts w:ascii="KaiTi_GB2312" w:hint="eastAsia"/>
          <w:color w:val="000000"/>
        </w:rPr>
        <w:t>.</w:t>
      </w:r>
      <w:r>
        <w:rPr>
          <w:rFonts w:ascii="KaiTi_GB2312"/>
          <w:color w:val="000000"/>
        </w:rPr>
        <w:t xml:space="preserve"> 3</w:t>
      </w:r>
      <w:r>
        <w:rPr>
          <w:rFonts w:ascii="KaiTi_GB2312" w:hint="eastAsia"/>
          <w:color w:val="000000"/>
        </w:rPr>
        <w:t>条、第6条、第</w:t>
      </w:r>
      <w:r>
        <w:rPr>
          <w:rFonts w:ascii="KaiTi_GB2312"/>
          <w:color w:val="000000"/>
        </w:rPr>
        <w:t>9</w:t>
      </w:r>
      <w:r>
        <w:rPr>
          <w:rFonts w:ascii="KaiTi_GB2312" w:hint="eastAsia"/>
          <w:color w:val="000000"/>
        </w:rPr>
        <w:t>.</w:t>
      </w:r>
      <w:r>
        <w:rPr>
          <w:rFonts w:ascii="KaiTi_GB2312"/>
          <w:color w:val="000000"/>
        </w:rPr>
        <w:t>8</w:t>
      </w:r>
      <w:r>
        <w:rPr>
          <w:rFonts w:ascii="KaiTi_GB2312" w:hint="eastAsia"/>
          <w:color w:val="000000"/>
        </w:rPr>
        <w:t>条。《东帝汶过渡当局关于过渡期刑事诉讼程序的第</w:t>
      </w:r>
      <w:r>
        <w:rPr>
          <w:rFonts w:ascii="KaiTi_GB2312"/>
          <w:color w:val="000000"/>
        </w:rPr>
        <w:t>2000/30</w:t>
      </w:r>
      <w:r>
        <w:rPr>
          <w:rFonts w:ascii="KaiTi_GB2312" w:hint="eastAsia"/>
          <w:color w:val="000000"/>
        </w:rPr>
        <w:t>号条例》——由东帝汶过渡当局第</w:t>
      </w:r>
      <w:r>
        <w:rPr>
          <w:rFonts w:ascii="KaiTi_GB2312"/>
          <w:color w:val="000000"/>
        </w:rPr>
        <w:t>2001/25</w:t>
      </w:r>
      <w:r>
        <w:rPr>
          <w:rFonts w:ascii="KaiTi_GB2312" w:hint="eastAsia"/>
          <w:color w:val="000000"/>
        </w:rPr>
        <w:t>号条例进行修订。</w:t>
      </w:r>
    </w:p>
  </w:footnote>
  <w:footnote w:id="206">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hint="eastAsia"/>
          <w:color w:val="000000"/>
        </w:rPr>
        <w:t xml:space="preserve"> 《关于东帝汶海关总署义务与权力的第</w:t>
      </w:r>
      <w:r>
        <w:rPr>
          <w:color w:val="000000"/>
        </w:rPr>
        <w:t>9/</w:t>
      </w:r>
      <w:r>
        <w:rPr>
          <w:rFonts w:ascii="KaiTi_GB2312"/>
          <w:color w:val="000000"/>
        </w:rPr>
        <w:t>2003</w:t>
      </w:r>
      <w:r>
        <w:rPr>
          <w:rFonts w:ascii="KaiTi_GB2312" w:hint="eastAsia"/>
          <w:color w:val="000000"/>
        </w:rPr>
        <w:t>号法令》，第</w:t>
      </w:r>
      <w:r>
        <w:rPr>
          <w:color w:val="000000"/>
        </w:rPr>
        <w:t>1</w:t>
      </w:r>
      <w:r>
        <w:rPr>
          <w:color w:val="000000"/>
        </w:rPr>
        <w:t>（</w:t>
      </w:r>
      <w:r>
        <w:rPr>
          <w:color w:val="000000"/>
        </w:rPr>
        <w:t>3</w:t>
      </w:r>
      <w:r>
        <w:rPr>
          <w:color w:val="000000"/>
        </w:rPr>
        <w:t>）</w:t>
      </w:r>
      <w:r>
        <w:rPr>
          <w:rFonts w:ascii="KaiTi_GB2312"/>
          <w:color w:val="000000"/>
        </w:rPr>
        <w:t>（</w:t>
      </w:r>
      <w:r>
        <w:rPr>
          <w:color w:val="000000"/>
        </w:rPr>
        <w:t>b</w:t>
      </w:r>
      <w:r>
        <w:rPr>
          <w:color w:val="000000"/>
        </w:rPr>
        <w:t>）</w:t>
      </w:r>
      <w:r>
        <w:rPr>
          <w:rFonts w:ascii="KaiTi_GB2312" w:hint="eastAsia"/>
          <w:color w:val="000000"/>
        </w:rPr>
        <w:t>条。</w:t>
      </w:r>
    </w:p>
  </w:footnote>
  <w:footnote w:id="207">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color w:val="000000"/>
        </w:rPr>
        <w:t xml:space="preserve"> </w:t>
      </w:r>
      <w:r>
        <w:rPr>
          <w:rFonts w:ascii="KaiTi_GB2312" w:hint="eastAsia"/>
          <w:color w:val="000000"/>
          <w:szCs w:val="22"/>
        </w:rPr>
        <w:t>第</w:t>
      </w:r>
      <w:r>
        <w:rPr>
          <w:rFonts w:ascii="KaiTi_GB2312"/>
          <w:color w:val="000000"/>
        </w:rPr>
        <w:t>15/2005</w:t>
      </w:r>
      <w:r>
        <w:rPr>
          <w:rFonts w:ascii="KaiTi_GB2312" w:hint="eastAsia"/>
          <w:color w:val="000000"/>
          <w:szCs w:val="22"/>
        </w:rPr>
        <w:t>号法令——《刑事诉讼法典》，第</w:t>
      </w:r>
      <w:r>
        <w:rPr>
          <w:rFonts w:ascii="KaiTi_GB2312"/>
          <w:color w:val="000000"/>
        </w:rPr>
        <w:t>218</w:t>
      </w:r>
      <w:r>
        <w:rPr>
          <w:rFonts w:ascii="KaiTi_GB2312" w:hint="eastAsia"/>
          <w:color w:val="000000"/>
        </w:rPr>
        <w:t>.2</w:t>
      </w:r>
      <w:r>
        <w:rPr>
          <w:rFonts w:ascii="KaiTi_GB2312" w:hint="eastAsia"/>
          <w:color w:val="000000"/>
          <w:szCs w:val="22"/>
        </w:rPr>
        <w:t>条。</w:t>
      </w:r>
    </w:p>
  </w:footnote>
  <w:footnote w:id="208">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Fonts w:ascii="KaiTi_GB2312" w:hint="eastAsia"/>
          <w:color w:val="000000"/>
        </w:rPr>
        <w:t xml:space="preserve"> </w:t>
      </w:r>
      <w:r>
        <w:rPr>
          <w:rFonts w:ascii="KaiTi_GB2312"/>
          <w:color w:val="000000"/>
        </w:rPr>
        <w:tab/>
      </w:r>
      <w:r>
        <w:rPr>
          <w:rFonts w:ascii="KaiTi_GB2312" w:hint="eastAsia"/>
          <w:color w:val="000000"/>
        </w:rPr>
        <w:t>第</w:t>
      </w:r>
      <w:r>
        <w:rPr>
          <w:rFonts w:ascii="KaiTi_GB2312"/>
          <w:color w:val="000000"/>
        </w:rPr>
        <w:t>9/2003</w:t>
      </w:r>
      <w:r>
        <w:rPr>
          <w:rFonts w:ascii="KaiTi_GB2312" w:hint="eastAsia"/>
          <w:color w:val="000000"/>
        </w:rPr>
        <w:t>号法律——《移民与庇护法》，第72条。</w:t>
      </w:r>
    </w:p>
  </w:footnote>
  <w:footnote w:id="209">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color w:val="000000"/>
        </w:rPr>
        <w:t xml:space="preserve"> </w:t>
      </w:r>
      <w:r>
        <w:rPr>
          <w:rFonts w:ascii="KaiTi_GB2312" w:hint="eastAsia"/>
          <w:color w:val="000000"/>
        </w:rPr>
        <w:t>第</w:t>
      </w:r>
      <w:r>
        <w:rPr>
          <w:color w:val="000000"/>
        </w:rPr>
        <w:t>15/</w:t>
      </w:r>
      <w:r>
        <w:rPr>
          <w:rFonts w:ascii="KaiTi_GB2312"/>
          <w:color w:val="000000"/>
        </w:rPr>
        <w:t>2005</w:t>
      </w:r>
      <w:r>
        <w:rPr>
          <w:rFonts w:ascii="KaiTi_GB2312" w:hint="eastAsia"/>
          <w:color w:val="000000"/>
        </w:rPr>
        <w:t>号法令——《刑事诉讼法典》，第</w:t>
      </w:r>
      <w:r>
        <w:rPr>
          <w:rFonts w:ascii="KaiTi_GB2312"/>
          <w:color w:val="000000"/>
        </w:rPr>
        <w:t>218</w:t>
      </w:r>
      <w:r>
        <w:rPr>
          <w:rFonts w:ascii="KaiTi_GB2312" w:hint="eastAsia"/>
          <w:color w:val="000000"/>
        </w:rPr>
        <w:t>-</w:t>
      </w:r>
      <w:r>
        <w:rPr>
          <w:rFonts w:ascii="KaiTi_GB2312"/>
          <w:color w:val="000000"/>
        </w:rPr>
        <w:t>220</w:t>
      </w:r>
      <w:r>
        <w:rPr>
          <w:rFonts w:ascii="KaiTi_GB2312" w:hint="eastAsia"/>
          <w:color w:val="000000"/>
        </w:rPr>
        <w:t>条。</w:t>
      </w:r>
    </w:p>
  </w:footnote>
  <w:footnote w:id="210">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Fonts w:ascii="KaiTi_GB2312" w:hint="eastAsia"/>
          <w:color w:val="000000"/>
          <w:szCs w:val="22"/>
        </w:rPr>
        <w:t xml:space="preserve"> </w:t>
      </w:r>
      <w:r>
        <w:rPr>
          <w:rFonts w:ascii="KaiTi_GB2312"/>
          <w:color w:val="000000"/>
          <w:szCs w:val="22"/>
        </w:rPr>
        <w:tab/>
      </w:r>
      <w:r>
        <w:rPr>
          <w:rFonts w:ascii="KaiTi_GB2312" w:hint="eastAsia"/>
          <w:color w:val="000000"/>
        </w:rPr>
        <w:t>第</w:t>
      </w:r>
      <w:r>
        <w:rPr>
          <w:rFonts w:ascii="KaiTi_GB2312"/>
          <w:color w:val="000000"/>
        </w:rPr>
        <w:t>15/2005</w:t>
      </w:r>
      <w:r>
        <w:rPr>
          <w:rFonts w:ascii="KaiTi_GB2312" w:hint="eastAsia"/>
          <w:color w:val="000000"/>
        </w:rPr>
        <w:t>号</w:t>
      </w:r>
      <w:r>
        <w:rPr>
          <w:rFonts w:ascii="KaiTi_GB2312" w:hint="eastAsia"/>
          <w:color w:val="000000"/>
          <w:szCs w:val="22"/>
        </w:rPr>
        <w:t>法令。</w:t>
      </w:r>
    </w:p>
  </w:footnote>
  <w:footnote w:id="211">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hint="eastAsia"/>
          <w:color w:val="000000"/>
        </w:rPr>
        <w:t>《宪法》第</w:t>
      </w:r>
      <w:r>
        <w:rPr>
          <w:rFonts w:ascii="KaiTi_GB2312"/>
          <w:color w:val="000000"/>
        </w:rPr>
        <w:t>30</w:t>
      </w:r>
      <w:r>
        <w:rPr>
          <w:rFonts w:ascii="KaiTi_GB2312" w:hint="eastAsia"/>
          <w:color w:val="000000"/>
        </w:rPr>
        <w:t>.</w:t>
      </w:r>
      <w:r>
        <w:rPr>
          <w:rFonts w:ascii="KaiTi_GB2312"/>
          <w:color w:val="000000"/>
        </w:rPr>
        <w:t>2</w:t>
      </w:r>
      <w:r>
        <w:rPr>
          <w:rFonts w:ascii="KaiTi_GB2312" w:hint="eastAsia"/>
          <w:color w:val="000000"/>
        </w:rPr>
        <w:t>条和第</w:t>
      </w:r>
      <w:r>
        <w:rPr>
          <w:rFonts w:ascii="KaiTi_GB2312"/>
          <w:color w:val="000000"/>
        </w:rPr>
        <w:t xml:space="preserve"> 30</w:t>
      </w:r>
      <w:r>
        <w:rPr>
          <w:rFonts w:ascii="KaiTi_GB2312" w:hint="eastAsia"/>
          <w:color w:val="000000"/>
        </w:rPr>
        <w:t>.</w:t>
      </w:r>
      <w:r>
        <w:rPr>
          <w:rFonts w:ascii="KaiTi_GB2312"/>
          <w:color w:val="000000"/>
        </w:rPr>
        <w:t>3</w:t>
      </w:r>
      <w:r>
        <w:rPr>
          <w:rFonts w:ascii="KaiTi_GB2312" w:hint="eastAsia"/>
          <w:color w:val="000000"/>
        </w:rPr>
        <w:t>条；第</w:t>
      </w:r>
      <w:r>
        <w:rPr>
          <w:rFonts w:ascii="KaiTi_GB2312"/>
          <w:color w:val="000000"/>
        </w:rPr>
        <w:t>15 /2005</w:t>
      </w:r>
      <w:r>
        <w:rPr>
          <w:rFonts w:ascii="KaiTi_GB2312" w:hint="eastAsia"/>
          <w:color w:val="000000"/>
        </w:rPr>
        <w:t>号法令——《刑事诉讼法典》，第63条和第196条。</w:t>
      </w:r>
    </w:p>
  </w:footnote>
  <w:footnote w:id="212">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color w:val="000000"/>
        </w:rPr>
        <w:t xml:space="preserve"> </w:t>
      </w:r>
      <w:r>
        <w:rPr>
          <w:rFonts w:ascii="KaiTi_GB2312" w:hint="eastAsia"/>
          <w:color w:val="000000"/>
        </w:rPr>
        <w:t>第</w:t>
      </w:r>
      <w:r>
        <w:rPr>
          <w:rFonts w:ascii="KaiTi_GB2312"/>
          <w:color w:val="000000"/>
        </w:rPr>
        <w:t>15 /2005</w:t>
      </w:r>
      <w:r>
        <w:rPr>
          <w:rFonts w:ascii="KaiTi_GB2312" w:hint="eastAsia"/>
          <w:color w:val="000000"/>
        </w:rPr>
        <w:t>号法令——《刑事诉讼法典》，第195条。</w:t>
      </w:r>
    </w:p>
  </w:footnote>
  <w:footnote w:id="213">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color w:val="000000"/>
        </w:rPr>
        <w:t xml:space="preserve"> </w:t>
      </w:r>
      <w:r>
        <w:rPr>
          <w:rFonts w:ascii="KaiTi_GB2312" w:hint="eastAsia"/>
          <w:color w:val="000000"/>
        </w:rPr>
        <w:t>见《</w:t>
      </w:r>
      <w:r>
        <w:rPr>
          <w:rFonts w:ascii="KaiTi_GB2312"/>
          <w:color w:val="000000"/>
        </w:rPr>
        <w:t>东帝汶民主共和国</w:t>
      </w:r>
      <w:r>
        <w:rPr>
          <w:color w:val="000000"/>
        </w:rPr>
        <w:t>宪法</w:t>
      </w:r>
      <w:r>
        <w:rPr>
          <w:rFonts w:ascii="KaiTi_GB2312" w:hint="eastAsia"/>
          <w:color w:val="000000"/>
        </w:rPr>
        <w:t>》，第33条；《刑事诉讼法典》，第205条。</w:t>
      </w:r>
    </w:p>
  </w:footnote>
  <w:footnote w:id="214">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color w:val="000000"/>
        </w:rPr>
        <w:t xml:space="preserve"> </w:t>
      </w:r>
      <w:r>
        <w:rPr>
          <w:rFonts w:ascii="KaiTi_GB2312" w:hint="eastAsia"/>
          <w:color w:val="000000"/>
        </w:rPr>
        <w:t>第</w:t>
      </w:r>
      <w:r>
        <w:rPr>
          <w:rFonts w:ascii="KaiTi_GB2312"/>
          <w:color w:val="000000"/>
        </w:rPr>
        <w:t>15 /2005</w:t>
      </w:r>
      <w:r>
        <w:rPr>
          <w:rFonts w:ascii="KaiTi_GB2312" w:hint="eastAsia"/>
          <w:color w:val="000000"/>
        </w:rPr>
        <w:t>号法令——《刑事诉讼法典》，第183条。</w:t>
      </w:r>
    </w:p>
  </w:footnote>
  <w:footnote w:id="215">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color w:val="000000"/>
        </w:rPr>
        <w:t xml:space="preserve"> </w:t>
      </w:r>
      <w:r>
        <w:rPr>
          <w:rFonts w:ascii="KaiTi_GB2312" w:hint="eastAsia"/>
          <w:color w:val="000000"/>
        </w:rPr>
        <w:t>第</w:t>
      </w:r>
      <w:r>
        <w:rPr>
          <w:rFonts w:ascii="KaiTi_GB2312"/>
          <w:color w:val="000000"/>
        </w:rPr>
        <w:t>15</w:t>
      </w:r>
      <w:r>
        <w:rPr>
          <w:color w:val="000000"/>
        </w:rPr>
        <w:t xml:space="preserve"> /</w:t>
      </w:r>
      <w:r>
        <w:rPr>
          <w:rFonts w:ascii="KaiTi_GB2312"/>
          <w:color w:val="000000"/>
        </w:rPr>
        <w:t>2005</w:t>
      </w:r>
      <w:r>
        <w:rPr>
          <w:rFonts w:ascii="KaiTi_GB2312" w:hint="eastAsia"/>
          <w:color w:val="000000"/>
        </w:rPr>
        <w:t>号法令——《刑事诉讼法典》，第194条。</w:t>
      </w:r>
    </w:p>
  </w:footnote>
  <w:footnote w:id="216">
    <w:p w:rsidR="00692915" w:rsidRDefault="00692915" w:rsidP="009A1C1B">
      <w:pPr>
        <w:pStyle w:val="FootnoteText"/>
        <w:tabs>
          <w:tab w:val="left" w:pos="780"/>
        </w:tabs>
        <w:ind w:firstLine="31680"/>
        <w:rPr>
          <w:rStyle w:val="FootnoteReference"/>
          <w:rFonts w:ascii="KaiTi_GB2312"/>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color w:val="000000"/>
        </w:rPr>
        <w:t xml:space="preserve"> </w:t>
      </w:r>
      <w:r>
        <w:rPr>
          <w:rFonts w:ascii="KaiTi_GB2312" w:hint="eastAsia"/>
          <w:color w:val="000000"/>
        </w:rPr>
        <w:t>第</w:t>
      </w:r>
      <w:r>
        <w:rPr>
          <w:rFonts w:ascii="KaiTi_GB2312"/>
          <w:color w:val="000000"/>
        </w:rPr>
        <w:t>15</w:t>
      </w:r>
      <w:r>
        <w:rPr>
          <w:color w:val="000000"/>
        </w:rPr>
        <w:t xml:space="preserve"> /</w:t>
      </w:r>
      <w:r>
        <w:rPr>
          <w:rFonts w:ascii="KaiTi_GB2312"/>
          <w:color w:val="000000"/>
        </w:rPr>
        <w:t>200</w:t>
      </w:r>
      <w:r>
        <w:rPr>
          <w:color w:val="000000"/>
        </w:rPr>
        <w:t>5</w:t>
      </w:r>
      <w:r>
        <w:rPr>
          <w:rFonts w:ascii="KaiTi_GB2312" w:hint="eastAsia"/>
          <w:color w:val="000000"/>
        </w:rPr>
        <w:t>号法令——《刑事诉讼法典》，第</w:t>
      </w:r>
      <w:r>
        <w:rPr>
          <w:rFonts w:ascii="KaiTi_GB2312"/>
          <w:color w:val="000000"/>
        </w:rPr>
        <w:t>194</w:t>
      </w:r>
      <w:r>
        <w:rPr>
          <w:rFonts w:hint="eastAsia"/>
          <w:color w:val="000000"/>
        </w:rPr>
        <w:t>.</w:t>
      </w:r>
      <w:r>
        <w:rPr>
          <w:rFonts w:ascii="KaiTi_GB2312"/>
          <w:color w:val="000000"/>
        </w:rPr>
        <w:t>4</w:t>
      </w:r>
      <w:r>
        <w:rPr>
          <w:rFonts w:ascii="KaiTi_GB2312" w:hint="eastAsia"/>
          <w:color w:val="000000"/>
        </w:rPr>
        <w:t>条。</w:t>
      </w:r>
    </w:p>
  </w:footnote>
  <w:footnote w:id="217">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color w:val="000000"/>
        </w:rPr>
        <w:t xml:space="preserve"> </w:t>
      </w:r>
      <w:r>
        <w:rPr>
          <w:rFonts w:ascii="KaiTi_GB2312" w:hint="eastAsia"/>
          <w:color w:val="000000"/>
        </w:rPr>
        <w:t>第</w:t>
      </w:r>
      <w:r>
        <w:rPr>
          <w:rFonts w:ascii="KaiTi_GB2312"/>
          <w:color w:val="000000"/>
        </w:rPr>
        <w:t>13/2004</w:t>
      </w:r>
      <w:r>
        <w:rPr>
          <w:rFonts w:ascii="KaiTi_GB2312" w:hint="eastAsia"/>
          <w:color w:val="000000"/>
        </w:rPr>
        <w:t>号法令——《警察纪律条例》，第33条。</w:t>
      </w:r>
    </w:p>
  </w:footnote>
  <w:footnote w:id="218">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color w:val="000000"/>
        </w:rPr>
        <w:t xml:space="preserve"> </w:t>
      </w:r>
      <w:r>
        <w:rPr>
          <w:rFonts w:ascii="KaiTi_GB2312"/>
          <w:color w:val="000000"/>
        </w:rPr>
        <w:tab/>
      </w:r>
      <w:r>
        <w:rPr>
          <w:rFonts w:ascii="KaiTi_GB2312" w:hint="eastAsia"/>
          <w:color w:val="000000"/>
        </w:rPr>
        <w:t>2004年11月19日，在巴图加德，东帝汶国家警察的一名边境巡逻队员因犯有《印度尼西亚刑法典》第351（2）条下的严重虐待罪，而被判处19个月的徒刑。以前，另有两名东帝汶国家警察因攻击两名嫌疑犯，而被判犯有轻微虐待罪，这两名警察各被处以15美元的罚款，并被调到其他单位。</w:t>
      </w:r>
    </w:p>
  </w:footnote>
  <w:footnote w:id="219">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Fonts w:ascii="KaiTi_GB2312" w:hint="eastAsia"/>
          <w:color w:val="000000"/>
        </w:rPr>
        <w:t xml:space="preserve"> 派出所所长多明戈斯·索雷斯的发言：“东帝汶国家警察的职业道德及责任”，2005年7月。</w:t>
      </w:r>
    </w:p>
  </w:footnote>
  <w:footnote w:id="220">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color w:val="000000"/>
        </w:rPr>
        <w:t xml:space="preserve"> </w:t>
      </w:r>
      <w:r>
        <w:rPr>
          <w:rFonts w:ascii="KaiTi_GB2312" w:hint="eastAsia"/>
          <w:color w:val="000000"/>
        </w:rPr>
        <w:t xml:space="preserve"> 内政部：《审查关于东帝汶国家警察行政案件的东帝汶国家警察职业标准》，2005年4月18日，第7页。 </w:t>
      </w:r>
    </w:p>
  </w:footnote>
  <w:footnote w:id="221">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color w:val="000000"/>
        </w:rPr>
        <w:t xml:space="preserve"> </w:t>
      </w:r>
      <w:r>
        <w:rPr>
          <w:rFonts w:ascii="KaiTi_GB2312" w:hint="eastAsia"/>
          <w:color w:val="000000"/>
        </w:rPr>
        <w:t>第</w:t>
      </w:r>
      <w:r>
        <w:rPr>
          <w:rFonts w:ascii="KaiTi_GB2312"/>
          <w:color w:val="000000"/>
        </w:rPr>
        <w:t>13/2004</w:t>
      </w:r>
      <w:r>
        <w:rPr>
          <w:rFonts w:ascii="KaiTi_GB2312" w:hint="eastAsia"/>
          <w:color w:val="000000"/>
        </w:rPr>
        <w:t>号法令。</w:t>
      </w:r>
    </w:p>
  </w:footnote>
  <w:footnote w:id="222">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bCs/>
          <w:color w:val="000000"/>
          <w:sz w:val="22"/>
        </w:rPr>
        <w:footnoteRef/>
      </w:r>
      <w:r>
        <w:rPr>
          <w:rFonts w:ascii="KaiTi_GB2312" w:hint="eastAsia"/>
          <w:color w:val="000000"/>
        </w:rPr>
        <w:t xml:space="preserve"> </w:t>
      </w:r>
      <w:r>
        <w:rPr>
          <w:rFonts w:ascii="KaiTi_GB2312" w:hint="eastAsia"/>
          <w:color w:val="000000"/>
        </w:rPr>
        <w:tab/>
        <w:t>《</w:t>
      </w:r>
      <w:r>
        <w:rPr>
          <w:rFonts w:ascii="KaiTi_GB2312"/>
          <w:color w:val="000000"/>
        </w:rPr>
        <w:t>东帝汶民主共和国宪法</w:t>
      </w:r>
      <w:r>
        <w:rPr>
          <w:rFonts w:ascii="KaiTi_GB2312" w:hint="eastAsia"/>
          <w:color w:val="000000"/>
        </w:rPr>
        <w:t>》，第32（4）条。</w:t>
      </w:r>
    </w:p>
  </w:footnote>
  <w:footnote w:id="223">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color w:val="000000"/>
        </w:rPr>
        <w:t xml:space="preserve"> </w:t>
      </w:r>
      <w:r>
        <w:rPr>
          <w:rFonts w:ascii="KaiTi_GB2312" w:hint="eastAsia"/>
          <w:color w:val="000000"/>
        </w:rPr>
        <w:t>2001年9月，招聘了10名见习律师在公诉辩护人办公室工作。2005年，这10名国家见习公诉辩护人都没有通过评估。如今，该办公室至少有4名国际公诉辩护人。</w:t>
      </w:r>
    </w:p>
  </w:footnote>
  <w:footnote w:id="224">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color w:val="000000"/>
        </w:rPr>
        <w:t xml:space="preserve"> </w:t>
      </w:r>
      <w:r>
        <w:rPr>
          <w:rFonts w:ascii="KaiTi_GB2312" w:hint="eastAsia"/>
          <w:color w:val="000000"/>
        </w:rPr>
        <w:t>东帝汶国家警察于2005年1月6日提交的共同核心文件，以及司法部于2005年7月召开的会议。</w:t>
      </w:r>
    </w:p>
  </w:footnote>
  <w:footnote w:id="225">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color w:val="000000"/>
        </w:rPr>
        <w:t xml:space="preserve"> </w:t>
      </w:r>
      <w:r>
        <w:rPr>
          <w:rFonts w:ascii="KaiTi_GB2312" w:hint="eastAsia"/>
          <w:color w:val="000000"/>
          <w:szCs w:val="22"/>
        </w:rPr>
        <w:t>自2001年以来，派往全国各地区法院的法官和检察官一直为见习人员，由于通常要求他们参加帝力的各种培训活动，因此时常会离开岗位。在一些国家法官没有通过考试后，国际法官填补了他们的职位，这使情况有所改善，但是办公效率和正常办公的情况仍然不理想。</w:t>
      </w:r>
    </w:p>
  </w:footnote>
  <w:footnote w:id="226">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color w:val="000000"/>
        </w:rPr>
        <w:t xml:space="preserve"> </w:t>
      </w:r>
      <w:r>
        <w:rPr>
          <w:rFonts w:ascii="KaiTi_GB2312" w:hint="eastAsia"/>
          <w:color w:val="000000"/>
        </w:rPr>
        <w:t>在</w:t>
      </w:r>
      <w:r>
        <w:rPr>
          <w:color w:val="000000"/>
        </w:rPr>
        <w:t>马纳图托</w:t>
      </w:r>
      <w:r>
        <w:rPr>
          <w:rFonts w:ascii="KaiTi_GB2312" w:hint="eastAsia"/>
          <w:color w:val="000000"/>
        </w:rPr>
        <w:t>召开的地区专题小组会议中，指出了这一误解问题。</w:t>
      </w:r>
    </w:p>
  </w:footnote>
  <w:footnote w:id="227">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color w:val="000000"/>
        </w:rPr>
        <w:t xml:space="preserve"> </w:t>
      </w:r>
      <w:r>
        <w:rPr>
          <w:rFonts w:ascii="KaiTi_GB2312" w:hint="eastAsia"/>
          <w:color w:val="000000"/>
        </w:rPr>
        <w:t>第</w:t>
      </w:r>
      <w:r>
        <w:rPr>
          <w:rFonts w:ascii="KaiTi_GB2312"/>
          <w:color w:val="000000"/>
        </w:rPr>
        <w:t>15/2005</w:t>
      </w:r>
      <w:r>
        <w:rPr>
          <w:rFonts w:ascii="KaiTi_GB2312" w:hint="eastAsia"/>
          <w:color w:val="000000"/>
        </w:rPr>
        <w:t>号法令——《刑事诉讼法典》，第114条和第265条。</w:t>
      </w:r>
    </w:p>
  </w:footnote>
  <w:footnote w:id="228">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color w:val="000000"/>
        </w:rPr>
        <w:t xml:space="preserve"> </w:t>
      </w:r>
      <w:r>
        <w:rPr>
          <w:rFonts w:ascii="KaiTi_GB2312" w:hint="eastAsia"/>
          <w:color w:val="000000"/>
        </w:rPr>
        <w:t>《宪法》第34.4条；第</w:t>
      </w:r>
      <w:r>
        <w:rPr>
          <w:rFonts w:ascii="KaiTi_GB2312"/>
          <w:color w:val="000000"/>
        </w:rPr>
        <w:t>15</w:t>
      </w:r>
      <w:r>
        <w:rPr>
          <w:rFonts w:ascii="KaiTi_GB2312" w:hint="eastAsia"/>
          <w:color w:val="000000"/>
        </w:rPr>
        <w:t>/</w:t>
      </w:r>
      <w:r>
        <w:rPr>
          <w:rFonts w:ascii="KaiTi_GB2312"/>
          <w:color w:val="000000"/>
        </w:rPr>
        <w:t>2005</w:t>
      </w:r>
      <w:r>
        <w:rPr>
          <w:rFonts w:ascii="KaiTi_GB2312" w:hint="eastAsia"/>
          <w:color w:val="000000"/>
        </w:rPr>
        <w:t>号法令——《刑事诉讼法典》，第110.1条。</w:t>
      </w:r>
    </w:p>
  </w:footnote>
  <w:footnote w:id="229">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color w:val="000000"/>
        </w:rPr>
        <w:t xml:space="preserve"> </w:t>
      </w:r>
      <w:r>
        <w:rPr>
          <w:rFonts w:ascii="KaiTi_GB2312" w:hint="eastAsia"/>
          <w:color w:val="000000"/>
        </w:rPr>
        <w:t>《印度尼西亚刑法典》，第422条。</w:t>
      </w:r>
    </w:p>
  </w:footnote>
  <w:footnote w:id="230">
    <w:p w:rsidR="00692915" w:rsidRDefault="00692915" w:rsidP="009A1C1B">
      <w:pPr>
        <w:pStyle w:val="FootnoteText"/>
        <w:tabs>
          <w:tab w:val="left" w:pos="780"/>
        </w:tabs>
        <w:ind w:firstLine="31680"/>
        <w:rPr>
          <w:rStyle w:val="FootnoteReference"/>
          <w:rFonts w:ascii="KaiTi_GB2312"/>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color w:val="000000"/>
        </w:rPr>
        <w:t xml:space="preserve"> </w:t>
      </w:r>
      <w:r>
        <w:rPr>
          <w:rFonts w:ascii="KaiTi_GB2312" w:hint="eastAsia"/>
          <w:color w:val="000000"/>
        </w:rPr>
        <w:t>见第</w:t>
      </w:r>
      <w:r>
        <w:rPr>
          <w:rFonts w:ascii="KaiTi_GB2312"/>
          <w:color w:val="000000"/>
        </w:rPr>
        <w:t>15 /2005</w:t>
      </w:r>
      <w:r>
        <w:rPr>
          <w:rFonts w:ascii="KaiTi_GB2312" w:hint="eastAsia"/>
          <w:color w:val="000000"/>
        </w:rPr>
        <w:t>号法令——《刑事诉讼法典》，第66</w:t>
      </w:r>
      <w:r>
        <w:rPr>
          <w:color w:val="000000"/>
        </w:rPr>
        <w:t>.</w:t>
      </w:r>
      <w:r>
        <w:rPr>
          <w:rFonts w:ascii="KaiTi_GB2312" w:hint="eastAsia"/>
          <w:color w:val="000000"/>
        </w:rPr>
        <w:t>1条和第68（</w:t>
      </w:r>
      <w:r>
        <w:rPr>
          <w:rFonts w:ascii="KaiTi_GB2312"/>
          <w:color w:val="000000"/>
        </w:rPr>
        <w:t>b</w:t>
      </w:r>
      <w:r>
        <w:rPr>
          <w:rFonts w:ascii="KaiTi_GB2312" w:hint="eastAsia"/>
          <w:color w:val="000000"/>
        </w:rPr>
        <w:t>）条。</w:t>
      </w:r>
    </w:p>
  </w:footnote>
  <w:footnote w:id="231">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color w:val="000000"/>
        </w:rPr>
        <w:t xml:space="preserve"> </w:t>
      </w:r>
      <w:r>
        <w:rPr>
          <w:rFonts w:ascii="KaiTi_GB2312" w:hint="eastAsia"/>
          <w:color w:val="000000"/>
        </w:rPr>
        <w:t>第</w:t>
      </w:r>
      <w:r>
        <w:rPr>
          <w:color w:val="000000"/>
        </w:rPr>
        <w:t>10/</w:t>
      </w:r>
      <w:r>
        <w:rPr>
          <w:rFonts w:ascii="KaiTi_GB2312"/>
          <w:color w:val="000000"/>
        </w:rPr>
        <w:t>200</w:t>
      </w:r>
      <w:r>
        <w:rPr>
          <w:color w:val="000000"/>
        </w:rPr>
        <w:t>3</w:t>
      </w:r>
      <w:r>
        <w:rPr>
          <w:rFonts w:ascii="KaiTi_GB2312" w:hint="eastAsia"/>
          <w:color w:val="000000"/>
        </w:rPr>
        <w:t>号政府法令已将该机构纳入司法部组织之中。</w:t>
      </w:r>
    </w:p>
  </w:footnote>
  <w:footnote w:id="232">
    <w:p w:rsidR="00692915" w:rsidRDefault="00692915" w:rsidP="009A1C1B">
      <w:pPr>
        <w:pStyle w:val="FootnoteText"/>
        <w:tabs>
          <w:tab w:val="left" w:pos="780"/>
        </w:tabs>
        <w:ind w:firstLine="31680"/>
        <w:rPr>
          <w:rStyle w:val="FootnoteReference"/>
          <w:rFonts w:ascii="KaiTi_GB2312"/>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color w:val="000000"/>
        </w:rPr>
        <w:t xml:space="preserve"> </w:t>
      </w:r>
      <w:r>
        <w:rPr>
          <w:rFonts w:ascii="KaiTi_GB2312" w:hint="eastAsia"/>
          <w:color w:val="000000"/>
        </w:rPr>
        <w:t>第</w:t>
      </w:r>
      <w:r>
        <w:rPr>
          <w:rFonts w:ascii="KaiTi_GB2312"/>
          <w:color w:val="000000"/>
        </w:rPr>
        <w:t>15</w:t>
      </w:r>
      <w:r>
        <w:rPr>
          <w:color w:val="000000"/>
        </w:rPr>
        <w:t xml:space="preserve"> /</w:t>
      </w:r>
      <w:r>
        <w:rPr>
          <w:rFonts w:ascii="KaiTi_GB2312"/>
          <w:color w:val="000000"/>
        </w:rPr>
        <w:t>2005</w:t>
      </w:r>
      <w:r>
        <w:rPr>
          <w:rFonts w:ascii="KaiTi_GB2312" w:hint="eastAsia"/>
          <w:color w:val="000000"/>
        </w:rPr>
        <w:t>号法令——《刑事诉讼法典》，第76条。</w:t>
      </w:r>
    </w:p>
  </w:footnote>
  <w:footnote w:id="233">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bCs/>
          <w:color w:val="000000"/>
          <w:sz w:val="22"/>
        </w:rPr>
        <w:footnoteRef/>
      </w:r>
      <w:r>
        <w:rPr>
          <w:rFonts w:ascii="KaiTi_GB2312" w:hint="eastAsia"/>
          <w:color w:val="000000"/>
        </w:rPr>
        <w:t>《</w:t>
      </w:r>
      <w:r>
        <w:rPr>
          <w:color w:val="000000"/>
        </w:rPr>
        <w:t>东帝</w:t>
      </w:r>
      <w:r>
        <w:rPr>
          <w:rFonts w:ascii="KaiTi_GB2312"/>
          <w:color w:val="000000"/>
        </w:rPr>
        <w:t>汶民主共和国宪法</w:t>
      </w:r>
      <w:r>
        <w:rPr>
          <w:rFonts w:ascii="KaiTi_GB2312" w:hint="eastAsia"/>
          <w:color w:val="000000"/>
        </w:rPr>
        <w:t>》第131条，第</w:t>
      </w:r>
      <w:r>
        <w:rPr>
          <w:rFonts w:ascii="KaiTi_GB2312"/>
          <w:color w:val="000000"/>
        </w:rPr>
        <w:t>15 /2005</w:t>
      </w:r>
      <w:r>
        <w:rPr>
          <w:rFonts w:ascii="KaiTi_GB2312" w:hint="eastAsia"/>
          <w:color w:val="000000"/>
        </w:rPr>
        <w:t>号法令——《刑事诉讼法典》，第75条和第247条。</w:t>
      </w:r>
    </w:p>
  </w:footnote>
  <w:footnote w:id="234">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color w:val="000000"/>
        </w:rPr>
        <w:t xml:space="preserve"> </w:t>
      </w:r>
      <w:r>
        <w:rPr>
          <w:rFonts w:ascii="KaiTi_GB2312" w:hint="eastAsia"/>
          <w:color w:val="000000"/>
        </w:rPr>
        <w:t>第</w:t>
      </w:r>
      <w:r>
        <w:rPr>
          <w:rFonts w:ascii="KaiTi_GB2312"/>
          <w:color w:val="000000"/>
        </w:rPr>
        <w:t>15/2005</w:t>
      </w:r>
      <w:r>
        <w:rPr>
          <w:rFonts w:ascii="KaiTi_GB2312" w:hint="eastAsia"/>
          <w:color w:val="000000"/>
        </w:rPr>
        <w:t>号法令——《刑事诉讼法典》，第76（1）条。另见《宪法》，第131条。</w:t>
      </w:r>
    </w:p>
  </w:footnote>
  <w:footnote w:id="235">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bCs/>
          <w:color w:val="000000"/>
          <w:sz w:val="22"/>
        </w:rPr>
        <w:footnoteRef/>
      </w:r>
      <w:r>
        <w:rPr>
          <w:rFonts w:ascii="KaiTi_GB2312"/>
          <w:color w:val="000000"/>
        </w:rPr>
        <w:t xml:space="preserve"> </w:t>
      </w:r>
      <w:r>
        <w:rPr>
          <w:rFonts w:ascii="KaiTi_GB2312" w:hint="eastAsia"/>
          <w:color w:val="000000"/>
        </w:rPr>
        <w:t>《刑事诉讼法典》第254（3）条规定，在必要情况下，如果被告在场可能会对陈述人的陈述构成妨碍或威胁，则可要求被告离开法庭一段时间。</w:t>
      </w:r>
    </w:p>
  </w:footnote>
  <w:footnote w:id="236">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bCs/>
          <w:color w:val="000000"/>
          <w:sz w:val="22"/>
        </w:rPr>
        <w:footnoteRef/>
      </w:r>
      <w:r>
        <w:rPr>
          <w:rFonts w:ascii="KaiTi_GB2312"/>
          <w:color w:val="000000"/>
        </w:rPr>
        <w:t xml:space="preserve">  </w:t>
      </w:r>
      <w:r>
        <w:rPr>
          <w:rFonts w:ascii="KaiTi_GB2312" w:hint="eastAsia"/>
          <w:color w:val="000000"/>
        </w:rPr>
        <w:t>《东帝汶：权利、正义与平等部门投资方案》，2006年4月，第14页。</w:t>
      </w:r>
    </w:p>
  </w:footnote>
  <w:footnote w:id="237">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color w:val="000000"/>
        </w:rPr>
        <w:t xml:space="preserve"> </w:t>
      </w:r>
      <w:r>
        <w:rPr>
          <w:rFonts w:ascii="KaiTi_GB2312" w:hint="eastAsia"/>
          <w:color w:val="000000"/>
        </w:rPr>
        <w:t>2005年2月3日司法部。为《共同核心文件》提交的材料。</w:t>
      </w:r>
    </w:p>
  </w:footnote>
  <w:footnote w:id="238">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color w:val="000000"/>
        </w:rPr>
        <w:t xml:space="preserve"> </w:t>
      </w:r>
      <w:r>
        <w:rPr>
          <w:rFonts w:ascii="KaiTi_GB2312" w:hint="eastAsia"/>
          <w:color w:val="000000"/>
        </w:rPr>
        <w:t>2005年5月30日，人权股提交的材料。</w:t>
      </w:r>
    </w:p>
  </w:footnote>
  <w:footnote w:id="239">
    <w:p w:rsidR="00692915" w:rsidRDefault="00692915" w:rsidP="009A1C1B">
      <w:pPr>
        <w:pStyle w:val="FootnoteText"/>
        <w:tabs>
          <w:tab w:val="left" w:pos="780"/>
        </w:tabs>
        <w:ind w:firstLine="31680"/>
        <w:rPr>
          <w:rStyle w:val="FootnoteReference"/>
          <w:rFonts w:ascii="KaiTi_GB2312"/>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Style w:val="FootnoteReference"/>
          <w:rFonts w:ascii="KaiTi_GB2312" w:hint="eastAsia"/>
          <w:b/>
          <w:color w:val="000000"/>
          <w:sz w:val="22"/>
        </w:rPr>
        <w:t xml:space="preserve"> </w:t>
      </w:r>
      <w:r>
        <w:rPr>
          <w:rFonts w:ascii="KaiTi_GB2312"/>
          <w:b/>
          <w:color w:val="000000"/>
        </w:rPr>
        <w:tab/>
      </w:r>
      <w:r>
        <w:rPr>
          <w:rFonts w:ascii="KaiTi_GB2312" w:hint="eastAsia"/>
          <w:color w:val="000000"/>
        </w:rPr>
        <w:t>第</w:t>
      </w:r>
      <w:r>
        <w:rPr>
          <w:color w:val="000000"/>
        </w:rPr>
        <w:t>1</w:t>
      </w:r>
      <w:r>
        <w:rPr>
          <w:rFonts w:ascii="KaiTi_GB2312"/>
          <w:color w:val="000000"/>
        </w:rPr>
        <w:t>5/2005</w:t>
      </w:r>
      <w:r>
        <w:rPr>
          <w:rFonts w:ascii="KaiTi_GB2312" w:hint="eastAsia"/>
          <w:color w:val="000000"/>
        </w:rPr>
        <w:t>号法令——《刑事诉讼法典》，第287条。</w:t>
      </w:r>
    </w:p>
  </w:footnote>
  <w:footnote w:id="240">
    <w:p w:rsidR="00692915" w:rsidRDefault="00692915" w:rsidP="009A1C1B">
      <w:pPr>
        <w:pStyle w:val="FootnoteText"/>
        <w:tabs>
          <w:tab w:val="left" w:pos="780"/>
        </w:tabs>
        <w:ind w:firstLine="31680"/>
        <w:rPr>
          <w:rStyle w:val="FootnoteReference"/>
          <w:rFonts w:ascii="KaiTi_GB2312"/>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color w:val="000000"/>
        </w:rPr>
        <w:t xml:space="preserve"> </w:t>
      </w:r>
      <w:r>
        <w:rPr>
          <w:rFonts w:ascii="KaiTi_GB2312" w:hint="eastAsia"/>
          <w:color w:val="000000"/>
        </w:rPr>
        <w:t>第</w:t>
      </w:r>
      <w:r>
        <w:rPr>
          <w:rFonts w:ascii="KaiTi_GB2312"/>
          <w:color w:val="000000"/>
        </w:rPr>
        <w:t>15/2005</w:t>
      </w:r>
      <w:r>
        <w:rPr>
          <w:rFonts w:ascii="KaiTi_GB2312" w:hint="eastAsia"/>
          <w:color w:val="000000"/>
        </w:rPr>
        <w:t>号法令——《刑事诉讼法典》，第291条。</w:t>
      </w:r>
    </w:p>
  </w:footnote>
  <w:footnote w:id="241">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color w:val="000000"/>
        </w:rPr>
        <w:t xml:space="preserve"> </w:t>
      </w:r>
      <w:r>
        <w:rPr>
          <w:rFonts w:ascii="KaiTi_GB2312" w:hint="eastAsia"/>
          <w:color w:val="000000"/>
        </w:rPr>
        <w:t>第</w:t>
      </w:r>
      <w:r>
        <w:rPr>
          <w:color w:val="000000"/>
        </w:rPr>
        <w:t>15</w:t>
      </w:r>
      <w:r>
        <w:rPr>
          <w:rFonts w:ascii="KaiTi_GB2312"/>
          <w:color w:val="000000"/>
        </w:rPr>
        <w:t>/2005</w:t>
      </w:r>
      <w:r>
        <w:rPr>
          <w:rFonts w:ascii="KaiTi_GB2312" w:hint="eastAsia"/>
          <w:color w:val="000000"/>
        </w:rPr>
        <w:t>号法令——《刑事诉讼法典》，第</w:t>
      </w:r>
      <w:r>
        <w:rPr>
          <w:rFonts w:ascii="KaiTi_GB2312"/>
          <w:color w:val="000000"/>
        </w:rPr>
        <w:t>19</w:t>
      </w:r>
      <w:r>
        <w:rPr>
          <w:rFonts w:ascii="KaiTi_GB2312" w:hint="eastAsia"/>
          <w:color w:val="000000"/>
        </w:rPr>
        <w:t>条第</w:t>
      </w:r>
      <w:r>
        <w:rPr>
          <w:rFonts w:ascii="KaiTi_GB2312"/>
          <w:color w:val="000000"/>
        </w:rPr>
        <w:t>A.7</w:t>
      </w:r>
      <w:r>
        <w:rPr>
          <w:rFonts w:ascii="KaiTi_GB2312" w:hint="eastAsia"/>
          <w:color w:val="000000"/>
        </w:rPr>
        <w:t>部分。</w:t>
      </w:r>
    </w:p>
  </w:footnote>
  <w:footnote w:id="242">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color w:val="000000"/>
        </w:rPr>
        <w:t xml:space="preserve"> </w:t>
      </w:r>
      <w:r>
        <w:rPr>
          <w:rFonts w:ascii="KaiTi_GB2312" w:hint="eastAsia"/>
          <w:color w:val="000000"/>
        </w:rPr>
        <w:t>阿曼多斯·</w:t>
      </w:r>
      <w:r>
        <w:rPr>
          <w:rFonts w:ascii="KaiTi_GB2312" w:hAnsi="Arial" w:cs="Arial" w:hint="eastAsia"/>
          <w:color w:val="000000"/>
        </w:rPr>
        <w:t>多斯·桑托</w:t>
      </w:r>
      <w:r>
        <w:rPr>
          <w:rFonts w:ascii="KaiTi_GB2312" w:hint="eastAsia"/>
          <w:color w:val="000000"/>
        </w:rPr>
        <w:t>斯诉</w:t>
      </w:r>
      <w:r>
        <w:rPr>
          <w:rFonts w:hint="eastAsia"/>
          <w:color w:val="000000"/>
        </w:rPr>
        <w:t>总监察</w:t>
      </w:r>
      <w:r>
        <w:rPr>
          <w:rFonts w:ascii="KaiTi_GB2312" w:hint="eastAsia"/>
          <w:color w:val="000000"/>
        </w:rPr>
        <w:t>长案，上诉法院（2003年7月15日）。</w:t>
      </w:r>
    </w:p>
  </w:footnote>
  <w:footnote w:id="243">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color w:val="000000"/>
        </w:rPr>
        <w:t xml:space="preserve"> </w:t>
      </w:r>
      <w:r>
        <w:rPr>
          <w:rFonts w:ascii="KaiTi_GB2312" w:hint="eastAsia"/>
          <w:color w:val="000000"/>
        </w:rPr>
        <w:t>检察官诉</w:t>
      </w:r>
      <w:r>
        <w:rPr>
          <w:rFonts w:ascii="KaiTi_GB2312" w:hAnsi="Arial" w:cs="Arial" w:hint="eastAsia"/>
          <w:color w:val="000000"/>
        </w:rPr>
        <w:t>乔奥·萨门托和多明戈斯·门东卡</w:t>
      </w:r>
      <w:r>
        <w:rPr>
          <w:rFonts w:ascii="KaiTi_GB2312" w:hint="eastAsia"/>
          <w:color w:val="000000"/>
        </w:rPr>
        <w:t>案，</w:t>
      </w:r>
      <w:r>
        <w:rPr>
          <w:rFonts w:ascii="KaiTi_GB2312" w:hAnsi="Arial" w:cs="Arial" w:hint="eastAsia"/>
          <w:color w:val="000000"/>
        </w:rPr>
        <w:t>重罪特别审判小组</w:t>
      </w:r>
      <w:r>
        <w:rPr>
          <w:rFonts w:ascii="KaiTi_GB2312" w:hint="eastAsia"/>
          <w:color w:val="000000"/>
        </w:rPr>
        <w:t>（2003年7月24日），第</w:t>
      </w:r>
      <w:r>
        <w:rPr>
          <w:rFonts w:ascii="KaiTi_GB2312"/>
          <w:color w:val="000000"/>
        </w:rPr>
        <w:t>18a/2001</w:t>
      </w:r>
      <w:r>
        <w:rPr>
          <w:rFonts w:ascii="KaiTi_GB2312" w:hint="eastAsia"/>
          <w:color w:val="000000"/>
        </w:rPr>
        <w:t>号卷宗。</w:t>
      </w:r>
    </w:p>
  </w:footnote>
  <w:footnote w:id="244">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color w:val="000000"/>
        </w:rPr>
        <w:t xml:space="preserve"> </w:t>
      </w:r>
      <w:r>
        <w:rPr>
          <w:rFonts w:ascii="KaiTi_GB2312" w:hint="eastAsia"/>
          <w:color w:val="000000"/>
        </w:rPr>
        <w:t>上诉法院（2004年11月4日）。</w:t>
      </w:r>
    </w:p>
  </w:footnote>
  <w:footnote w:id="245">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color w:val="000000"/>
        </w:rPr>
        <w:t xml:space="preserve"> </w:t>
      </w:r>
      <w:r>
        <w:rPr>
          <w:color w:val="000000"/>
        </w:rPr>
        <w:t>东帝汶妇女</w:t>
      </w:r>
      <w:r>
        <w:rPr>
          <w:rFonts w:ascii="KaiTi_GB2312"/>
          <w:color w:val="000000"/>
        </w:rPr>
        <w:t>通讯</w:t>
      </w:r>
      <w:r>
        <w:rPr>
          <w:color w:val="000000"/>
        </w:rPr>
        <w:t>论坛</w:t>
      </w:r>
      <w:r>
        <w:rPr>
          <w:rFonts w:ascii="KaiTi_GB2312" w:hint="eastAsia"/>
          <w:color w:val="000000"/>
        </w:rPr>
        <w:t>、司法系统监测方案的受害人支持服务机构、东帝汶社会心理康复及治疗组织以及其他组织，一直积极地为性虐待受害人提供援助。</w:t>
      </w:r>
    </w:p>
  </w:footnote>
  <w:footnote w:id="246">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color w:val="000000"/>
        </w:rPr>
        <w:t xml:space="preserve"> </w:t>
      </w:r>
      <w:r>
        <w:rPr>
          <w:rFonts w:ascii="KaiTi_GB2312" w:hint="eastAsia"/>
          <w:color w:val="000000"/>
        </w:rPr>
        <w:t>《亚洲基金会报告》，第2页。</w:t>
      </w:r>
    </w:p>
  </w:footnote>
  <w:footnote w:id="247">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bCs/>
          <w:color w:val="000000"/>
          <w:sz w:val="22"/>
        </w:rPr>
        <w:footnoteRef/>
      </w:r>
      <w:r>
        <w:rPr>
          <w:rFonts w:ascii="KaiTi_GB2312"/>
          <w:color w:val="000000"/>
        </w:rPr>
        <w:t xml:space="preserve">  </w:t>
      </w:r>
      <w:r>
        <w:rPr>
          <w:rFonts w:ascii="KaiTi_GB2312" w:hint="eastAsia"/>
          <w:color w:val="000000"/>
        </w:rPr>
        <w:t>地区协商会议重申了这一点。</w:t>
      </w:r>
    </w:p>
  </w:footnote>
  <w:footnote w:id="248">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bCs/>
          <w:color w:val="000000"/>
          <w:sz w:val="22"/>
        </w:rPr>
        <w:footnoteRef/>
      </w:r>
      <w:r>
        <w:rPr>
          <w:rFonts w:ascii="KaiTi_GB2312" w:hint="eastAsia"/>
          <w:color w:val="000000"/>
        </w:rPr>
        <w:t xml:space="preserve"> </w:t>
      </w:r>
      <w:r>
        <w:rPr>
          <w:rFonts w:ascii="KaiTi_GB2312" w:hint="eastAsia"/>
          <w:color w:val="000000"/>
        </w:rPr>
        <w:tab/>
        <w:t>在</w:t>
      </w:r>
      <w:r>
        <w:rPr>
          <w:rFonts w:ascii="KaiTi_GB2312"/>
          <w:color w:val="000000"/>
        </w:rPr>
        <w:t>欧库</w:t>
      </w:r>
      <w:r>
        <w:rPr>
          <w:color w:val="000000"/>
        </w:rPr>
        <w:t>西</w:t>
      </w:r>
      <w:r>
        <w:rPr>
          <w:rFonts w:ascii="KaiTi_GB2312" w:hint="eastAsia"/>
          <w:color w:val="000000"/>
        </w:rPr>
        <w:t>、马利亚纳、帝力和其他地方有报道。</w:t>
      </w:r>
    </w:p>
  </w:footnote>
  <w:footnote w:id="249">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color w:val="000000"/>
        </w:rPr>
        <w:t xml:space="preserve"> </w:t>
      </w:r>
      <w:r>
        <w:rPr>
          <w:rFonts w:ascii="KaiTi_GB2312" w:hint="eastAsia"/>
          <w:color w:val="000000"/>
        </w:rPr>
        <w:t>本部分涉及：</w:t>
      </w:r>
    </w:p>
    <w:p w:rsidR="00692915" w:rsidRDefault="00692915" w:rsidP="009A1C1B">
      <w:pPr>
        <w:pStyle w:val="FootnoteText"/>
        <w:numPr>
          <w:ilvl w:val="0"/>
          <w:numId w:val="12"/>
        </w:numPr>
        <w:tabs>
          <w:tab w:val="clear" w:pos="1494"/>
          <w:tab w:val="left" w:pos="780"/>
        </w:tabs>
        <w:ind w:left="0" w:firstLine="31680"/>
        <w:rPr>
          <w:rFonts w:ascii="KaiTi_GB2312"/>
          <w:color w:val="000000"/>
        </w:rPr>
      </w:pPr>
      <w:r>
        <w:rPr>
          <w:rFonts w:ascii="KaiTi_GB2312" w:hint="eastAsia"/>
          <w:bCs/>
          <w:color w:val="000000"/>
        </w:rPr>
        <w:t>《公民及政治权利国际公约》，第24条。</w:t>
      </w:r>
    </w:p>
    <w:p w:rsidR="00692915" w:rsidRDefault="00692915" w:rsidP="009A1C1B">
      <w:pPr>
        <w:pStyle w:val="FootnoteText"/>
        <w:numPr>
          <w:ilvl w:val="0"/>
          <w:numId w:val="12"/>
        </w:numPr>
        <w:tabs>
          <w:tab w:val="clear" w:pos="1494"/>
          <w:tab w:val="left" w:pos="780"/>
        </w:tabs>
        <w:ind w:left="0" w:firstLine="31680"/>
        <w:rPr>
          <w:rFonts w:ascii="KaiTi_GB2312"/>
          <w:color w:val="000000"/>
        </w:rPr>
      </w:pPr>
      <w:r>
        <w:rPr>
          <w:rFonts w:ascii="KaiTi_GB2312"/>
          <w:color w:val="000000"/>
        </w:rPr>
        <w:t>《儿童权利</w:t>
      </w:r>
      <w:r>
        <w:rPr>
          <w:color w:val="000000"/>
        </w:rPr>
        <w:t>公约》</w:t>
      </w:r>
      <w:r>
        <w:rPr>
          <w:rFonts w:hint="eastAsia"/>
          <w:color w:val="000000"/>
        </w:rPr>
        <w:t>，</w:t>
      </w:r>
      <w:r>
        <w:rPr>
          <w:rFonts w:ascii="KaiTi_GB2312" w:hint="eastAsia"/>
          <w:color w:val="000000"/>
        </w:rPr>
        <w:t>第7和第8条。</w:t>
      </w:r>
    </w:p>
    <w:p w:rsidR="00692915" w:rsidRDefault="00692915" w:rsidP="009A1C1B">
      <w:pPr>
        <w:pStyle w:val="FootnoteText"/>
        <w:numPr>
          <w:ilvl w:val="0"/>
          <w:numId w:val="12"/>
        </w:numPr>
        <w:tabs>
          <w:tab w:val="clear" w:pos="1494"/>
          <w:tab w:val="left" w:pos="780"/>
        </w:tabs>
        <w:ind w:left="0" w:firstLine="31680"/>
        <w:rPr>
          <w:rFonts w:ascii="KaiTi_GB2312"/>
          <w:color w:val="000000"/>
        </w:rPr>
      </w:pPr>
      <w:r>
        <w:rPr>
          <w:rFonts w:ascii="KaiTi_GB2312" w:hint="eastAsia"/>
          <w:color w:val="000000"/>
        </w:rPr>
        <w:t>《</w:t>
      </w:r>
      <w:r>
        <w:rPr>
          <w:rFonts w:ascii="KaiTi_GB2312" w:hAnsi="Arial" w:cs="Arial" w:hint="eastAsia"/>
          <w:color w:val="000000"/>
        </w:rPr>
        <w:t>消除对妇女一切形式歧视公约</w:t>
      </w:r>
      <w:r>
        <w:rPr>
          <w:rFonts w:ascii="KaiTi_GB2312" w:hint="eastAsia"/>
          <w:color w:val="000000"/>
        </w:rPr>
        <w:t>》，第9条。</w:t>
      </w:r>
    </w:p>
    <w:p w:rsidR="00692915" w:rsidRDefault="00692915" w:rsidP="009A1C1B">
      <w:pPr>
        <w:pStyle w:val="FootnoteText"/>
        <w:numPr>
          <w:ilvl w:val="0"/>
          <w:numId w:val="12"/>
        </w:numPr>
        <w:tabs>
          <w:tab w:val="clear" w:pos="1494"/>
          <w:tab w:val="left" w:pos="780"/>
        </w:tabs>
        <w:ind w:left="0" w:firstLine="31680"/>
        <w:rPr>
          <w:rFonts w:ascii="KaiTi_GB2312"/>
          <w:color w:val="000000"/>
        </w:rPr>
      </w:pPr>
      <w:r>
        <w:rPr>
          <w:rFonts w:ascii="KaiTi_GB2312" w:hint="eastAsia"/>
          <w:bCs/>
          <w:color w:val="000000"/>
        </w:rPr>
        <w:t>《消除一切形式种族歧视国际公约》，第5（c）条。</w:t>
      </w:r>
    </w:p>
    <w:p w:rsidR="00692915" w:rsidRDefault="00692915" w:rsidP="009A1C1B">
      <w:pPr>
        <w:pStyle w:val="FootnoteText"/>
        <w:numPr>
          <w:ilvl w:val="0"/>
          <w:numId w:val="12"/>
        </w:numPr>
        <w:tabs>
          <w:tab w:val="clear" w:pos="1494"/>
          <w:tab w:val="left" w:pos="780"/>
        </w:tabs>
        <w:ind w:left="0" w:firstLine="31680"/>
        <w:rPr>
          <w:rStyle w:val="FootnoteReference"/>
          <w:rFonts w:ascii="KaiTi_GB2312"/>
          <w:b/>
          <w:color w:val="000000"/>
          <w:sz w:val="22"/>
        </w:rPr>
      </w:pPr>
      <w:r>
        <w:rPr>
          <w:rFonts w:ascii="KaiTi_GB2312" w:hint="eastAsia"/>
          <w:bCs/>
          <w:color w:val="000000"/>
        </w:rPr>
        <w:t>《保护所有移徙工人及其家庭成员权利国际公约》，第29条。</w:t>
      </w:r>
    </w:p>
  </w:footnote>
  <w:footnote w:id="250">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color w:val="000000"/>
        </w:rPr>
        <w:t xml:space="preserve"> </w:t>
      </w:r>
      <w:r>
        <w:rPr>
          <w:rFonts w:ascii="KaiTi_GB2312" w:hint="eastAsia"/>
          <w:color w:val="000000"/>
        </w:rPr>
        <w:t>见《</w:t>
      </w:r>
      <w:r>
        <w:rPr>
          <w:color w:val="000000"/>
        </w:rPr>
        <w:t>东帝汶民主</w:t>
      </w:r>
      <w:r>
        <w:rPr>
          <w:rFonts w:ascii="KaiTi_GB2312"/>
          <w:color w:val="000000"/>
        </w:rPr>
        <w:t>共和国</w:t>
      </w:r>
      <w:r>
        <w:rPr>
          <w:color w:val="000000"/>
        </w:rPr>
        <w:t>宪法</w:t>
      </w:r>
      <w:r>
        <w:rPr>
          <w:rFonts w:ascii="KaiTi_GB2312" w:hint="eastAsia"/>
          <w:color w:val="000000"/>
        </w:rPr>
        <w:t>》，第3（2）条，以及第</w:t>
      </w:r>
      <w:r>
        <w:rPr>
          <w:rFonts w:ascii="KaiTi_GB2312"/>
          <w:color w:val="000000"/>
        </w:rPr>
        <w:t>9/2002</w:t>
      </w:r>
      <w:r>
        <w:rPr>
          <w:rFonts w:ascii="KaiTi_GB2312" w:hint="eastAsia"/>
          <w:color w:val="000000"/>
        </w:rPr>
        <w:t>号法律，第8（1）条。</w:t>
      </w:r>
    </w:p>
  </w:footnote>
  <w:footnote w:id="251">
    <w:p w:rsidR="00692915" w:rsidRDefault="00692915" w:rsidP="009A1C1B">
      <w:pPr>
        <w:pStyle w:val="FootnoteText"/>
        <w:tabs>
          <w:tab w:val="left" w:pos="780"/>
        </w:tabs>
        <w:ind w:firstLine="31680"/>
        <w:rPr>
          <w:rStyle w:val="FootnoteReference"/>
          <w:rFonts w:ascii="KaiTi_GB2312"/>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color w:val="000000"/>
        </w:rPr>
        <w:t xml:space="preserve"> </w:t>
      </w:r>
      <w:r>
        <w:rPr>
          <w:rFonts w:ascii="KaiTi_GB2312" w:hint="eastAsia"/>
          <w:color w:val="000000"/>
        </w:rPr>
        <w:t>见《</w:t>
      </w:r>
      <w:r>
        <w:rPr>
          <w:color w:val="000000"/>
        </w:rPr>
        <w:t>东帝汶民主</w:t>
      </w:r>
      <w:r>
        <w:rPr>
          <w:rFonts w:ascii="KaiTi_GB2312"/>
          <w:color w:val="000000"/>
        </w:rPr>
        <w:t>共和国</w:t>
      </w:r>
      <w:r>
        <w:rPr>
          <w:color w:val="000000"/>
        </w:rPr>
        <w:t>宪法</w:t>
      </w:r>
      <w:r>
        <w:rPr>
          <w:rFonts w:ascii="KaiTi_GB2312" w:hint="eastAsia"/>
          <w:color w:val="000000"/>
        </w:rPr>
        <w:t>》，第3（3）条，以及第</w:t>
      </w:r>
      <w:r>
        <w:rPr>
          <w:rFonts w:ascii="KaiTi_GB2312"/>
          <w:color w:val="000000"/>
        </w:rPr>
        <w:t>9/2002</w:t>
      </w:r>
      <w:r>
        <w:rPr>
          <w:rFonts w:ascii="KaiTi_GB2312" w:hint="eastAsia"/>
          <w:color w:val="000000"/>
        </w:rPr>
        <w:t>号法律，第8（2）条。</w:t>
      </w:r>
    </w:p>
  </w:footnote>
  <w:footnote w:id="252">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color w:val="000000"/>
        </w:rPr>
        <w:t xml:space="preserve"> </w:t>
      </w:r>
      <w:r>
        <w:rPr>
          <w:rFonts w:ascii="KaiTi_GB2312" w:hint="eastAsia"/>
          <w:color w:val="000000"/>
        </w:rPr>
        <w:t>见《</w:t>
      </w:r>
      <w:r>
        <w:rPr>
          <w:color w:val="000000"/>
        </w:rPr>
        <w:t>东帝汶民主</w:t>
      </w:r>
      <w:r>
        <w:rPr>
          <w:rFonts w:ascii="KaiTi_GB2312"/>
          <w:color w:val="000000"/>
        </w:rPr>
        <w:t>共和国</w:t>
      </w:r>
      <w:r>
        <w:rPr>
          <w:color w:val="000000"/>
        </w:rPr>
        <w:t>宪法</w:t>
      </w:r>
      <w:r>
        <w:rPr>
          <w:rFonts w:ascii="KaiTi_GB2312" w:hint="eastAsia"/>
          <w:color w:val="000000"/>
        </w:rPr>
        <w:t>》，第2（2）（c）条，第</w:t>
      </w:r>
      <w:r>
        <w:rPr>
          <w:rFonts w:ascii="KaiTi_GB2312"/>
          <w:color w:val="000000"/>
        </w:rPr>
        <w:t>9/2002</w:t>
      </w:r>
      <w:r>
        <w:rPr>
          <w:rFonts w:ascii="KaiTi_GB2312" w:hint="eastAsia"/>
          <w:color w:val="000000"/>
        </w:rPr>
        <w:t>号法律，第8</w:t>
      </w:r>
      <w:r>
        <w:rPr>
          <w:rFonts w:ascii="KaiTi_GB2312"/>
          <w:color w:val="000000"/>
        </w:rPr>
        <w:t>（1）（b）</w:t>
      </w:r>
      <w:r>
        <w:rPr>
          <w:rFonts w:ascii="KaiTi_GB2312" w:hint="eastAsia"/>
          <w:color w:val="000000"/>
        </w:rPr>
        <w:t>条。</w:t>
      </w:r>
    </w:p>
  </w:footnote>
  <w:footnote w:id="253">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Style w:val="FootnoteReference"/>
          <w:rFonts w:ascii="KaiTi_GB2312" w:hint="eastAsia"/>
          <w:b/>
          <w:color w:val="000000"/>
          <w:sz w:val="22"/>
        </w:rPr>
        <w:t xml:space="preserve"> </w:t>
      </w:r>
      <w:r>
        <w:rPr>
          <w:rFonts w:ascii="KaiTi_GB2312"/>
          <w:b/>
          <w:color w:val="000000"/>
        </w:rPr>
        <w:tab/>
      </w:r>
      <w:r>
        <w:rPr>
          <w:rFonts w:ascii="KaiTi_GB2312" w:hint="eastAsia"/>
          <w:color w:val="000000"/>
        </w:rPr>
        <w:t>见第</w:t>
      </w:r>
      <w:r>
        <w:rPr>
          <w:rFonts w:ascii="KaiTi_GB2312"/>
          <w:color w:val="000000"/>
        </w:rPr>
        <w:t>9/2002</w:t>
      </w:r>
      <w:r>
        <w:rPr>
          <w:rFonts w:ascii="KaiTi_GB2312" w:hint="eastAsia"/>
          <w:color w:val="000000"/>
        </w:rPr>
        <w:t>号法律，第10-12条。</w:t>
      </w:r>
    </w:p>
  </w:footnote>
  <w:footnote w:id="254">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Style w:val="FootnoteReference"/>
          <w:rFonts w:ascii="KaiTi_GB2312" w:hint="eastAsia"/>
          <w:b/>
          <w:color w:val="000000"/>
          <w:sz w:val="22"/>
        </w:rPr>
        <w:t xml:space="preserve"> </w:t>
      </w:r>
      <w:r>
        <w:rPr>
          <w:rFonts w:ascii="KaiTi_GB2312" w:hint="eastAsia"/>
          <w:b/>
          <w:color w:val="000000"/>
        </w:rPr>
        <w:tab/>
      </w:r>
      <w:r>
        <w:rPr>
          <w:rFonts w:ascii="KaiTi_GB2312" w:hint="eastAsia"/>
          <w:color w:val="000000"/>
        </w:rPr>
        <w:t>例如见第</w:t>
      </w:r>
      <w:r>
        <w:rPr>
          <w:rFonts w:ascii="KaiTi_GB2312"/>
          <w:color w:val="000000"/>
        </w:rPr>
        <w:t>9/2002</w:t>
      </w:r>
      <w:r>
        <w:rPr>
          <w:rFonts w:ascii="KaiTi_GB2312" w:hint="eastAsia"/>
          <w:color w:val="000000"/>
        </w:rPr>
        <w:t>号法律，第</w:t>
      </w:r>
      <w:r>
        <w:rPr>
          <w:rFonts w:ascii="KaiTi_GB2312"/>
          <w:color w:val="000000"/>
        </w:rPr>
        <w:t>11（1）（c）</w:t>
      </w:r>
      <w:r>
        <w:rPr>
          <w:rFonts w:ascii="KaiTi_GB2312" w:hint="eastAsia"/>
          <w:color w:val="000000"/>
        </w:rPr>
        <w:t>条，以及第</w:t>
      </w:r>
      <w:r>
        <w:rPr>
          <w:rFonts w:ascii="KaiTi_GB2312"/>
          <w:color w:val="000000"/>
        </w:rPr>
        <w:t xml:space="preserve"> 12（1）（f）</w:t>
      </w:r>
      <w:r>
        <w:rPr>
          <w:rFonts w:ascii="KaiTi_GB2312" w:hint="eastAsia"/>
          <w:color w:val="000000"/>
        </w:rPr>
        <w:t>条。</w:t>
      </w:r>
    </w:p>
  </w:footnote>
  <w:footnote w:id="255">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color w:val="000000"/>
        </w:rPr>
        <w:t xml:space="preserve"> </w:t>
      </w:r>
      <w:r>
        <w:rPr>
          <w:rFonts w:ascii="KaiTi_GB2312" w:hint="eastAsia"/>
          <w:color w:val="000000"/>
        </w:rPr>
        <w:t>见第</w:t>
      </w:r>
      <w:r>
        <w:rPr>
          <w:rFonts w:ascii="KaiTi_GB2312"/>
          <w:color w:val="000000"/>
        </w:rPr>
        <w:t>9/2002</w:t>
      </w:r>
      <w:r>
        <w:rPr>
          <w:rFonts w:ascii="KaiTi_GB2312" w:hint="eastAsia"/>
          <w:color w:val="000000"/>
        </w:rPr>
        <w:t>号法律，第13条。</w:t>
      </w:r>
    </w:p>
  </w:footnote>
  <w:footnote w:id="256">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color w:val="000000"/>
        </w:rPr>
        <w:t xml:space="preserve"> </w:t>
      </w:r>
      <w:r>
        <w:rPr>
          <w:rStyle w:val="FootnoteReference"/>
          <w:rFonts w:ascii="KaiTi_GB2312" w:hint="eastAsia"/>
          <w:b/>
          <w:color w:val="000000"/>
          <w:sz w:val="22"/>
        </w:rPr>
        <w:t xml:space="preserve"> </w:t>
      </w:r>
      <w:r>
        <w:rPr>
          <w:rFonts w:ascii="KaiTi_GB2312" w:hint="eastAsia"/>
          <w:color w:val="000000"/>
        </w:rPr>
        <w:t>《有关公民身份的</w:t>
      </w:r>
      <w:r>
        <w:rPr>
          <w:rFonts w:ascii="KaiTi_GB2312" w:hint="eastAsia"/>
          <w:bCs/>
          <w:snapToGrid w:val="0"/>
          <w:color w:val="000000"/>
          <w:spacing w:val="10"/>
        </w:rPr>
        <w:t>第</w:t>
      </w:r>
      <w:r>
        <w:rPr>
          <w:rFonts w:ascii="KaiTi_GB2312"/>
          <w:bCs/>
          <w:snapToGrid w:val="0"/>
          <w:color w:val="000000"/>
          <w:spacing w:val="10"/>
        </w:rPr>
        <w:t>9/2002</w:t>
      </w:r>
      <w:r>
        <w:rPr>
          <w:rFonts w:ascii="KaiTi_GB2312" w:hint="eastAsia"/>
          <w:bCs/>
          <w:snapToGrid w:val="0"/>
          <w:color w:val="000000"/>
          <w:spacing w:val="10"/>
        </w:rPr>
        <w:t>号</w:t>
      </w:r>
      <w:r>
        <w:rPr>
          <w:rFonts w:ascii="KaiTi_GB2312" w:hint="eastAsia"/>
          <w:color w:val="000000"/>
        </w:rPr>
        <w:t>法律》，第29条和第30条。</w:t>
      </w:r>
    </w:p>
  </w:footnote>
  <w:footnote w:id="257">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color w:val="000000"/>
        </w:rPr>
        <w:t xml:space="preserve"> </w:t>
      </w:r>
      <w:r>
        <w:rPr>
          <w:rStyle w:val="FootnoteReference"/>
          <w:rFonts w:ascii="KaiTi_GB2312" w:hint="eastAsia"/>
          <w:b/>
          <w:color w:val="000000"/>
          <w:sz w:val="22"/>
        </w:rPr>
        <w:t xml:space="preserve"> </w:t>
      </w:r>
      <w:r>
        <w:rPr>
          <w:rFonts w:ascii="KaiTi_GB2312" w:hint="eastAsia"/>
          <w:color w:val="000000"/>
        </w:rPr>
        <w:t>本部分涉及：</w:t>
      </w:r>
    </w:p>
    <w:p w:rsidR="00692915" w:rsidRDefault="00692915" w:rsidP="009A1C1B">
      <w:pPr>
        <w:tabs>
          <w:tab w:val="left" w:pos="780"/>
        </w:tabs>
        <w:spacing w:line="288" w:lineRule="auto"/>
        <w:ind w:leftChars="299" w:left="31680" w:firstLineChars="0" w:firstLine="0"/>
        <w:rPr>
          <w:rStyle w:val="FootnoteReference"/>
          <w:rFonts w:ascii="KaiTi_GB2312"/>
          <w:b/>
          <w:color w:val="000000"/>
          <w:sz w:val="22"/>
        </w:rPr>
      </w:pPr>
      <w:r>
        <w:rPr>
          <w:rFonts w:ascii="KaiTi_GB2312" w:eastAsia="KaiTi_GB2312" w:hint="eastAsia"/>
          <w:bCs/>
          <w:color w:val="000000"/>
          <w:sz w:val="22"/>
        </w:rPr>
        <w:t>《公民及政治权利国际公约》，第25条。</w:t>
      </w:r>
      <w:r>
        <w:rPr>
          <w:rFonts w:ascii="KaiTi_GB2312" w:eastAsia="KaiTi_GB2312"/>
          <w:color w:val="000000"/>
          <w:sz w:val="22"/>
        </w:rPr>
        <w:br/>
      </w:r>
      <w:r>
        <w:rPr>
          <w:rFonts w:ascii="KaiTi_GB2312" w:eastAsia="KaiTi_GB2312" w:hint="eastAsia"/>
          <w:color w:val="000000"/>
          <w:sz w:val="22"/>
        </w:rPr>
        <w:t>《</w:t>
      </w:r>
      <w:r>
        <w:rPr>
          <w:rFonts w:ascii="KaiTi_GB2312" w:eastAsia="KaiTi_GB2312" w:hint="eastAsia"/>
          <w:bCs/>
          <w:color w:val="000000"/>
          <w:sz w:val="22"/>
        </w:rPr>
        <w:t>消除对妇女一切形式歧视公约》，第7条和第8条。</w:t>
      </w:r>
      <w:r>
        <w:rPr>
          <w:rFonts w:ascii="KaiTi_GB2312" w:eastAsia="KaiTi_GB2312"/>
          <w:color w:val="000000"/>
          <w:sz w:val="22"/>
        </w:rPr>
        <w:br/>
      </w:r>
      <w:r>
        <w:rPr>
          <w:rFonts w:ascii="KaiTi_GB2312" w:eastAsia="KaiTi_GB2312" w:hint="eastAsia"/>
          <w:bCs/>
          <w:color w:val="000000"/>
          <w:sz w:val="22"/>
        </w:rPr>
        <w:t>《消除一切形式种族歧视国际公约》，第5（a）条。</w:t>
      </w:r>
      <w:r>
        <w:rPr>
          <w:rFonts w:ascii="KaiTi_GB2312" w:eastAsia="KaiTi_GB2312"/>
          <w:color w:val="000000"/>
          <w:sz w:val="22"/>
        </w:rPr>
        <w:br/>
      </w:r>
      <w:r>
        <w:rPr>
          <w:rFonts w:ascii="KaiTi_GB2312" w:eastAsia="KaiTi_GB2312" w:hint="eastAsia"/>
          <w:bCs/>
          <w:color w:val="000000"/>
          <w:sz w:val="22"/>
        </w:rPr>
        <w:t>《保护所有移徙工人及其家庭成员权利国际公约》，第41（2）条、第42（3）条。</w:t>
      </w:r>
    </w:p>
  </w:footnote>
  <w:footnote w:id="258">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color w:val="000000"/>
        </w:rPr>
        <w:t xml:space="preserve"> </w:t>
      </w:r>
      <w:r>
        <w:rPr>
          <w:rStyle w:val="FootnoteReference"/>
          <w:rFonts w:ascii="KaiTi_GB2312" w:hint="eastAsia"/>
          <w:b/>
          <w:color w:val="000000"/>
          <w:sz w:val="22"/>
        </w:rPr>
        <w:t xml:space="preserve"> </w:t>
      </w:r>
      <w:r>
        <w:rPr>
          <w:rFonts w:ascii="KaiTi_GB2312" w:hint="eastAsia"/>
          <w:color w:val="000000"/>
        </w:rPr>
        <w:t>《</w:t>
      </w:r>
      <w:r>
        <w:rPr>
          <w:bCs/>
          <w:snapToGrid w:val="0"/>
          <w:color w:val="000000"/>
          <w:spacing w:val="10"/>
        </w:rPr>
        <w:t>东帝</w:t>
      </w:r>
      <w:r>
        <w:rPr>
          <w:rFonts w:ascii="KaiTi_GB2312"/>
          <w:bCs/>
          <w:snapToGrid w:val="0"/>
          <w:color w:val="000000"/>
          <w:spacing w:val="10"/>
        </w:rPr>
        <w:t>汶民主共和国宪法</w:t>
      </w:r>
      <w:r>
        <w:rPr>
          <w:rFonts w:ascii="KaiTi_GB2312" w:hint="eastAsia"/>
          <w:bCs/>
          <w:snapToGrid w:val="0"/>
          <w:color w:val="000000"/>
          <w:spacing w:val="10"/>
        </w:rPr>
        <w:t>》，第46</w:t>
      </w:r>
      <w:r>
        <w:rPr>
          <w:rFonts w:ascii="KaiTi_GB2312" w:hint="eastAsia"/>
          <w:color w:val="000000"/>
        </w:rPr>
        <w:t>条和第47条。</w:t>
      </w:r>
    </w:p>
  </w:footnote>
  <w:footnote w:id="259">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color w:val="000000"/>
        </w:rPr>
        <w:t xml:space="preserve"> </w:t>
      </w:r>
      <w:r>
        <w:rPr>
          <w:rStyle w:val="FootnoteReference"/>
          <w:rFonts w:ascii="KaiTi_GB2312" w:hint="eastAsia"/>
          <w:b/>
          <w:color w:val="000000"/>
          <w:sz w:val="22"/>
        </w:rPr>
        <w:t xml:space="preserve"> </w:t>
      </w:r>
      <w:r>
        <w:rPr>
          <w:rFonts w:ascii="KaiTi_GB2312" w:hint="eastAsia"/>
          <w:color w:val="000000"/>
        </w:rPr>
        <w:t>《</w:t>
      </w:r>
      <w:r>
        <w:rPr>
          <w:bCs/>
          <w:snapToGrid w:val="0"/>
          <w:color w:val="000000"/>
          <w:spacing w:val="10"/>
        </w:rPr>
        <w:t>东帝汶民主共和国宪法</w:t>
      </w:r>
      <w:r>
        <w:rPr>
          <w:rFonts w:hint="eastAsia"/>
          <w:bCs/>
          <w:snapToGrid w:val="0"/>
          <w:color w:val="000000"/>
          <w:spacing w:val="10"/>
        </w:rPr>
        <w:t>》，第</w:t>
      </w:r>
      <w:r>
        <w:rPr>
          <w:rFonts w:ascii="KaiTi_GB2312" w:hint="eastAsia"/>
          <w:color w:val="000000"/>
        </w:rPr>
        <w:t>63（1）条。</w:t>
      </w:r>
    </w:p>
  </w:footnote>
  <w:footnote w:id="260">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color w:val="000000"/>
        </w:rPr>
        <w:t xml:space="preserve"> </w:t>
      </w:r>
      <w:r>
        <w:rPr>
          <w:rStyle w:val="FootnoteReference"/>
          <w:rFonts w:ascii="KaiTi_GB2312" w:hint="eastAsia"/>
          <w:b/>
          <w:color w:val="000000"/>
          <w:sz w:val="22"/>
        </w:rPr>
        <w:t xml:space="preserve"> </w:t>
      </w:r>
      <w:r>
        <w:rPr>
          <w:rFonts w:ascii="KaiTi_GB2312" w:hint="eastAsia"/>
          <w:color w:val="000000"/>
        </w:rPr>
        <w:t>《</w:t>
      </w:r>
      <w:r>
        <w:rPr>
          <w:bCs/>
          <w:snapToGrid w:val="0"/>
          <w:color w:val="000000"/>
          <w:spacing w:val="10"/>
        </w:rPr>
        <w:t>东帝汶民主共和国宪法</w:t>
      </w:r>
      <w:r>
        <w:rPr>
          <w:rFonts w:hint="eastAsia"/>
          <w:bCs/>
          <w:snapToGrid w:val="0"/>
          <w:color w:val="000000"/>
          <w:spacing w:val="10"/>
        </w:rPr>
        <w:t>》，第</w:t>
      </w:r>
      <w:r>
        <w:rPr>
          <w:rFonts w:ascii="KaiTi_GB2312" w:hint="eastAsia"/>
          <w:bCs/>
          <w:snapToGrid w:val="0"/>
          <w:color w:val="000000"/>
          <w:spacing w:val="10"/>
        </w:rPr>
        <w:t>6</w:t>
      </w:r>
      <w:r>
        <w:rPr>
          <w:rFonts w:ascii="KaiTi_GB2312" w:hint="eastAsia"/>
          <w:color w:val="000000"/>
        </w:rPr>
        <w:t>3（2）条。</w:t>
      </w:r>
    </w:p>
  </w:footnote>
  <w:footnote w:id="261">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color w:val="000000"/>
        </w:rPr>
        <w:t xml:space="preserve"> </w:t>
      </w:r>
      <w:r>
        <w:rPr>
          <w:rFonts w:ascii="KaiTi_GB2312" w:hint="eastAsia"/>
          <w:color w:val="000000"/>
        </w:rPr>
        <w:t>《</w:t>
      </w:r>
      <w:r>
        <w:rPr>
          <w:rFonts w:ascii="KaiTi_GB2312"/>
          <w:bCs/>
          <w:snapToGrid w:val="0"/>
          <w:color w:val="000000"/>
          <w:spacing w:val="10"/>
        </w:rPr>
        <w:t>东帝汶</w:t>
      </w:r>
      <w:r>
        <w:rPr>
          <w:bCs/>
          <w:snapToGrid w:val="0"/>
          <w:color w:val="000000"/>
          <w:spacing w:val="10"/>
        </w:rPr>
        <w:t>民主共和国宪法</w:t>
      </w:r>
      <w:r>
        <w:rPr>
          <w:rFonts w:hint="eastAsia"/>
          <w:bCs/>
          <w:snapToGrid w:val="0"/>
          <w:color w:val="000000"/>
          <w:spacing w:val="10"/>
        </w:rPr>
        <w:t>》，第</w:t>
      </w:r>
      <w:r>
        <w:rPr>
          <w:rFonts w:ascii="KaiTi_GB2312" w:hint="eastAsia"/>
          <w:color w:val="000000"/>
        </w:rPr>
        <w:t>65（1）条。</w:t>
      </w:r>
    </w:p>
  </w:footnote>
  <w:footnote w:id="262">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color w:val="000000"/>
        </w:rPr>
        <w:t xml:space="preserve"> </w:t>
      </w:r>
      <w:r>
        <w:rPr>
          <w:rStyle w:val="FootnoteReference"/>
          <w:rFonts w:ascii="KaiTi_GB2312" w:hint="eastAsia"/>
          <w:b/>
          <w:color w:val="000000"/>
          <w:sz w:val="22"/>
        </w:rPr>
        <w:t xml:space="preserve"> </w:t>
      </w:r>
      <w:r>
        <w:rPr>
          <w:rFonts w:ascii="KaiTi_GB2312" w:hint="eastAsia"/>
          <w:color w:val="000000"/>
        </w:rPr>
        <w:t>第</w:t>
      </w:r>
      <w:r>
        <w:rPr>
          <w:rFonts w:ascii="KaiTi_GB2312"/>
          <w:bCs/>
          <w:snapToGrid w:val="0"/>
          <w:color w:val="000000"/>
          <w:spacing w:val="10"/>
        </w:rPr>
        <w:t>2/2004</w:t>
      </w:r>
      <w:r>
        <w:rPr>
          <w:rFonts w:ascii="KaiTi_GB2312" w:hint="eastAsia"/>
          <w:bCs/>
          <w:snapToGrid w:val="0"/>
          <w:color w:val="000000"/>
          <w:spacing w:val="10"/>
        </w:rPr>
        <w:t>号</w:t>
      </w:r>
      <w:r>
        <w:rPr>
          <w:rFonts w:ascii="KaiTi_GB2312" w:hint="eastAsia"/>
          <w:color w:val="000000"/>
        </w:rPr>
        <w:t>法律第6条。</w:t>
      </w:r>
    </w:p>
  </w:footnote>
  <w:footnote w:id="263">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color w:val="000000"/>
        </w:rPr>
        <w:t xml:space="preserve"> </w:t>
      </w:r>
      <w:r>
        <w:rPr>
          <w:rStyle w:val="FootnoteReference"/>
          <w:rFonts w:ascii="KaiTi_GB2312" w:hint="eastAsia"/>
          <w:b/>
          <w:color w:val="000000"/>
          <w:sz w:val="22"/>
        </w:rPr>
        <w:t xml:space="preserve"> </w:t>
      </w:r>
      <w:r>
        <w:rPr>
          <w:rFonts w:ascii="KaiTi_GB2312" w:hint="eastAsia"/>
          <w:color w:val="000000"/>
        </w:rPr>
        <w:t>《关于独立选举委员会的第</w:t>
      </w:r>
      <w:r>
        <w:rPr>
          <w:rFonts w:ascii="KaiTi_GB2312"/>
          <w:color w:val="000000"/>
        </w:rPr>
        <w:t>2002</w:t>
      </w:r>
      <w:r>
        <w:rPr>
          <w:color w:val="000000"/>
        </w:rPr>
        <w:t>/</w:t>
      </w:r>
      <w:r>
        <w:rPr>
          <w:rFonts w:ascii="KaiTi_GB2312"/>
          <w:color w:val="000000"/>
        </w:rPr>
        <w:t>10</w:t>
      </w:r>
      <w:r>
        <w:rPr>
          <w:rFonts w:ascii="KaiTi_GB2312" w:hint="eastAsia"/>
          <w:color w:val="000000"/>
        </w:rPr>
        <w:t>号法令》。</w:t>
      </w:r>
    </w:p>
  </w:footnote>
  <w:footnote w:id="264">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hint="eastAsia"/>
          <w:color w:val="000000"/>
        </w:rPr>
        <w:tab/>
        <w:t>第</w:t>
      </w:r>
      <w:r>
        <w:rPr>
          <w:rFonts w:ascii="KaiTi_GB2312"/>
          <w:color w:val="000000"/>
        </w:rPr>
        <w:t>2/2003</w:t>
      </w:r>
      <w:r>
        <w:rPr>
          <w:rFonts w:ascii="KaiTi_GB2312" w:hint="eastAsia"/>
          <w:color w:val="000000"/>
        </w:rPr>
        <w:t>号法律——《国务部组织法》，第12条。</w:t>
      </w:r>
    </w:p>
  </w:footnote>
  <w:footnote w:id="265">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Style w:val="FootnoteReference"/>
          <w:rFonts w:ascii="KaiTi_GB2312" w:hint="eastAsia"/>
          <w:b/>
          <w:color w:val="000000"/>
          <w:sz w:val="22"/>
        </w:rPr>
        <w:t xml:space="preserve"> </w:t>
      </w:r>
      <w:r>
        <w:rPr>
          <w:rFonts w:ascii="KaiTi_GB2312" w:hint="eastAsia"/>
          <w:b/>
          <w:color w:val="000000"/>
        </w:rPr>
        <w:tab/>
      </w:r>
      <w:r>
        <w:rPr>
          <w:rFonts w:ascii="KaiTi_GB2312" w:hint="eastAsia"/>
          <w:color w:val="000000"/>
        </w:rPr>
        <w:t>第</w:t>
      </w:r>
      <w:r>
        <w:rPr>
          <w:rFonts w:ascii="KaiTi_GB2312"/>
          <w:color w:val="000000"/>
        </w:rPr>
        <w:t>3/2004</w:t>
      </w:r>
      <w:r>
        <w:rPr>
          <w:rFonts w:ascii="KaiTi_GB2312" w:hint="eastAsia"/>
          <w:color w:val="000000"/>
        </w:rPr>
        <w:t>号法律。</w:t>
      </w:r>
    </w:p>
  </w:footnote>
  <w:footnote w:id="266">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Style w:val="FootnoteReference"/>
          <w:rFonts w:ascii="KaiTi_GB2312" w:hint="eastAsia"/>
          <w:b/>
          <w:color w:val="000000"/>
          <w:sz w:val="22"/>
        </w:rPr>
        <w:t xml:space="preserve"> </w:t>
      </w:r>
      <w:r>
        <w:rPr>
          <w:rFonts w:ascii="KaiTi_GB2312" w:hint="eastAsia"/>
          <w:color w:val="000000"/>
        </w:rPr>
        <w:t>第</w:t>
      </w:r>
      <w:r>
        <w:rPr>
          <w:rFonts w:ascii="KaiTi_GB2312"/>
          <w:color w:val="000000"/>
        </w:rPr>
        <w:t>2/2004</w:t>
      </w:r>
      <w:r>
        <w:rPr>
          <w:rFonts w:ascii="KaiTi_GB2312" w:hint="eastAsia"/>
          <w:color w:val="000000"/>
        </w:rPr>
        <w:t>号文件——《乡选举法》。</w:t>
      </w:r>
    </w:p>
  </w:footnote>
  <w:footnote w:id="267">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color w:val="000000"/>
        </w:rPr>
        <w:t xml:space="preserve"> </w:t>
      </w:r>
      <w:r>
        <w:rPr>
          <w:rFonts w:ascii="KaiTi_GB2312" w:hint="eastAsia"/>
          <w:color w:val="000000"/>
        </w:rPr>
        <w:t>见第</w:t>
      </w:r>
      <w:r>
        <w:rPr>
          <w:color w:val="000000"/>
        </w:rPr>
        <w:t>2/</w:t>
      </w:r>
      <w:r>
        <w:rPr>
          <w:rFonts w:ascii="KaiTi_GB2312"/>
          <w:color w:val="000000"/>
        </w:rPr>
        <w:t>2004</w:t>
      </w:r>
      <w:r>
        <w:rPr>
          <w:rFonts w:ascii="KaiTi_GB2312" w:hint="eastAsia"/>
          <w:color w:val="000000"/>
        </w:rPr>
        <w:t>号法律，第29条。</w:t>
      </w:r>
    </w:p>
  </w:footnote>
  <w:footnote w:id="268">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Fonts w:ascii="KaiTi_GB2312"/>
          <w:color w:val="000000"/>
        </w:rPr>
        <w:t xml:space="preserve"> </w:t>
      </w:r>
      <w:r>
        <w:rPr>
          <w:color w:val="000000"/>
        </w:rPr>
        <w:t>索</w:t>
      </w:r>
      <w:r>
        <w:rPr>
          <w:rFonts w:ascii="KaiTi_GB2312"/>
          <w:color w:val="000000"/>
        </w:rPr>
        <w:t>菲</w:t>
      </w:r>
      <w:r>
        <w:rPr>
          <w:rFonts w:ascii="KaiTi_GB2312"/>
          <w:color w:val="000000"/>
        </w:rPr>
        <w:t>·</w:t>
      </w:r>
      <w:r>
        <w:rPr>
          <w:rFonts w:ascii="KaiTi_GB2312"/>
          <w:color w:val="000000"/>
        </w:rPr>
        <w:t>奥斯皮纳和坦雅</w:t>
      </w:r>
      <w:r>
        <w:rPr>
          <w:rFonts w:ascii="KaiTi_GB2312"/>
          <w:color w:val="000000"/>
        </w:rPr>
        <w:t>·</w:t>
      </w:r>
      <w:r>
        <w:rPr>
          <w:rFonts w:ascii="KaiTi_GB2312"/>
          <w:color w:val="000000"/>
        </w:rPr>
        <w:t>霍赫</w:t>
      </w:r>
      <w:r>
        <w:rPr>
          <w:rFonts w:ascii="KaiTi_GB2312" w:hint="eastAsia"/>
          <w:color w:val="000000"/>
        </w:rPr>
        <w:t>，《</w:t>
      </w:r>
      <w:r>
        <w:rPr>
          <w:rFonts w:ascii="KaiTi_GB2312"/>
          <w:color w:val="000000"/>
        </w:rPr>
        <w:t>东帝汶传统</w:t>
      </w:r>
      <w:r>
        <w:rPr>
          <w:rFonts w:ascii="KaiTi_GB2312" w:hint="eastAsia"/>
          <w:color w:val="000000"/>
        </w:rPr>
        <w:t>权力</w:t>
      </w:r>
      <w:r>
        <w:rPr>
          <w:rFonts w:ascii="KaiTi_GB2312"/>
          <w:color w:val="000000"/>
        </w:rPr>
        <w:t>结构与地方</w:t>
      </w:r>
      <w:r>
        <w:rPr>
          <w:rFonts w:ascii="KaiTi_GB2312" w:hint="eastAsia"/>
          <w:color w:val="000000"/>
        </w:rPr>
        <w:t>治理——赋予</w:t>
      </w:r>
      <w:r>
        <w:rPr>
          <w:rFonts w:ascii="KaiTi_GB2312"/>
          <w:color w:val="000000"/>
        </w:rPr>
        <w:t>社区</w:t>
      </w:r>
      <w:r>
        <w:rPr>
          <w:rFonts w:ascii="KaiTi_GB2312" w:hint="eastAsia"/>
          <w:color w:val="000000"/>
        </w:rPr>
        <w:t>权力项目》</w:t>
      </w:r>
      <w:r>
        <w:rPr>
          <w:rFonts w:ascii="KaiTi_GB2312"/>
          <w:color w:val="000000"/>
        </w:rPr>
        <w:t>（CEP）</w:t>
      </w:r>
      <w:r>
        <w:rPr>
          <w:rFonts w:ascii="KaiTi_GB2312" w:hint="eastAsia"/>
          <w:color w:val="000000"/>
        </w:rPr>
        <w:t>，（2001年）第71页。</w:t>
      </w:r>
    </w:p>
  </w:footnote>
  <w:footnote w:id="269">
    <w:p w:rsidR="00692915" w:rsidRDefault="00692915" w:rsidP="009A1C1B">
      <w:pPr>
        <w:pStyle w:val="FootnoteText"/>
        <w:tabs>
          <w:tab w:val="left" w:pos="780"/>
        </w:tabs>
        <w:ind w:firstLine="31680"/>
        <w:rPr>
          <w:rStyle w:val="FootnoteReference"/>
          <w:rFonts w:ascii="KaiTi_GB2312"/>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color w:val="000000"/>
        </w:rPr>
        <w:t xml:space="preserve"> 索菲</w:t>
      </w:r>
      <w:r>
        <w:rPr>
          <w:rFonts w:ascii="KaiTi_GB2312"/>
          <w:color w:val="000000"/>
        </w:rPr>
        <w:t>·</w:t>
      </w:r>
      <w:r>
        <w:rPr>
          <w:rFonts w:ascii="KaiTi_GB2312"/>
          <w:color w:val="000000"/>
        </w:rPr>
        <w:t>奥斯皮纳和坦雅</w:t>
      </w:r>
      <w:r>
        <w:rPr>
          <w:rFonts w:ascii="KaiTi_GB2312"/>
          <w:color w:val="000000"/>
        </w:rPr>
        <w:t>·</w:t>
      </w:r>
      <w:r>
        <w:rPr>
          <w:rFonts w:ascii="KaiTi_GB2312"/>
          <w:color w:val="000000"/>
        </w:rPr>
        <w:t>霍赫</w:t>
      </w:r>
      <w:r>
        <w:rPr>
          <w:rFonts w:ascii="KaiTi_GB2312" w:hint="eastAsia"/>
          <w:color w:val="000000"/>
        </w:rPr>
        <w:t>，《</w:t>
      </w:r>
      <w:r>
        <w:rPr>
          <w:rFonts w:ascii="KaiTi_GB2312"/>
          <w:color w:val="000000"/>
        </w:rPr>
        <w:t>东帝汶传统</w:t>
      </w:r>
      <w:r>
        <w:rPr>
          <w:rFonts w:ascii="KaiTi_GB2312" w:hint="eastAsia"/>
          <w:color w:val="000000"/>
        </w:rPr>
        <w:t>权力</w:t>
      </w:r>
      <w:r>
        <w:rPr>
          <w:rFonts w:ascii="KaiTi_GB2312"/>
          <w:color w:val="000000"/>
        </w:rPr>
        <w:t>结构与地方</w:t>
      </w:r>
      <w:r>
        <w:rPr>
          <w:rFonts w:ascii="KaiTi_GB2312" w:hint="eastAsia"/>
          <w:color w:val="000000"/>
        </w:rPr>
        <w:t>治理——赋予</w:t>
      </w:r>
      <w:r>
        <w:rPr>
          <w:rFonts w:ascii="KaiTi_GB2312"/>
          <w:color w:val="000000"/>
        </w:rPr>
        <w:t>社区</w:t>
      </w:r>
      <w:r>
        <w:rPr>
          <w:rFonts w:ascii="KaiTi_GB2312" w:hint="eastAsia"/>
          <w:color w:val="000000"/>
        </w:rPr>
        <w:t>权力项目》</w:t>
      </w:r>
      <w:r>
        <w:rPr>
          <w:rFonts w:ascii="KaiTi_GB2312"/>
          <w:color w:val="000000"/>
        </w:rPr>
        <w:t>（CEP）</w:t>
      </w:r>
      <w:r>
        <w:rPr>
          <w:rFonts w:ascii="KaiTi_GB2312" w:hint="eastAsia"/>
          <w:color w:val="000000"/>
        </w:rPr>
        <w:t>，（2001年）第</w:t>
      </w:r>
      <w:r>
        <w:rPr>
          <w:rFonts w:ascii="KaiTi_GB2312"/>
          <w:color w:val="000000"/>
        </w:rPr>
        <w:t>71</w:t>
      </w:r>
      <w:r>
        <w:rPr>
          <w:rFonts w:ascii="KaiTi_GB2312" w:hint="eastAsia"/>
          <w:color w:val="000000"/>
        </w:rPr>
        <w:t>页。</w:t>
      </w:r>
    </w:p>
  </w:footnote>
  <w:footnote w:id="270">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color w:val="000000"/>
        </w:rPr>
        <w:t xml:space="preserve"> </w:t>
      </w:r>
      <w:r>
        <w:rPr>
          <w:color w:val="000000"/>
        </w:rPr>
        <w:t>索菲</w:t>
      </w:r>
      <w:r>
        <w:rPr>
          <w:color w:val="000000"/>
        </w:rPr>
        <w:t>·</w:t>
      </w:r>
      <w:r>
        <w:rPr>
          <w:color w:val="000000"/>
        </w:rPr>
        <w:t>奥斯皮纳和坦雅</w:t>
      </w:r>
      <w:r>
        <w:rPr>
          <w:color w:val="000000"/>
        </w:rPr>
        <w:t>·</w:t>
      </w:r>
      <w:r>
        <w:rPr>
          <w:color w:val="000000"/>
        </w:rPr>
        <w:t>霍赫</w:t>
      </w:r>
      <w:r>
        <w:rPr>
          <w:rFonts w:ascii="KaiTi_GB2312" w:hint="eastAsia"/>
          <w:color w:val="000000"/>
        </w:rPr>
        <w:t>，</w:t>
      </w:r>
      <w:r>
        <w:rPr>
          <w:rFonts w:hint="eastAsia"/>
          <w:color w:val="000000"/>
        </w:rPr>
        <w:t>《</w:t>
      </w:r>
      <w:r>
        <w:rPr>
          <w:color w:val="000000"/>
        </w:rPr>
        <w:t>东帝汶传统</w:t>
      </w:r>
      <w:r>
        <w:rPr>
          <w:rFonts w:ascii="KaiTi_GB2312" w:hint="eastAsia"/>
          <w:color w:val="000000"/>
        </w:rPr>
        <w:t>权力</w:t>
      </w:r>
      <w:r>
        <w:rPr>
          <w:color w:val="000000"/>
        </w:rPr>
        <w:t>结构与地方</w:t>
      </w:r>
      <w:r>
        <w:rPr>
          <w:rFonts w:hint="eastAsia"/>
          <w:color w:val="000000"/>
        </w:rPr>
        <w:t>治理——</w:t>
      </w:r>
      <w:r>
        <w:rPr>
          <w:rFonts w:ascii="KaiTi_GB2312" w:hint="eastAsia"/>
          <w:color w:val="000000"/>
        </w:rPr>
        <w:t>赋予</w:t>
      </w:r>
      <w:r>
        <w:rPr>
          <w:color w:val="000000"/>
        </w:rPr>
        <w:t>社区</w:t>
      </w:r>
      <w:r>
        <w:rPr>
          <w:rFonts w:hint="eastAsia"/>
          <w:color w:val="000000"/>
        </w:rPr>
        <w:t>权力项目</w:t>
      </w:r>
      <w:r>
        <w:rPr>
          <w:rFonts w:ascii="KaiTi_GB2312" w:hint="eastAsia"/>
          <w:color w:val="000000"/>
        </w:rPr>
        <w:t>》</w:t>
      </w:r>
      <w:r>
        <w:rPr>
          <w:color w:val="000000"/>
        </w:rPr>
        <w:t>（</w:t>
      </w:r>
      <w:r>
        <w:rPr>
          <w:color w:val="000000"/>
        </w:rPr>
        <w:t>CEP</w:t>
      </w:r>
      <w:r>
        <w:rPr>
          <w:color w:val="000000"/>
        </w:rPr>
        <w:t>）</w:t>
      </w:r>
      <w:r>
        <w:rPr>
          <w:rFonts w:hint="eastAsia"/>
          <w:color w:val="000000"/>
        </w:rPr>
        <w:t>，</w:t>
      </w:r>
      <w:r>
        <w:rPr>
          <w:rFonts w:ascii="KaiTi_GB2312" w:hint="eastAsia"/>
          <w:color w:val="000000"/>
        </w:rPr>
        <w:t>（2001年）</w:t>
      </w:r>
      <w:r>
        <w:rPr>
          <w:rFonts w:hint="eastAsia"/>
          <w:color w:val="000000"/>
        </w:rPr>
        <w:t>第</w:t>
      </w:r>
      <w:r>
        <w:rPr>
          <w:color w:val="000000"/>
        </w:rPr>
        <w:t>50</w:t>
      </w:r>
      <w:r>
        <w:rPr>
          <w:rFonts w:ascii="KaiTi_GB2312" w:hint="eastAsia"/>
          <w:color w:val="000000"/>
        </w:rPr>
        <w:t>页。</w:t>
      </w:r>
    </w:p>
  </w:footnote>
  <w:footnote w:id="271">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Fonts w:ascii="KaiTi_GB2312" w:hint="eastAsia"/>
          <w:color w:val="000000"/>
        </w:rPr>
        <w:t xml:space="preserve"> </w:t>
      </w:r>
      <w:r>
        <w:rPr>
          <w:rFonts w:ascii="KaiTi_GB2312" w:hint="eastAsia"/>
          <w:color w:val="000000"/>
        </w:rPr>
        <w:tab/>
        <w:t>国际牛津饥荒救济会，《东帝汶</w:t>
      </w:r>
      <w:r>
        <w:rPr>
          <w:color w:val="000000"/>
        </w:rPr>
        <w:t>科瓦利马</w:t>
      </w:r>
      <w:r>
        <w:rPr>
          <w:rFonts w:ascii="KaiTi_GB2312" w:hint="eastAsia"/>
          <w:color w:val="000000"/>
        </w:rPr>
        <w:t>性别不平等的基本原因》， 2003年9月，第6页。</w:t>
      </w:r>
    </w:p>
  </w:footnote>
  <w:footnote w:id="272">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color w:val="000000"/>
        </w:rPr>
        <w:t xml:space="preserve"> </w:t>
      </w:r>
      <w:r>
        <w:rPr>
          <w:rFonts w:ascii="KaiTi_GB2312" w:hint="eastAsia"/>
          <w:color w:val="000000"/>
        </w:rPr>
        <w:t>有关《</w:t>
      </w:r>
      <w:r>
        <w:rPr>
          <w:rFonts w:ascii="KaiTi_GB2312" w:hint="eastAsia"/>
          <w:bCs/>
          <w:color w:val="000000"/>
        </w:rPr>
        <w:t>消除对妇女一切形式歧视公约》的区域公约报告及社会化研讨会的结果（2005年）。</w:t>
      </w:r>
    </w:p>
  </w:footnote>
  <w:footnote w:id="273">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bCs/>
          <w:color w:val="000000"/>
          <w:sz w:val="22"/>
        </w:rPr>
        <w:footnoteRef/>
      </w:r>
      <w:r>
        <w:rPr>
          <w:rStyle w:val="FootnoteReference"/>
          <w:rFonts w:ascii="KaiTi_GB2312"/>
          <w:b/>
          <w:color w:val="000000"/>
          <w:sz w:val="22"/>
        </w:rPr>
        <w:t xml:space="preserve"> </w:t>
      </w:r>
      <w:r>
        <w:rPr>
          <w:rFonts w:ascii="KaiTi_GB2312"/>
          <w:color w:val="000000"/>
        </w:rPr>
        <w:t xml:space="preserve"> </w:t>
      </w:r>
      <w:r>
        <w:rPr>
          <w:rFonts w:ascii="KaiTi_GB2312" w:hint="eastAsia"/>
          <w:color w:val="000000"/>
        </w:rPr>
        <w:t>每年由东帝汶国家妇女网负责组织，并由妇女组织和个人参加，包括来自各地区的妇女代表。</w:t>
      </w:r>
    </w:p>
  </w:footnote>
  <w:footnote w:id="274">
    <w:p w:rsidR="00692915" w:rsidRDefault="00692915" w:rsidP="009A1C1B">
      <w:pPr>
        <w:pStyle w:val="FootnoteText"/>
        <w:tabs>
          <w:tab w:val="left" w:pos="780"/>
        </w:tabs>
        <w:ind w:firstLine="31680"/>
        <w:rPr>
          <w:rFonts w:ascii="KaiTi_GB2312" w:hint="eastAsia"/>
          <w:bCs/>
          <w:color w:val="000000"/>
        </w:rPr>
      </w:pPr>
      <w:r>
        <w:rPr>
          <w:rStyle w:val="FootnoteReference"/>
          <w:rFonts w:ascii="KaiTi_GB2312"/>
          <w:color w:val="000000"/>
          <w:sz w:val="22"/>
        </w:rPr>
        <w:footnoteRef/>
      </w:r>
      <w:r>
        <w:rPr>
          <w:rFonts w:ascii="KaiTi_GB2312"/>
          <w:color w:val="000000"/>
        </w:rPr>
        <w:t xml:space="preserve"> </w:t>
      </w:r>
      <w:r>
        <w:rPr>
          <w:rFonts w:ascii="KaiTi_GB2312" w:hint="eastAsia"/>
          <w:bCs/>
          <w:color w:val="000000"/>
        </w:rPr>
        <w:t>本部分涉及：</w:t>
      </w:r>
    </w:p>
    <w:p w:rsidR="00692915" w:rsidRDefault="00692915" w:rsidP="009A1C1B">
      <w:pPr>
        <w:pStyle w:val="FootnoteText"/>
        <w:numPr>
          <w:ilvl w:val="0"/>
          <w:numId w:val="13"/>
        </w:numPr>
        <w:tabs>
          <w:tab w:val="clear" w:pos="1494"/>
          <w:tab w:val="left" w:pos="1170"/>
        </w:tabs>
        <w:ind w:leftChars="299" w:left="31680" w:hangingChars="177" w:firstLine="31680"/>
        <w:rPr>
          <w:rFonts w:ascii="KaiTi_GB2312"/>
          <w:bCs/>
          <w:color w:val="000000"/>
        </w:rPr>
      </w:pPr>
      <w:r>
        <w:rPr>
          <w:rFonts w:ascii="KaiTi_GB2312" w:hint="eastAsia"/>
          <w:bCs/>
          <w:color w:val="000000"/>
        </w:rPr>
        <w:t>《公民及政治权利国际公约》，第6条。</w:t>
      </w:r>
    </w:p>
    <w:p w:rsidR="00692915" w:rsidRDefault="00692915" w:rsidP="009A1C1B">
      <w:pPr>
        <w:pStyle w:val="FootnoteText"/>
        <w:numPr>
          <w:ilvl w:val="0"/>
          <w:numId w:val="13"/>
        </w:numPr>
        <w:tabs>
          <w:tab w:val="clear" w:pos="1494"/>
          <w:tab w:val="left" w:pos="1170"/>
        </w:tabs>
        <w:ind w:leftChars="299" w:left="31680" w:hangingChars="177" w:firstLine="31680"/>
        <w:rPr>
          <w:rFonts w:ascii="KaiTi_GB2312"/>
          <w:bCs/>
          <w:color w:val="000000"/>
        </w:rPr>
      </w:pPr>
      <w:r>
        <w:rPr>
          <w:rStyle w:val="FootnoteReference"/>
          <w:rFonts w:ascii="KaiTi_GB2312" w:hint="eastAsia"/>
          <w:b/>
          <w:bCs/>
          <w:color w:val="000000"/>
          <w:sz w:val="22"/>
        </w:rPr>
        <w:t xml:space="preserve"> </w:t>
      </w:r>
      <w:r>
        <w:rPr>
          <w:rFonts w:ascii="KaiTi_GB2312" w:hint="eastAsia"/>
          <w:bCs/>
          <w:color w:val="000000"/>
        </w:rPr>
        <w:t>《</w:t>
      </w:r>
      <w:r>
        <w:rPr>
          <w:rFonts w:ascii="KaiTi_GB2312" w:hint="eastAsia"/>
          <w:color w:val="000000"/>
        </w:rPr>
        <w:t>经济、社会、</w:t>
      </w:r>
      <w:r>
        <w:rPr>
          <w:rFonts w:ascii="KaiTi_GB2312" w:hint="eastAsia"/>
          <w:bCs/>
          <w:color w:val="000000"/>
        </w:rPr>
        <w:t>文化</w:t>
      </w:r>
      <w:r>
        <w:rPr>
          <w:rFonts w:ascii="KaiTi_GB2312" w:hint="eastAsia"/>
          <w:color w:val="000000"/>
        </w:rPr>
        <w:t>权利国际公约》，第10、11和12条。</w:t>
      </w:r>
    </w:p>
    <w:p w:rsidR="00692915" w:rsidRDefault="00692915" w:rsidP="009A1C1B">
      <w:pPr>
        <w:pStyle w:val="FootnoteText"/>
        <w:numPr>
          <w:ilvl w:val="0"/>
          <w:numId w:val="13"/>
        </w:numPr>
        <w:tabs>
          <w:tab w:val="clear" w:pos="1494"/>
          <w:tab w:val="left" w:pos="1170"/>
        </w:tabs>
        <w:ind w:leftChars="299" w:left="31680" w:hangingChars="177" w:firstLine="31680"/>
        <w:rPr>
          <w:rFonts w:ascii="KaiTi_GB2312"/>
          <w:bCs/>
          <w:color w:val="000000"/>
        </w:rPr>
      </w:pPr>
      <w:r>
        <w:rPr>
          <w:rStyle w:val="FootnoteReference"/>
          <w:rFonts w:ascii="KaiTi_GB2312" w:hint="eastAsia"/>
          <w:b/>
          <w:bCs/>
          <w:color w:val="000000"/>
          <w:sz w:val="22"/>
        </w:rPr>
        <w:t xml:space="preserve"> </w:t>
      </w:r>
      <w:r>
        <w:rPr>
          <w:rFonts w:ascii="KaiTi_GB2312" w:hint="eastAsia"/>
          <w:bCs/>
          <w:color w:val="000000"/>
        </w:rPr>
        <w:t>《消除对妇女一切形式歧视公约》，第12条。</w:t>
      </w:r>
    </w:p>
    <w:p w:rsidR="00692915" w:rsidRDefault="00692915" w:rsidP="009A1C1B">
      <w:pPr>
        <w:pStyle w:val="FootnoteText"/>
        <w:numPr>
          <w:ilvl w:val="0"/>
          <w:numId w:val="13"/>
        </w:numPr>
        <w:tabs>
          <w:tab w:val="clear" w:pos="1494"/>
          <w:tab w:val="left" w:pos="1170"/>
        </w:tabs>
        <w:ind w:leftChars="299" w:left="31680" w:hangingChars="177" w:firstLine="31680"/>
        <w:rPr>
          <w:color w:val="000000"/>
        </w:rPr>
      </w:pPr>
      <w:r>
        <w:rPr>
          <w:rFonts w:hint="eastAsia"/>
          <w:color w:val="000000"/>
        </w:rPr>
        <w:t xml:space="preserve"> </w:t>
      </w:r>
      <w:r>
        <w:rPr>
          <w:color w:val="000000"/>
        </w:rPr>
        <w:t>《儿童权利公约》</w:t>
      </w:r>
      <w:r>
        <w:rPr>
          <w:rFonts w:ascii="KaiTi_GB2312" w:hint="eastAsia"/>
          <w:bCs/>
          <w:color w:val="000000"/>
        </w:rPr>
        <w:t>，第24、27、28和32条。</w:t>
      </w:r>
    </w:p>
  </w:footnote>
  <w:footnote w:id="275">
    <w:p w:rsidR="00692915" w:rsidRDefault="00692915" w:rsidP="009A1C1B">
      <w:pPr>
        <w:pStyle w:val="FootnoteText"/>
        <w:tabs>
          <w:tab w:val="left" w:pos="780"/>
        </w:tabs>
        <w:ind w:firstLine="31680"/>
        <w:rPr>
          <w:rStyle w:val="FootnoteReference"/>
          <w:rFonts w:ascii="KaiTi_GB2312" w:hint="eastAsia"/>
          <w:b/>
          <w:bCs/>
          <w:color w:val="000000"/>
          <w:sz w:val="22"/>
        </w:rPr>
      </w:pPr>
      <w:r>
        <w:rPr>
          <w:rStyle w:val="FootnoteReference"/>
          <w:rFonts w:ascii="KaiTi_GB2312"/>
          <w:color w:val="000000"/>
          <w:sz w:val="22"/>
        </w:rPr>
        <w:footnoteRef/>
      </w:r>
      <w:r>
        <w:rPr>
          <w:rFonts w:ascii="KaiTi_GB2312"/>
          <w:color w:val="000000"/>
        </w:rPr>
        <w:t xml:space="preserve"> </w:t>
      </w:r>
      <w:r>
        <w:rPr>
          <w:rFonts w:ascii="KaiTi_GB2312" w:hint="eastAsia"/>
          <w:color w:val="000000"/>
        </w:rPr>
        <w:tab/>
        <w:t>2004年人口普查。</w:t>
      </w:r>
    </w:p>
  </w:footnote>
  <w:footnote w:id="276">
    <w:p w:rsidR="00692915" w:rsidRDefault="00692915" w:rsidP="009A1C1B">
      <w:pPr>
        <w:pStyle w:val="FootnoteText"/>
        <w:tabs>
          <w:tab w:val="left" w:pos="780"/>
        </w:tabs>
        <w:ind w:firstLine="31680"/>
        <w:rPr>
          <w:rStyle w:val="FootnoteReference"/>
          <w:rFonts w:ascii="KaiTi_GB2312" w:hint="eastAsia"/>
          <w:b/>
          <w:bCs/>
          <w:color w:val="000000"/>
          <w:sz w:val="22"/>
        </w:rPr>
      </w:pPr>
      <w:r>
        <w:rPr>
          <w:rStyle w:val="FootnoteReference"/>
          <w:rFonts w:ascii="KaiTi_GB2312"/>
          <w:color w:val="000000"/>
          <w:sz w:val="22"/>
        </w:rPr>
        <w:footnoteRef/>
      </w:r>
      <w:r>
        <w:rPr>
          <w:rFonts w:ascii="KaiTi_GB2312"/>
          <w:color w:val="000000"/>
        </w:rPr>
        <w:t xml:space="preserve"> </w:t>
      </w:r>
      <w:r>
        <w:rPr>
          <w:rStyle w:val="FootnoteReference"/>
          <w:rFonts w:ascii="KaiTi_GB2312" w:hint="eastAsia"/>
          <w:b/>
          <w:bCs/>
          <w:color w:val="000000"/>
          <w:sz w:val="22"/>
        </w:rPr>
        <w:tab/>
      </w:r>
      <w:r>
        <w:rPr>
          <w:rFonts w:ascii="KaiTi_GB2312" w:hint="eastAsia"/>
          <w:bCs/>
          <w:color w:val="000000"/>
        </w:rPr>
        <w:t>东帝汶政府、亚洲开发银行、世界银行、日本国际协力事业团、开发计划署、东帝汶支助团，《东帝汶：新国家中的贫穷：行动分析》，2003年5月，第</w:t>
      </w:r>
      <w:r>
        <w:rPr>
          <w:rFonts w:ascii="KaiTi_GB2312"/>
          <w:bCs/>
          <w:color w:val="000000"/>
        </w:rPr>
        <w:t xml:space="preserve">vii </w:t>
      </w:r>
      <w:r>
        <w:rPr>
          <w:rFonts w:ascii="KaiTi_GB2312"/>
          <w:bCs/>
          <w:color w:val="000000"/>
        </w:rPr>
        <w:t>–</w:t>
      </w:r>
      <w:r>
        <w:rPr>
          <w:rFonts w:ascii="KaiTi_GB2312"/>
          <w:bCs/>
          <w:color w:val="000000"/>
        </w:rPr>
        <w:t xml:space="preserve"> ix</w:t>
      </w:r>
      <w:r>
        <w:rPr>
          <w:rFonts w:ascii="KaiTi_GB2312" w:hint="eastAsia"/>
          <w:bCs/>
          <w:color w:val="000000"/>
        </w:rPr>
        <w:t>页。</w:t>
      </w:r>
    </w:p>
  </w:footnote>
  <w:footnote w:id="277">
    <w:p w:rsidR="00692915" w:rsidRDefault="00692915" w:rsidP="009A1C1B">
      <w:pPr>
        <w:pStyle w:val="FootnoteText"/>
        <w:tabs>
          <w:tab w:val="left" w:pos="780"/>
        </w:tabs>
        <w:ind w:firstLine="31680"/>
        <w:rPr>
          <w:rStyle w:val="FootnoteReference"/>
          <w:rFonts w:ascii="KaiTi_GB2312" w:hint="eastAsia"/>
          <w:b/>
          <w:bCs/>
          <w:color w:val="000000"/>
          <w:sz w:val="22"/>
        </w:rPr>
      </w:pPr>
      <w:r>
        <w:rPr>
          <w:rStyle w:val="FootnoteReference"/>
          <w:rFonts w:ascii="KaiTi_GB2312"/>
          <w:color w:val="000000"/>
          <w:sz w:val="22"/>
        </w:rPr>
        <w:footnoteRef/>
      </w:r>
      <w:r>
        <w:rPr>
          <w:rFonts w:ascii="KaiTi_GB2312"/>
          <w:color w:val="000000"/>
        </w:rPr>
        <w:t xml:space="preserve">  </w:t>
      </w:r>
      <w:r>
        <w:rPr>
          <w:rFonts w:ascii="KaiTi_GB2312" w:hint="eastAsia"/>
          <w:bCs/>
          <w:color w:val="000000"/>
        </w:rPr>
        <w:t>《东帝汶：新国家中的贫穷：行动分析》，2003年5月，第62页。</w:t>
      </w:r>
    </w:p>
  </w:footnote>
  <w:footnote w:id="278">
    <w:p w:rsidR="00692915" w:rsidRDefault="00692915" w:rsidP="009A1C1B">
      <w:pPr>
        <w:pStyle w:val="FootnoteText"/>
        <w:tabs>
          <w:tab w:val="left" w:pos="780"/>
        </w:tabs>
        <w:ind w:firstLine="31680"/>
        <w:rPr>
          <w:rStyle w:val="FootnoteReference"/>
          <w:rFonts w:ascii="KaiTi_GB2312" w:hint="eastAsia"/>
          <w:b/>
          <w:bCs/>
          <w:color w:val="000000"/>
          <w:sz w:val="22"/>
        </w:rPr>
      </w:pPr>
      <w:r>
        <w:rPr>
          <w:rStyle w:val="FootnoteReference"/>
          <w:rFonts w:ascii="KaiTi_GB2312"/>
          <w:color w:val="000000"/>
          <w:sz w:val="22"/>
        </w:rPr>
        <w:footnoteRef/>
      </w:r>
      <w:r>
        <w:rPr>
          <w:rFonts w:ascii="KaiTi_GB2312"/>
          <w:color w:val="000000"/>
        </w:rPr>
        <w:t xml:space="preserve">  </w:t>
      </w:r>
      <w:r>
        <w:rPr>
          <w:rFonts w:ascii="KaiTi_GB2312" w:hint="eastAsia"/>
          <w:bCs/>
          <w:color w:val="000000"/>
        </w:rPr>
        <w:t>《东帝汶：新国家中的贫穷：行动分析》，2003年5月，第</w:t>
      </w:r>
      <w:r>
        <w:rPr>
          <w:rFonts w:ascii="KaiTi_GB2312"/>
          <w:bCs/>
          <w:color w:val="000000"/>
        </w:rPr>
        <w:t>xii</w:t>
      </w:r>
      <w:r>
        <w:rPr>
          <w:rFonts w:ascii="KaiTi_GB2312" w:hint="eastAsia"/>
          <w:bCs/>
          <w:color w:val="000000"/>
        </w:rPr>
        <w:t>页。</w:t>
      </w:r>
    </w:p>
  </w:footnote>
  <w:footnote w:id="279">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color w:val="000000"/>
        </w:rPr>
        <w:t xml:space="preserve">  </w:t>
      </w:r>
      <w:r>
        <w:rPr>
          <w:rFonts w:ascii="KaiTi_GB2312" w:hint="eastAsia"/>
          <w:color w:val="000000"/>
        </w:rPr>
        <w:t>《</w:t>
      </w:r>
      <w:r>
        <w:rPr>
          <w:rFonts w:ascii="KaiTi_GB2312" w:hint="eastAsia"/>
          <w:bCs/>
          <w:color w:val="000000"/>
        </w:rPr>
        <w:t>东帝汶：将反贫困作为国家的一项事业》，2006年4月，第14页。</w:t>
      </w:r>
    </w:p>
  </w:footnote>
  <w:footnote w:id="280">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color w:val="000000"/>
        </w:rPr>
        <w:t xml:space="preserve">  </w:t>
      </w:r>
      <w:r>
        <w:rPr>
          <w:rStyle w:val="FootnoteReference"/>
          <w:rFonts w:ascii="KaiTi_GB2312" w:hint="eastAsia"/>
          <w:b/>
          <w:bCs/>
          <w:color w:val="000000"/>
          <w:sz w:val="22"/>
        </w:rPr>
        <w:t xml:space="preserve"> </w:t>
      </w:r>
      <w:r>
        <w:rPr>
          <w:rFonts w:ascii="KaiTi_GB2312" w:hint="eastAsia"/>
          <w:color w:val="000000"/>
        </w:rPr>
        <w:t>《</w:t>
      </w:r>
      <w:r>
        <w:rPr>
          <w:rFonts w:ascii="KaiTi_GB2312" w:hint="eastAsia"/>
          <w:bCs/>
          <w:color w:val="000000"/>
        </w:rPr>
        <w:t>东帝汶：将反贫困作为国家的一项事业》，2006年4月，第11页。</w:t>
      </w:r>
    </w:p>
  </w:footnote>
  <w:footnote w:id="281">
    <w:p w:rsidR="00692915" w:rsidRDefault="00692915" w:rsidP="009A1C1B">
      <w:pPr>
        <w:pStyle w:val="FootnoteText"/>
        <w:tabs>
          <w:tab w:val="left" w:pos="780"/>
        </w:tabs>
        <w:ind w:firstLine="31680"/>
        <w:rPr>
          <w:rStyle w:val="FootnoteReference"/>
          <w:rFonts w:ascii="KaiTi_GB2312"/>
          <w:b/>
          <w:bCs/>
          <w:color w:val="000000"/>
          <w:sz w:val="22"/>
        </w:rPr>
      </w:pPr>
      <w:r>
        <w:rPr>
          <w:rStyle w:val="FootnoteReference"/>
          <w:rFonts w:ascii="KaiTi_GB2312"/>
          <w:color w:val="000000"/>
          <w:sz w:val="22"/>
        </w:rPr>
        <w:footnoteRef/>
      </w:r>
      <w:r>
        <w:rPr>
          <w:rFonts w:ascii="KaiTi_GB2312"/>
          <w:color w:val="000000"/>
        </w:rPr>
        <w:t xml:space="preserve"> </w:t>
      </w:r>
      <w:r>
        <w:rPr>
          <w:rFonts w:ascii="KaiTi_GB2312" w:hint="eastAsia"/>
          <w:color w:val="000000"/>
        </w:rPr>
        <w:tab/>
      </w:r>
      <w:r>
        <w:rPr>
          <w:rFonts w:ascii="KaiTi_GB2312" w:hint="eastAsia"/>
          <w:bCs/>
          <w:color w:val="000000"/>
        </w:rPr>
        <w:t>《东帝汶：将反贫困作为国家的一项事业》，2006年4月，第2页。</w:t>
      </w:r>
    </w:p>
  </w:footnote>
  <w:footnote w:id="282">
    <w:p w:rsidR="00692915" w:rsidRDefault="00692915" w:rsidP="009A1C1B">
      <w:pPr>
        <w:pStyle w:val="FootnoteText"/>
        <w:tabs>
          <w:tab w:val="left" w:pos="780"/>
        </w:tabs>
        <w:ind w:firstLine="31680"/>
        <w:rPr>
          <w:rStyle w:val="FootnoteReference"/>
          <w:rFonts w:ascii="KaiTi_GB2312"/>
          <w:b/>
          <w:bCs/>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bCs/>
          <w:color w:val="000000"/>
        </w:rPr>
        <w:t xml:space="preserve"> </w:t>
      </w:r>
      <w:r>
        <w:rPr>
          <w:rFonts w:ascii="KaiTi_GB2312" w:hint="eastAsia"/>
          <w:bCs/>
          <w:color w:val="000000"/>
        </w:rPr>
        <w:tab/>
        <w:t>《东帝汶：住房和城市发展部门投资方案》，2006年4月。</w:t>
      </w:r>
    </w:p>
  </w:footnote>
  <w:footnote w:id="283">
    <w:p w:rsidR="00692915" w:rsidRDefault="00692915" w:rsidP="009A1C1B">
      <w:pPr>
        <w:pStyle w:val="FootnoteText"/>
        <w:tabs>
          <w:tab w:val="left" w:pos="780"/>
        </w:tabs>
        <w:ind w:firstLine="31680"/>
        <w:rPr>
          <w:rStyle w:val="FootnoteReference"/>
          <w:rFonts w:ascii="KaiTi_GB2312"/>
          <w:b/>
          <w:bCs/>
          <w:color w:val="000000"/>
          <w:sz w:val="22"/>
          <w:lang w:val="pt-PT"/>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bCs/>
          <w:color w:val="000000"/>
        </w:rPr>
        <w:t xml:space="preserve"> </w:t>
      </w:r>
      <w:r>
        <w:rPr>
          <w:rStyle w:val="FootnoteReference"/>
          <w:rFonts w:ascii="KaiTi_GB2312" w:hint="eastAsia"/>
          <w:b/>
          <w:bCs/>
          <w:color w:val="000000"/>
          <w:sz w:val="22"/>
        </w:rPr>
        <w:t xml:space="preserve"> </w:t>
      </w:r>
      <w:r>
        <w:rPr>
          <w:rFonts w:ascii="KaiTi_GB2312" w:hint="eastAsia"/>
          <w:bCs/>
          <w:color w:val="000000"/>
        </w:rPr>
        <w:t>《东帝汶：住房和城市发展部门投资方案》，2006年4月，第</w:t>
      </w:r>
      <w:r>
        <w:rPr>
          <w:color w:val="000000"/>
        </w:rPr>
        <w:t>vi</w:t>
      </w:r>
      <w:r>
        <w:rPr>
          <w:rFonts w:ascii="KaiTi_GB2312" w:hint="eastAsia"/>
          <w:bCs/>
          <w:color w:val="000000"/>
        </w:rPr>
        <w:t xml:space="preserve"> 页。</w:t>
      </w:r>
    </w:p>
  </w:footnote>
  <w:footnote w:id="284">
    <w:p w:rsidR="00692915" w:rsidRDefault="00692915" w:rsidP="009A1C1B">
      <w:pPr>
        <w:pStyle w:val="FootnoteText"/>
        <w:tabs>
          <w:tab w:val="left" w:pos="780"/>
        </w:tabs>
        <w:ind w:firstLine="31680"/>
        <w:rPr>
          <w:rFonts w:ascii="KaiTi_GB2312"/>
          <w:color w:val="000000"/>
          <w:lang w:val="pt-PT"/>
        </w:rPr>
      </w:pPr>
      <w:r>
        <w:rPr>
          <w:rStyle w:val="FootnoteReference"/>
          <w:rFonts w:ascii="KaiTi_GB2312"/>
          <w:color w:val="000000"/>
          <w:sz w:val="22"/>
        </w:rPr>
        <w:footnoteRef/>
      </w:r>
      <w:r>
        <w:rPr>
          <w:rFonts w:ascii="KaiTi_GB2312"/>
          <w:b/>
          <w:bCs/>
          <w:color w:val="000000"/>
          <w:lang w:val="pt-PT"/>
        </w:rPr>
        <w:t xml:space="preserve"> </w:t>
      </w:r>
      <w:r>
        <w:rPr>
          <w:rFonts w:ascii="KaiTi_GB2312" w:hint="eastAsia"/>
          <w:bCs/>
          <w:color w:val="000000"/>
          <w:lang w:val="pt-PT"/>
        </w:rPr>
        <w:t>《东帝</w:t>
      </w:r>
      <w:r>
        <w:rPr>
          <w:rFonts w:ascii="KaiTi_GB2312" w:hint="eastAsia"/>
          <w:bCs/>
          <w:color w:val="000000"/>
        </w:rPr>
        <w:t>汶：将反贫困作为国家的一项事业》，2006年4月，第11页。</w:t>
      </w:r>
    </w:p>
  </w:footnote>
  <w:footnote w:id="285">
    <w:p w:rsidR="00692915" w:rsidRDefault="00692915" w:rsidP="009A1C1B">
      <w:pPr>
        <w:pStyle w:val="FootnoteText"/>
        <w:tabs>
          <w:tab w:val="left" w:pos="780"/>
        </w:tabs>
        <w:ind w:firstLine="31680"/>
        <w:rPr>
          <w:rStyle w:val="FootnoteReference"/>
          <w:rFonts w:ascii="KaiTi_GB2312" w:hint="eastAsia"/>
          <w:b/>
          <w:bCs/>
          <w:color w:val="000000"/>
          <w:sz w:val="22"/>
          <w:lang w:val="pt-PT"/>
        </w:rPr>
      </w:pPr>
      <w:r>
        <w:rPr>
          <w:rStyle w:val="FootnoteReference"/>
          <w:rFonts w:ascii="KaiTi_GB2312"/>
          <w:color w:val="000000"/>
          <w:sz w:val="22"/>
        </w:rPr>
        <w:footnoteRef/>
      </w:r>
      <w:r>
        <w:rPr>
          <w:rStyle w:val="FootnoteReference"/>
          <w:rFonts w:ascii="KaiTi_GB2312"/>
          <w:b/>
          <w:bCs/>
          <w:color w:val="000000"/>
          <w:sz w:val="22"/>
          <w:lang w:val="pt-PT"/>
        </w:rPr>
        <w:t xml:space="preserve"> </w:t>
      </w:r>
      <w:r>
        <w:rPr>
          <w:rFonts w:ascii="KaiTi_GB2312"/>
          <w:bCs/>
          <w:color w:val="000000"/>
          <w:lang w:val="pt-PT"/>
        </w:rPr>
        <w:t xml:space="preserve"> </w:t>
      </w:r>
      <w:r>
        <w:rPr>
          <w:rFonts w:ascii="KaiTi_GB2312" w:hint="eastAsia"/>
          <w:bCs/>
          <w:color w:val="000000"/>
          <w:lang w:val="pt-PT"/>
        </w:rPr>
        <w:tab/>
        <w:t>2005年8月卫生部提交的材料；《东帝汶：医疗部门投资方案》，2006年。</w:t>
      </w:r>
    </w:p>
  </w:footnote>
  <w:footnote w:id="286">
    <w:p w:rsidR="00692915" w:rsidRDefault="00692915" w:rsidP="009A1C1B">
      <w:pPr>
        <w:pStyle w:val="FootnoteText"/>
        <w:tabs>
          <w:tab w:val="left" w:pos="780"/>
        </w:tabs>
        <w:ind w:firstLine="31680"/>
        <w:rPr>
          <w:rStyle w:val="FootnoteReference"/>
          <w:rFonts w:ascii="KaiTi_GB2312" w:hint="eastAsia"/>
          <w:b/>
          <w:bCs/>
          <w:color w:val="000000"/>
          <w:sz w:val="22"/>
          <w:lang w:val="pt-PT"/>
        </w:rPr>
      </w:pPr>
      <w:r>
        <w:rPr>
          <w:rStyle w:val="FootnoteReference"/>
          <w:rFonts w:ascii="KaiTi_GB2312"/>
          <w:color w:val="000000"/>
          <w:sz w:val="22"/>
        </w:rPr>
        <w:footnoteRef/>
      </w:r>
      <w:r>
        <w:rPr>
          <w:rStyle w:val="FootnoteReference"/>
          <w:rFonts w:ascii="KaiTi_GB2312"/>
          <w:b/>
          <w:bCs/>
          <w:color w:val="000000"/>
          <w:sz w:val="22"/>
          <w:lang w:val="pt-PT"/>
        </w:rPr>
        <w:t xml:space="preserve"> </w:t>
      </w:r>
      <w:r>
        <w:rPr>
          <w:rFonts w:ascii="KaiTi_GB2312"/>
          <w:bCs/>
          <w:color w:val="000000"/>
          <w:lang w:val="pt-PT"/>
        </w:rPr>
        <w:t xml:space="preserve"> </w:t>
      </w:r>
      <w:r>
        <w:rPr>
          <w:rFonts w:ascii="KaiTi_GB2312" w:hint="eastAsia"/>
          <w:bCs/>
          <w:color w:val="000000"/>
          <w:lang w:val="pt-PT"/>
        </w:rPr>
        <w:t>《</w:t>
      </w:r>
      <w:r>
        <w:rPr>
          <w:color w:val="000000"/>
        </w:rPr>
        <w:t>东帝汶民主共和国宪法</w:t>
      </w:r>
      <w:r>
        <w:rPr>
          <w:rFonts w:ascii="KaiTi_GB2312" w:hint="eastAsia"/>
          <w:bCs/>
          <w:color w:val="000000"/>
          <w:lang w:val="pt-PT"/>
        </w:rPr>
        <w:t>》，第57（1）条。该条其余部分指出，“国家将促进建立一种具有普及性的大众化国家卫生服务体系。”</w:t>
      </w:r>
    </w:p>
  </w:footnote>
  <w:footnote w:id="287">
    <w:p w:rsidR="00692915" w:rsidRDefault="00692915" w:rsidP="009A1C1B">
      <w:pPr>
        <w:pStyle w:val="FootnoteText"/>
        <w:tabs>
          <w:tab w:val="left" w:pos="780"/>
        </w:tabs>
        <w:ind w:firstLine="31680"/>
        <w:rPr>
          <w:rFonts w:ascii="KaiTi_GB2312" w:hint="eastAsia"/>
          <w:color w:val="000000"/>
          <w:lang w:val="pt-PT"/>
        </w:rPr>
      </w:pPr>
      <w:r>
        <w:rPr>
          <w:rStyle w:val="FootnoteReference"/>
          <w:rFonts w:ascii="KaiTi_GB2312"/>
          <w:color w:val="000000"/>
          <w:sz w:val="22"/>
        </w:rPr>
        <w:footnoteRef/>
      </w:r>
      <w:r>
        <w:rPr>
          <w:rFonts w:ascii="KaiTi_GB2312" w:hint="eastAsia"/>
          <w:bCs/>
          <w:color w:val="000000"/>
          <w:lang w:val="pt-PT"/>
        </w:rPr>
        <w:t xml:space="preserve"> 《东帝汶：2003年多指标类集调查》（MICS-2002年）。</w:t>
      </w:r>
    </w:p>
  </w:footnote>
  <w:footnote w:id="288">
    <w:p w:rsidR="00692915" w:rsidRDefault="00692915" w:rsidP="009A1C1B">
      <w:pPr>
        <w:pStyle w:val="FootnoteText"/>
        <w:tabs>
          <w:tab w:val="left" w:pos="780"/>
        </w:tabs>
        <w:ind w:firstLine="31680"/>
        <w:rPr>
          <w:rStyle w:val="FootnoteReference"/>
          <w:rFonts w:ascii="KaiTi_GB2312" w:hint="eastAsia"/>
          <w:b/>
          <w:bCs/>
          <w:color w:val="000000"/>
          <w:sz w:val="22"/>
          <w:lang w:val="pt-PT"/>
        </w:rPr>
      </w:pPr>
      <w:r>
        <w:rPr>
          <w:rStyle w:val="FootnoteReference"/>
          <w:rFonts w:ascii="KaiTi_GB2312"/>
          <w:color w:val="000000"/>
          <w:sz w:val="22"/>
        </w:rPr>
        <w:footnoteRef/>
      </w:r>
      <w:r>
        <w:rPr>
          <w:rStyle w:val="FootnoteReference"/>
          <w:rFonts w:ascii="KaiTi_GB2312"/>
          <w:b/>
          <w:bCs/>
          <w:color w:val="000000"/>
          <w:sz w:val="22"/>
          <w:lang w:val="pt-PT"/>
        </w:rPr>
        <w:t xml:space="preserve"> </w:t>
      </w:r>
      <w:r>
        <w:rPr>
          <w:rFonts w:ascii="KaiTi_GB2312"/>
          <w:bCs/>
          <w:color w:val="000000"/>
          <w:lang w:val="pt-PT"/>
        </w:rPr>
        <w:t xml:space="preserve"> </w:t>
      </w:r>
      <w:r>
        <w:rPr>
          <w:rFonts w:ascii="KaiTi_GB2312" w:hint="eastAsia"/>
          <w:bCs/>
          <w:color w:val="000000"/>
          <w:lang w:val="pt-PT"/>
        </w:rPr>
        <w:t>由卫生部提交的材料，2005年8月。</w:t>
      </w:r>
    </w:p>
  </w:footnote>
  <w:footnote w:id="289">
    <w:p w:rsidR="00692915" w:rsidRDefault="00692915" w:rsidP="009A1C1B">
      <w:pPr>
        <w:pStyle w:val="FootnoteText"/>
        <w:tabs>
          <w:tab w:val="left" w:pos="780"/>
        </w:tabs>
        <w:ind w:firstLine="31680"/>
        <w:rPr>
          <w:rStyle w:val="FootnoteReference"/>
          <w:rFonts w:ascii="KaiTi_GB2312" w:hint="eastAsia"/>
          <w:b/>
          <w:bCs/>
          <w:color w:val="000000"/>
          <w:sz w:val="22"/>
          <w:lang w:val="pt-PT"/>
        </w:rPr>
      </w:pPr>
      <w:r>
        <w:rPr>
          <w:rStyle w:val="FootnoteReference"/>
          <w:rFonts w:ascii="KaiTi_GB2312"/>
          <w:color w:val="000000"/>
          <w:sz w:val="22"/>
        </w:rPr>
        <w:footnoteRef/>
      </w:r>
      <w:r>
        <w:rPr>
          <w:rFonts w:ascii="KaiTi_GB2312" w:hint="eastAsia"/>
          <w:bCs/>
          <w:color w:val="000000"/>
          <w:lang w:val="pt-PT"/>
        </w:rPr>
        <w:t xml:space="preserve"> 在地区协商中，埃尔梅拉、马纳图托、马利亚纳和科瓦利马特别提出了该问题。</w:t>
      </w:r>
    </w:p>
  </w:footnote>
  <w:footnote w:id="290">
    <w:p w:rsidR="00692915" w:rsidRDefault="00692915" w:rsidP="009A1C1B">
      <w:pPr>
        <w:tabs>
          <w:tab w:val="left" w:pos="780"/>
        </w:tabs>
        <w:spacing w:line="288" w:lineRule="auto"/>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b/>
          <w:bCs/>
          <w:color w:val="000000"/>
          <w:sz w:val="22"/>
          <w:lang w:val="pt-PT"/>
        </w:rPr>
        <w:t xml:space="preserve"> </w:t>
      </w:r>
      <w:r>
        <w:rPr>
          <w:rFonts w:ascii="KaiTi_GB2312" w:eastAsia="KaiTi_GB2312"/>
          <w:color w:val="000000"/>
          <w:sz w:val="22"/>
          <w:lang w:val="pt-PT"/>
        </w:rPr>
        <w:t xml:space="preserve"> </w:t>
      </w:r>
      <w:r>
        <w:rPr>
          <w:rFonts w:ascii="KaiTi_GB2312" w:eastAsia="KaiTi_GB2312" w:hint="eastAsia"/>
          <w:color w:val="000000"/>
          <w:sz w:val="22"/>
          <w:lang w:val="pt-PT"/>
        </w:rPr>
        <w:t>东帝汶卫生部和国家统计局、澳大利亚艾索尔（ACIL）有限公司、澳大利亚的纽卡斯尔大学和澳大利亚国立大学：《2003年东帝汶人口与健康调查：重要调查结果》，2004年，第83页和第99页。</w:t>
      </w:r>
    </w:p>
  </w:footnote>
  <w:footnote w:id="291">
    <w:p w:rsidR="00692915" w:rsidRDefault="00692915" w:rsidP="009A1C1B">
      <w:pPr>
        <w:pStyle w:val="FootnoteText"/>
        <w:tabs>
          <w:tab w:val="left" w:pos="780"/>
        </w:tabs>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bCs/>
          <w:color w:val="000000"/>
        </w:rPr>
        <w:t xml:space="preserve"> </w:t>
      </w:r>
      <w:r>
        <w:rPr>
          <w:rFonts w:ascii="KaiTi_GB2312" w:hint="eastAsia"/>
          <w:bCs/>
          <w:color w:val="000000"/>
        </w:rPr>
        <w:t>有90%的婴儿是在家中接生的（有8.6%的婴儿是在公共医疗机构中接生的，1.2%的婴儿是在私人医疗机构接生的），在农村地区，这一比率甚至更高，有95%的婴儿是在家中接生的。分娩通过专业助产士进行的只占18%，通过传统助产士进行的占19%，通过亲戚或朋友进行的占61%，没有接受任何帮助的占2%（《2003年地区卫生调查》，第</w:t>
      </w:r>
      <w:r>
        <w:rPr>
          <w:rStyle w:val="FootnoteReference"/>
          <w:rFonts w:ascii="KaiTi_GB2312"/>
          <w:b/>
          <w:bCs/>
          <w:color w:val="000000"/>
          <w:sz w:val="22"/>
        </w:rPr>
        <w:t>35</w:t>
      </w:r>
      <w:r>
        <w:rPr>
          <w:rStyle w:val="FootnoteReference"/>
          <w:rFonts w:ascii="KaiTi_GB2312" w:hint="eastAsia"/>
          <w:b/>
          <w:bCs/>
          <w:color w:val="000000"/>
          <w:sz w:val="22"/>
        </w:rPr>
        <w:t>、</w:t>
      </w:r>
      <w:r>
        <w:rPr>
          <w:rStyle w:val="FootnoteReference"/>
          <w:rFonts w:ascii="KaiTi_GB2312"/>
          <w:b/>
          <w:bCs/>
          <w:color w:val="000000"/>
          <w:sz w:val="22"/>
        </w:rPr>
        <w:t xml:space="preserve">150 </w:t>
      </w:r>
      <w:r>
        <w:rPr>
          <w:rStyle w:val="FootnoteReference"/>
          <w:rFonts w:ascii="KaiTi_GB2312" w:hint="eastAsia"/>
          <w:b/>
          <w:bCs/>
          <w:color w:val="000000"/>
          <w:sz w:val="22"/>
        </w:rPr>
        <w:t>和</w:t>
      </w:r>
      <w:r>
        <w:rPr>
          <w:rStyle w:val="FootnoteReference"/>
          <w:rFonts w:ascii="KaiTi_GB2312"/>
          <w:b/>
          <w:bCs/>
          <w:color w:val="000000"/>
          <w:sz w:val="22"/>
        </w:rPr>
        <w:t>152</w:t>
      </w:r>
      <w:r>
        <w:rPr>
          <w:rFonts w:ascii="KaiTi_GB2312" w:hint="eastAsia"/>
          <w:bCs/>
          <w:color w:val="000000"/>
        </w:rPr>
        <w:t>页）。</w:t>
      </w:r>
    </w:p>
  </w:footnote>
  <w:footnote w:id="292">
    <w:p w:rsidR="00692915" w:rsidRDefault="00692915" w:rsidP="009A1C1B">
      <w:pPr>
        <w:pStyle w:val="FootnoteText"/>
        <w:tabs>
          <w:tab w:val="left" w:pos="780"/>
        </w:tabs>
        <w:ind w:firstLine="31680"/>
        <w:rPr>
          <w:rStyle w:val="FootnoteReference"/>
          <w:rFonts w:ascii="KaiTi_GB2312"/>
          <w:b/>
          <w:bCs/>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Style w:val="FootnoteReference"/>
          <w:rFonts w:ascii="KaiTi_GB2312" w:hint="eastAsia"/>
          <w:b/>
          <w:bCs/>
          <w:color w:val="000000"/>
          <w:sz w:val="22"/>
        </w:rPr>
        <w:t xml:space="preserve"> </w:t>
      </w:r>
      <w:r>
        <w:rPr>
          <w:rFonts w:ascii="KaiTi_GB2312" w:hint="eastAsia"/>
          <w:bCs/>
          <w:color w:val="000000"/>
          <w:lang w:val="pt-PT"/>
        </w:rPr>
        <w:t>东帝汶卫生部和国家统计局、澳大利亚艾索尔（ACIL）有限公司、澳大利亚纽卡斯尔大学和澳大利亚国立大学：《2003年东帝汶人口与健康调查：重要调查结果》，2004年，第141-144页。</w:t>
      </w:r>
    </w:p>
  </w:footnote>
  <w:footnote w:id="293">
    <w:p w:rsidR="00692915" w:rsidRDefault="00692915" w:rsidP="009A1C1B">
      <w:pPr>
        <w:pStyle w:val="FootnoteText"/>
        <w:tabs>
          <w:tab w:val="left" w:pos="780"/>
        </w:tabs>
        <w:ind w:firstLine="31680"/>
        <w:rPr>
          <w:rStyle w:val="FootnoteReference"/>
          <w:rFonts w:ascii="KaiTi_GB2312"/>
          <w:b/>
          <w:bCs/>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bCs/>
          <w:color w:val="000000"/>
        </w:rPr>
        <w:t xml:space="preserve"> </w:t>
      </w:r>
      <w:r>
        <w:rPr>
          <w:rFonts w:ascii="KaiTi_GB2312" w:hint="eastAsia"/>
          <w:bCs/>
          <w:color w:val="000000"/>
          <w:lang w:val="pt-PT"/>
        </w:rPr>
        <w:t>东帝汶卫生部和国家统计局、澳大利亚艾索尔（ACIL）有限公司、澳大利亚的纽卡斯尔大学和澳大利亚国立大学：《2003年东帝汶人口与健康调查：重要调查结果》，2004年，第69-70页。在编写本报告的地方协商过程中，有几个地区在报告中提到了“一年，一胎”的概念，针对女参与者要求提高生殖保健知识的情况，男性参与者曾多次表示怀孕是神干预的结果。遗憾的是，他们将这种观念与婴儿死亡率联系起来，在婴儿死亡后，他们之所以能够泰然面对妇女的替代性再怀孕，显然也与这种观念有关。</w:t>
      </w:r>
    </w:p>
  </w:footnote>
  <w:footnote w:id="294">
    <w:p w:rsidR="00692915" w:rsidRDefault="00692915" w:rsidP="009A1C1B">
      <w:pPr>
        <w:pStyle w:val="FootnoteText"/>
        <w:tabs>
          <w:tab w:val="left" w:pos="780"/>
        </w:tabs>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hint="eastAsia"/>
          <w:bCs/>
          <w:color w:val="000000"/>
        </w:rPr>
        <w:t>《东帝汶：医疗部门投资方案》，2006年4月。</w:t>
      </w:r>
    </w:p>
  </w:footnote>
  <w:footnote w:id="295">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color w:val="000000"/>
          <w:sz w:val="22"/>
        </w:rPr>
        <w:footnoteRef/>
      </w:r>
      <w:r>
        <w:rPr>
          <w:rStyle w:val="FootnoteReference"/>
          <w:rFonts w:ascii="KaiTi_GB2312"/>
          <w:color w:val="000000"/>
          <w:sz w:val="22"/>
        </w:rPr>
        <w:t xml:space="preserve"> </w:t>
      </w:r>
      <w:r>
        <w:rPr>
          <w:rFonts w:ascii="KaiTi_GB2312"/>
          <w:color w:val="000000"/>
        </w:rPr>
        <w:tab/>
      </w:r>
      <w:r>
        <w:rPr>
          <w:rFonts w:hint="eastAsia"/>
          <w:color w:val="000000"/>
        </w:rPr>
        <w:t>同上，</w:t>
      </w:r>
      <w:r>
        <w:rPr>
          <w:rFonts w:ascii="KaiTi_GB2312" w:hint="eastAsia"/>
          <w:color w:val="000000"/>
        </w:rPr>
        <w:t>第11页。</w:t>
      </w:r>
      <w:r>
        <w:rPr>
          <w:rStyle w:val="FootnoteReference"/>
          <w:rFonts w:ascii="KaiTi_GB2312" w:hint="eastAsia"/>
          <w:b/>
          <w:color w:val="000000"/>
          <w:sz w:val="22"/>
        </w:rPr>
        <w:t xml:space="preserve"> </w:t>
      </w:r>
    </w:p>
  </w:footnote>
  <w:footnote w:id="296">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color w:val="000000"/>
          <w:sz w:val="22"/>
        </w:rPr>
        <w:footnoteRef/>
      </w:r>
      <w:r>
        <w:rPr>
          <w:rStyle w:val="FootnoteReference"/>
          <w:rFonts w:ascii="KaiTi_GB2312" w:hint="eastAsia"/>
          <w:b/>
          <w:color w:val="000000"/>
          <w:sz w:val="22"/>
        </w:rPr>
        <w:t xml:space="preserve"> </w:t>
      </w:r>
      <w:r>
        <w:rPr>
          <w:rFonts w:ascii="KaiTi_GB2312"/>
          <w:b/>
          <w:color w:val="000000"/>
        </w:rPr>
        <w:tab/>
      </w:r>
      <w:r>
        <w:rPr>
          <w:rFonts w:ascii="KaiTi_GB2312" w:hint="eastAsia"/>
          <w:color w:val="000000"/>
        </w:rPr>
        <w:t>埃德加·皮萨尼与帝力调查小组：《东帝汶的艾滋病毒、性传染疾病和危险行为：采取有效行动的历史性机遇》，国际家庭卫生组织帝力代表处，2004年，第18页。</w:t>
      </w:r>
    </w:p>
  </w:footnote>
  <w:footnote w:id="297">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color w:val="000000"/>
          <w:sz w:val="22"/>
        </w:rPr>
        <w:footnoteRef/>
      </w:r>
      <w:r>
        <w:rPr>
          <w:rStyle w:val="FootnoteReference"/>
          <w:rFonts w:ascii="KaiTi_GB2312"/>
          <w:color w:val="000000"/>
          <w:sz w:val="22"/>
        </w:rPr>
        <w:t xml:space="preserve"> </w:t>
      </w:r>
      <w:r>
        <w:rPr>
          <w:rStyle w:val="FootnoteReference"/>
          <w:rFonts w:ascii="KaiTi_GB2312" w:hint="eastAsia"/>
          <w:b/>
          <w:color w:val="000000"/>
          <w:sz w:val="22"/>
        </w:rPr>
        <w:t xml:space="preserve"> </w:t>
      </w:r>
      <w:r>
        <w:rPr>
          <w:rFonts w:ascii="KaiTi_GB2312"/>
          <w:b/>
          <w:color w:val="000000"/>
        </w:rPr>
        <w:tab/>
      </w:r>
      <w:r>
        <w:rPr>
          <w:rFonts w:ascii="KaiTi_GB2312" w:hint="eastAsia"/>
          <w:color w:val="000000"/>
        </w:rPr>
        <w:t>2005年儿童基金会报告。</w:t>
      </w:r>
    </w:p>
  </w:footnote>
  <w:footnote w:id="298">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color w:val="000000"/>
          <w:sz w:val="22"/>
        </w:rPr>
        <w:footnoteRef/>
      </w:r>
      <w:r>
        <w:rPr>
          <w:rStyle w:val="FootnoteReference"/>
          <w:rFonts w:ascii="KaiTi_GB2312"/>
          <w:b/>
          <w:color w:val="000000"/>
          <w:sz w:val="22"/>
        </w:rPr>
        <w:t xml:space="preserve"> </w:t>
      </w:r>
      <w:r>
        <w:rPr>
          <w:rFonts w:ascii="KaiTi_GB2312"/>
          <w:color w:val="000000"/>
        </w:rPr>
        <w:t xml:space="preserve"> </w:t>
      </w:r>
      <w:r>
        <w:rPr>
          <w:rFonts w:ascii="KaiTi_GB2312" w:hint="eastAsia"/>
          <w:color w:val="000000"/>
        </w:rPr>
        <w:t>埃德加·皮萨尼与帝力调查小组：《东帝汶的艾滋病毒、性传染疾病和危险行为：采取有效行动的历史性机遇》，国际家庭卫生组织帝力代表处，2004年。</w:t>
      </w:r>
    </w:p>
  </w:footnote>
  <w:footnote w:id="299">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color w:val="000000"/>
          <w:sz w:val="22"/>
        </w:rPr>
        <w:footnoteRef/>
      </w:r>
      <w:r>
        <w:rPr>
          <w:rStyle w:val="FootnoteReference"/>
          <w:rFonts w:ascii="KaiTi_GB2312"/>
          <w:b/>
          <w:color w:val="000000"/>
          <w:sz w:val="22"/>
        </w:rPr>
        <w:t xml:space="preserve"> </w:t>
      </w:r>
      <w:r>
        <w:rPr>
          <w:rFonts w:ascii="KaiTi_GB2312"/>
          <w:color w:val="000000"/>
        </w:rPr>
        <w:t xml:space="preserve"> </w:t>
      </w:r>
      <w:r>
        <w:rPr>
          <w:rFonts w:ascii="KaiTi_GB2312" w:hint="eastAsia"/>
          <w:color w:val="000000"/>
        </w:rPr>
        <w:t>埃德加·皮萨尼与帝力调查小组：《东帝汶的艾滋病毒、性传染疾病和危险行为：采取有效行动的历史性机遇》，国际家庭卫生组织帝力代表处，2004年，第11页。</w:t>
      </w:r>
    </w:p>
  </w:footnote>
  <w:footnote w:id="300">
    <w:p w:rsidR="00692915" w:rsidRDefault="00692915" w:rsidP="009A1C1B">
      <w:pPr>
        <w:pStyle w:val="FootnoteText"/>
        <w:tabs>
          <w:tab w:val="left" w:pos="780"/>
        </w:tabs>
        <w:ind w:firstLine="31680"/>
        <w:rPr>
          <w:rStyle w:val="FootnoteReference"/>
          <w:rFonts w:ascii="KaiTi_GB2312"/>
          <w:b/>
          <w:color w:val="000000"/>
          <w:sz w:val="22"/>
        </w:rPr>
      </w:pPr>
      <w:r>
        <w:rPr>
          <w:rStyle w:val="FootnoteReference"/>
          <w:rFonts w:ascii="KaiTi_GB2312"/>
          <w:color w:val="000000"/>
          <w:sz w:val="22"/>
        </w:rPr>
        <w:footnoteRef/>
      </w:r>
      <w:r>
        <w:rPr>
          <w:rStyle w:val="FootnoteReference"/>
          <w:rFonts w:ascii="KaiTi_GB2312"/>
          <w:b/>
          <w:color w:val="000000"/>
          <w:sz w:val="22"/>
        </w:rPr>
        <w:t xml:space="preserve"> </w:t>
      </w:r>
      <w:r>
        <w:rPr>
          <w:rFonts w:ascii="KaiTi_GB2312"/>
          <w:bCs/>
          <w:color w:val="000000"/>
        </w:rPr>
        <w:t xml:space="preserve"> </w:t>
      </w:r>
      <w:r>
        <w:rPr>
          <w:rFonts w:ascii="KaiTi_GB2312" w:hint="eastAsia"/>
          <w:color w:val="000000"/>
        </w:rPr>
        <w:t>埃德加·皮萨尼与帝力调查小组：《东帝汶的艾滋病毒、性传染疾病和危险行为：采取有效行动的历史性机遇》，国际家庭卫生组织帝力代表处，2004年，第7页。另请注意，由于数据整理方面的局限性，在对调查结果进行解释时，需慎重。详情见该调查。</w:t>
      </w:r>
    </w:p>
  </w:footnote>
  <w:footnote w:id="301">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color w:val="000000"/>
          <w:sz w:val="22"/>
        </w:rPr>
        <w:footnoteRef/>
      </w:r>
      <w:r>
        <w:rPr>
          <w:rFonts w:ascii="KaiTi_GB2312"/>
          <w:color w:val="000000"/>
        </w:rPr>
        <w:t xml:space="preserve"> </w:t>
      </w:r>
      <w:r>
        <w:rPr>
          <w:rFonts w:ascii="KaiTi_GB2312" w:hint="eastAsia"/>
          <w:color w:val="000000"/>
        </w:rPr>
        <w:t>《2003年地区卫生调查》，第225-232页。</w:t>
      </w:r>
    </w:p>
  </w:footnote>
  <w:footnote w:id="302">
    <w:p w:rsidR="00692915" w:rsidRDefault="00692915" w:rsidP="009A1C1B">
      <w:pPr>
        <w:pStyle w:val="FootnoteText"/>
        <w:tabs>
          <w:tab w:val="left" w:pos="780"/>
        </w:tabs>
        <w:ind w:firstLine="31680"/>
        <w:rPr>
          <w:rStyle w:val="FootnoteReference"/>
          <w:rFonts w:ascii="KaiTi_GB2312"/>
          <w:b/>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color w:val="000000"/>
        </w:rPr>
        <w:t xml:space="preserve"> </w:t>
      </w:r>
      <w:r>
        <w:rPr>
          <w:rStyle w:val="FootnoteReference"/>
          <w:rFonts w:ascii="KaiTi_GB2312" w:hint="eastAsia"/>
          <w:b/>
          <w:color w:val="000000"/>
          <w:sz w:val="22"/>
        </w:rPr>
        <w:t xml:space="preserve"> </w:t>
      </w:r>
      <w:r>
        <w:rPr>
          <w:rFonts w:ascii="KaiTi_GB2312" w:hint="eastAsia"/>
          <w:color w:val="000000"/>
        </w:rPr>
        <w:t>埃德加·皮萨尼与帝力调查小组：《东帝汶的艾滋病毒、性传染疾病和危险行为：采取有效行动的历史性机遇》，国际家庭卫生组织帝力代表处，2004年，第14页。</w:t>
      </w:r>
    </w:p>
  </w:footnote>
  <w:footnote w:id="303">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hint="eastAsia"/>
          <w:color w:val="000000"/>
        </w:rPr>
        <w:t>《东帝汶：医疗部门投资方案》，2006年4月。</w:t>
      </w:r>
    </w:p>
  </w:footnote>
  <w:footnote w:id="304">
    <w:p w:rsidR="00692915" w:rsidRDefault="00692915" w:rsidP="009A1C1B">
      <w:pPr>
        <w:pStyle w:val="FootnoteText"/>
        <w:tabs>
          <w:tab w:val="left" w:pos="780"/>
        </w:tabs>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Style w:val="FootnoteReference"/>
          <w:rFonts w:ascii="KaiTi_GB2312" w:hint="eastAsia"/>
          <w:b/>
          <w:color w:val="000000"/>
          <w:sz w:val="22"/>
        </w:rPr>
        <w:t xml:space="preserve"> </w:t>
      </w:r>
      <w:r>
        <w:rPr>
          <w:rFonts w:ascii="KaiTi_GB2312"/>
          <w:b/>
          <w:color w:val="000000"/>
        </w:rPr>
        <w:tab/>
      </w:r>
      <w:r>
        <w:rPr>
          <w:rFonts w:ascii="KaiTi_GB2312" w:hint="eastAsia"/>
          <w:color w:val="000000"/>
        </w:rPr>
        <w:t>第</w:t>
      </w:r>
      <w:r>
        <w:rPr>
          <w:rFonts w:ascii="KaiTi_GB2312"/>
          <w:color w:val="000000"/>
        </w:rPr>
        <w:t>10</w:t>
      </w:r>
      <w:r>
        <w:rPr>
          <w:color w:val="000000"/>
        </w:rPr>
        <w:t>/</w:t>
      </w:r>
      <w:r>
        <w:rPr>
          <w:rFonts w:ascii="KaiTi_GB2312"/>
          <w:color w:val="000000"/>
        </w:rPr>
        <w:t>20</w:t>
      </w:r>
      <w:r>
        <w:rPr>
          <w:color w:val="000000"/>
        </w:rPr>
        <w:t>04</w:t>
      </w:r>
      <w:r>
        <w:rPr>
          <w:rFonts w:ascii="KaiTi_GB2312" w:hint="eastAsia"/>
          <w:color w:val="000000"/>
        </w:rPr>
        <w:t>号法令——《卫生系统法》。</w:t>
      </w:r>
    </w:p>
  </w:footnote>
  <w:footnote w:id="305">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Style w:val="FootnoteReference"/>
          <w:rFonts w:ascii="KaiTi_GB2312" w:hint="eastAsia"/>
          <w:b/>
          <w:color w:val="000000"/>
          <w:sz w:val="22"/>
        </w:rPr>
        <w:t xml:space="preserve"> </w:t>
      </w:r>
      <w:r>
        <w:rPr>
          <w:rFonts w:ascii="KaiTi_GB2312"/>
          <w:b/>
          <w:color w:val="000000"/>
        </w:rPr>
        <w:tab/>
      </w:r>
      <w:r>
        <w:rPr>
          <w:rFonts w:ascii="KaiTi_GB2312" w:hint="eastAsia"/>
          <w:color w:val="000000"/>
        </w:rPr>
        <w:t>第</w:t>
      </w:r>
      <w:r>
        <w:rPr>
          <w:rFonts w:ascii="KaiTi_GB2312"/>
          <w:color w:val="000000"/>
        </w:rPr>
        <w:t>14</w:t>
      </w:r>
      <w:r>
        <w:rPr>
          <w:color w:val="000000"/>
        </w:rPr>
        <w:t>/</w:t>
      </w:r>
      <w:r>
        <w:rPr>
          <w:rFonts w:ascii="KaiTi_GB2312"/>
          <w:color w:val="000000"/>
        </w:rPr>
        <w:t>2004</w:t>
      </w:r>
      <w:r>
        <w:rPr>
          <w:rFonts w:ascii="KaiTi_GB2312" w:hint="eastAsia"/>
          <w:color w:val="000000"/>
        </w:rPr>
        <w:t>号法令。</w:t>
      </w:r>
    </w:p>
  </w:footnote>
  <w:footnote w:id="306">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color w:val="000000"/>
        </w:rPr>
        <w:t xml:space="preserve"> </w:t>
      </w:r>
      <w:r>
        <w:rPr>
          <w:rFonts w:ascii="KaiTi_GB2312" w:hint="eastAsia"/>
          <w:color w:val="000000"/>
        </w:rPr>
        <w:t>第</w:t>
      </w:r>
      <w:r>
        <w:rPr>
          <w:rFonts w:ascii="KaiTi_GB2312"/>
          <w:color w:val="000000"/>
        </w:rPr>
        <w:t>12</w:t>
      </w:r>
      <w:r>
        <w:rPr>
          <w:color w:val="000000"/>
        </w:rPr>
        <w:t>/</w:t>
      </w:r>
      <w:r>
        <w:rPr>
          <w:rFonts w:ascii="KaiTi_GB2312"/>
          <w:color w:val="000000"/>
        </w:rPr>
        <w:t>2004</w:t>
      </w:r>
      <w:r>
        <w:rPr>
          <w:rFonts w:ascii="KaiTi_GB2312" w:hint="eastAsia"/>
          <w:color w:val="000000"/>
        </w:rPr>
        <w:t>号法令。该法旨在对公共部门和私人部门的医药供应及其管理进行调节。</w:t>
      </w:r>
    </w:p>
  </w:footnote>
  <w:footnote w:id="307">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color w:val="000000"/>
        </w:rPr>
        <w:t xml:space="preserve"> </w:t>
      </w:r>
      <w:r>
        <w:rPr>
          <w:rFonts w:ascii="KaiTi_GB2312" w:hint="eastAsia"/>
          <w:color w:val="000000"/>
        </w:rPr>
        <w:t>第</w:t>
      </w:r>
      <w:r>
        <w:rPr>
          <w:color w:val="000000"/>
        </w:rPr>
        <w:t>1</w:t>
      </w:r>
      <w:r>
        <w:rPr>
          <w:rFonts w:ascii="KaiTi_GB2312"/>
          <w:color w:val="000000"/>
        </w:rPr>
        <w:t>8</w:t>
      </w:r>
      <w:r>
        <w:rPr>
          <w:color w:val="000000"/>
        </w:rPr>
        <w:t>/</w:t>
      </w:r>
      <w:r>
        <w:rPr>
          <w:rFonts w:ascii="KaiTi_GB2312"/>
          <w:color w:val="000000"/>
        </w:rPr>
        <w:t>2</w:t>
      </w:r>
      <w:r>
        <w:rPr>
          <w:color w:val="000000"/>
        </w:rPr>
        <w:t>004</w:t>
      </w:r>
      <w:r>
        <w:rPr>
          <w:rFonts w:ascii="KaiTi_GB2312" w:hint="eastAsia"/>
          <w:color w:val="000000"/>
        </w:rPr>
        <w:t>号法令。</w:t>
      </w:r>
    </w:p>
  </w:footnote>
  <w:footnote w:id="308">
    <w:p w:rsidR="00692915" w:rsidRDefault="00692915" w:rsidP="009A1C1B">
      <w:pPr>
        <w:pStyle w:val="FootnoteText"/>
        <w:tabs>
          <w:tab w:val="left" w:pos="780"/>
        </w:tabs>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Style w:val="FootnoteReference"/>
          <w:rFonts w:ascii="KaiTi_GB2312" w:hint="eastAsia"/>
          <w:b/>
          <w:color w:val="000000"/>
          <w:sz w:val="22"/>
        </w:rPr>
        <w:t xml:space="preserve"> </w:t>
      </w:r>
      <w:r>
        <w:rPr>
          <w:rFonts w:ascii="KaiTi_GB2312"/>
          <w:b/>
          <w:color w:val="000000"/>
        </w:rPr>
        <w:tab/>
      </w:r>
      <w:r>
        <w:rPr>
          <w:rFonts w:ascii="KaiTi_GB2312" w:hint="eastAsia"/>
          <w:color w:val="000000"/>
        </w:rPr>
        <w:t>第</w:t>
      </w:r>
      <w:r>
        <w:rPr>
          <w:rFonts w:ascii="KaiTi_GB2312"/>
          <w:color w:val="000000"/>
        </w:rPr>
        <w:t>2</w:t>
      </w:r>
      <w:r>
        <w:rPr>
          <w:color w:val="000000"/>
        </w:rPr>
        <w:t>/</w:t>
      </w:r>
      <w:r>
        <w:rPr>
          <w:rFonts w:ascii="KaiTi_GB2312"/>
          <w:color w:val="000000"/>
        </w:rPr>
        <w:t>2005</w:t>
      </w:r>
      <w:r>
        <w:rPr>
          <w:rFonts w:ascii="KaiTi_GB2312" w:hint="eastAsia"/>
          <w:color w:val="000000"/>
        </w:rPr>
        <w:t>号法令第3条指出，“卫生科学研究院的目的是对卫生系统各领域所需要的各级卫生专业人士进行培训和再培训。”</w:t>
      </w:r>
    </w:p>
  </w:footnote>
  <w:footnote w:id="309">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color w:val="000000"/>
          <w:sz w:val="22"/>
        </w:rPr>
        <w:footnoteRef/>
      </w:r>
      <w:r>
        <w:rPr>
          <w:rFonts w:ascii="KaiTi_GB2312" w:hint="eastAsia"/>
          <w:color w:val="000000"/>
        </w:rPr>
        <w:t xml:space="preserve"> 一方面，《国家发展计划》主要关注公共部门实施卫生方案的情况；另一方面，卫生政策框架涉及卫生领域更广泛的融资问题、公共部门服务和私人部门服务之间的适当比例问题。</w:t>
      </w:r>
    </w:p>
  </w:footnote>
  <w:footnote w:id="310">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Style w:val="FootnoteReference"/>
          <w:rFonts w:ascii="KaiTi_GB2312" w:hint="eastAsia"/>
          <w:b/>
          <w:color w:val="000000"/>
          <w:sz w:val="22"/>
        </w:rPr>
        <w:t xml:space="preserve"> </w:t>
      </w:r>
      <w:r>
        <w:rPr>
          <w:rFonts w:ascii="KaiTi_GB2312" w:hint="eastAsia"/>
          <w:color w:val="000000"/>
        </w:rPr>
        <w:t>《东帝汶：</w:t>
      </w:r>
      <w:r>
        <w:rPr>
          <w:color w:val="000000"/>
        </w:rPr>
        <w:t>医疗</w:t>
      </w:r>
      <w:r>
        <w:rPr>
          <w:rFonts w:ascii="KaiTi_GB2312"/>
          <w:color w:val="000000"/>
        </w:rPr>
        <w:t>部门</w:t>
      </w:r>
      <w:r>
        <w:rPr>
          <w:color w:val="000000"/>
        </w:rPr>
        <w:t>投资方案</w:t>
      </w:r>
      <w:r>
        <w:rPr>
          <w:rFonts w:ascii="KaiTi_GB2312" w:hint="eastAsia"/>
          <w:color w:val="000000"/>
        </w:rPr>
        <w:t>》，2006年4月，第17页。</w:t>
      </w:r>
    </w:p>
  </w:footnote>
  <w:footnote w:id="311">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color w:val="000000"/>
          <w:sz w:val="22"/>
        </w:rPr>
        <w:footnoteRef/>
      </w:r>
      <w:r>
        <w:rPr>
          <w:rStyle w:val="FootnoteReference"/>
          <w:rFonts w:ascii="KaiTi_GB2312"/>
          <w:color w:val="000000"/>
          <w:sz w:val="22"/>
        </w:rPr>
        <w:t xml:space="preserve"> </w:t>
      </w:r>
      <w:r>
        <w:rPr>
          <w:rStyle w:val="FootnoteReference"/>
          <w:rFonts w:ascii="KaiTi_GB2312" w:hint="eastAsia"/>
          <w:b/>
          <w:color w:val="000000"/>
          <w:sz w:val="22"/>
        </w:rPr>
        <w:t xml:space="preserve"> </w:t>
      </w:r>
      <w:r>
        <w:rPr>
          <w:rFonts w:ascii="KaiTi_GB2312"/>
          <w:b/>
          <w:color w:val="000000"/>
        </w:rPr>
        <w:tab/>
      </w:r>
      <w:r>
        <w:rPr>
          <w:rFonts w:ascii="KaiTi_GB2312" w:hint="eastAsia"/>
          <w:color w:val="000000"/>
        </w:rPr>
        <w:t>2003年1月，卫生部举办了一次旨在制定国家基本服务体系的研讨会。研讨会的结果记录在2003年11月东帝汶社区、卫生站和卫生中心基本服务（和干预）体系报告草案中。</w:t>
      </w:r>
    </w:p>
  </w:footnote>
  <w:footnote w:id="312">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color w:val="000000"/>
          <w:sz w:val="22"/>
        </w:rPr>
        <w:footnoteRef/>
      </w:r>
      <w:r>
        <w:rPr>
          <w:rStyle w:val="FootnoteReference"/>
          <w:rFonts w:ascii="KaiTi_GB2312" w:hint="eastAsia"/>
          <w:b/>
          <w:color w:val="000000"/>
          <w:sz w:val="22"/>
        </w:rPr>
        <w:t xml:space="preserve"> </w:t>
      </w:r>
      <w:r>
        <w:rPr>
          <w:rFonts w:ascii="KaiTi_GB2312"/>
          <w:b/>
          <w:color w:val="000000"/>
        </w:rPr>
        <w:tab/>
      </w:r>
      <w:r>
        <w:rPr>
          <w:rFonts w:ascii="KaiTi_GB2312" w:hint="eastAsia"/>
          <w:color w:val="000000"/>
        </w:rPr>
        <w:t>放权式服务供应的优先事项与集权式管理和资金筹措的优先事项不匹配，需要改进保健数据收集系统及监测系统，改进各机构的健康推广活动、服务倡导活动和机构形象。</w:t>
      </w:r>
    </w:p>
  </w:footnote>
  <w:footnote w:id="313">
    <w:p w:rsidR="00692915" w:rsidRDefault="00692915" w:rsidP="009A1C1B">
      <w:pPr>
        <w:pStyle w:val="FootnoteText"/>
        <w:tabs>
          <w:tab w:val="left" w:pos="780"/>
        </w:tabs>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hint="eastAsia"/>
          <w:b/>
          <w:color w:val="000000"/>
          <w:sz w:val="22"/>
        </w:rPr>
        <w:t xml:space="preserve"> </w:t>
      </w:r>
      <w:r>
        <w:rPr>
          <w:rFonts w:ascii="KaiTi_GB2312"/>
          <w:b/>
          <w:color w:val="000000"/>
        </w:rPr>
        <w:tab/>
      </w:r>
      <w:r>
        <w:rPr>
          <w:rFonts w:ascii="KaiTi_GB2312" w:hint="eastAsia"/>
          <w:bCs/>
          <w:color w:val="000000"/>
          <w:lang w:val="pt-PT"/>
        </w:rPr>
        <w:t>东帝汶卫生部和国家统计局、澳大利亚艾索尔（ACIL）有限公司、澳大利亚纽卡斯尔大学和澳大利亚国立大学：《2003年东帝汶人口与健康调查：重要调查结果》， 2004年，第18页。</w:t>
      </w:r>
    </w:p>
  </w:footnote>
  <w:footnote w:id="314">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color w:val="000000"/>
          <w:sz w:val="22"/>
        </w:rPr>
        <w:footnoteRef/>
      </w:r>
      <w:r>
        <w:rPr>
          <w:rFonts w:ascii="KaiTi_GB2312"/>
          <w:color w:val="000000"/>
        </w:rPr>
        <w:t xml:space="preserve"> </w:t>
      </w:r>
      <w:r>
        <w:rPr>
          <w:rFonts w:ascii="KaiTi_GB2312"/>
          <w:color w:val="000000"/>
        </w:rPr>
        <w:tab/>
      </w:r>
      <w:r>
        <w:rPr>
          <w:rFonts w:ascii="KaiTi_GB2312" w:hint="eastAsia"/>
          <w:color w:val="000000"/>
        </w:rPr>
        <w:t>人口与健康调查显示，其他原因还包括：距离（64%）；交通困难（43%）；缺乏医疗人员（14%）；费用昂贵（11%）和营业时间短（9%）。第六大原因是“工作人员不友好”（4%），在编写《共同核心文件》、</w:t>
      </w:r>
      <w:r>
        <w:rPr>
          <w:color w:val="000000"/>
        </w:rPr>
        <w:t>《儿童权利公约》</w:t>
      </w:r>
      <w:r>
        <w:rPr>
          <w:rFonts w:ascii="KaiTi_GB2312" w:hint="eastAsia"/>
          <w:color w:val="000000"/>
        </w:rPr>
        <w:t>和《</w:t>
      </w:r>
      <w:r>
        <w:rPr>
          <w:rFonts w:ascii="KaiTi_GB2312" w:hint="eastAsia"/>
          <w:bCs/>
          <w:color w:val="000000"/>
        </w:rPr>
        <w:t>消除对妇女一切形式歧视公约》相关文件</w:t>
      </w:r>
      <w:r>
        <w:rPr>
          <w:rFonts w:ascii="KaiTi_GB2312" w:hint="eastAsia"/>
          <w:color w:val="000000"/>
        </w:rPr>
        <w:t>过程中所召开的地区协商会议强调了这一点，尤其是这被视作正规接生服务使用水平低的原因之一。</w:t>
      </w:r>
    </w:p>
  </w:footnote>
  <w:footnote w:id="315">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Style w:val="FootnoteReference"/>
          <w:rFonts w:ascii="KaiTi_GB2312" w:hint="eastAsia"/>
          <w:b/>
          <w:color w:val="000000"/>
          <w:sz w:val="22"/>
        </w:rPr>
        <w:t xml:space="preserve"> </w:t>
      </w:r>
      <w:r>
        <w:rPr>
          <w:rFonts w:ascii="KaiTi_GB2312"/>
          <w:b/>
          <w:color w:val="000000"/>
        </w:rPr>
        <w:tab/>
      </w:r>
      <w:r>
        <w:rPr>
          <w:rFonts w:ascii="KaiTi_GB2312" w:hint="eastAsia"/>
          <w:color w:val="000000"/>
        </w:rPr>
        <w:t>从名义上来说，保健是免费的，但根据观察，一般会通过收费来弥补保健工作人员的低工资问题；即使服务是免费的，药费“也很少免费，而且相对于农村贫困人口的收入而言，是极其昂贵的。”</w:t>
      </w:r>
    </w:p>
  </w:footnote>
  <w:footnote w:id="316">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color w:val="000000"/>
          <w:sz w:val="22"/>
        </w:rPr>
        <w:footnoteRef/>
      </w:r>
      <w:r>
        <w:rPr>
          <w:rStyle w:val="FootnoteReference"/>
          <w:rFonts w:ascii="KaiTi_GB2312"/>
          <w:color w:val="000000"/>
          <w:sz w:val="22"/>
        </w:rPr>
        <w:t xml:space="preserve"> </w:t>
      </w:r>
      <w:r>
        <w:rPr>
          <w:rStyle w:val="FootnoteReference"/>
          <w:rFonts w:ascii="KaiTi_GB2312" w:hint="eastAsia"/>
          <w:b/>
          <w:color w:val="000000"/>
          <w:sz w:val="22"/>
        </w:rPr>
        <w:t xml:space="preserve"> </w:t>
      </w:r>
      <w:r>
        <w:rPr>
          <w:rFonts w:ascii="KaiTi_GB2312"/>
          <w:b/>
          <w:color w:val="000000"/>
        </w:rPr>
        <w:tab/>
      </w:r>
      <w:r>
        <w:rPr>
          <w:rFonts w:ascii="KaiTi_GB2312" w:hint="eastAsia"/>
          <w:color w:val="000000"/>
        </w:rPr>
        <w:t>显然需要提高人们对保健服务的知识和意识，而这又需要改进服务质量和覆盖范围（27%的妇女在生病时不知道去哪儿，对于受教育程度低和较贫困的妇女来说，这种情况尤其严重）。</w:t>
      </w:r>
    </w:p>
  </w:footnote>
  <w:footnote w:id="317">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color w:val="000000"/>
          <w:sz w:val="22"/>
        </w:rPr>
        <w:footnoteRef/>
      </w:r>
      <w:r>
        <w:rPr>
          <w:rFonts w:ascii="KaiTi_GB2312" w:hint="eastAsia"/>
          <w:color w:val="000000"/>
        </w:rPr>
        <w:t xml:space="preserve"> 见《法典》草案第3条。</w:t>
      </w:r>
    </w:p>
  </w:footnote>
  <w:footnote w:id="318">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color w:val="000000"/>
          <w:sz w:val="22"/>
        </w:rPr>
        <w:footnoteRef/>
      </w:r>
      <w:r>
        <w:rPr>
          <w:rFonts w:ascii="KaiTi_GB2312"/>
          <w:color w:val="000000"/>
        </w:rPr>
        <w:t xml:space="preserve"> </w:t>
      </w:r>
      <w:r>
        <w:rPr>
          <w:rFonts w:ascii="KaiTi_GB2312"/>
          <w:color w:val="000000"/>
        </w:rPr>
        <w:tab/>
      </w:r>
      <w:r>
        <w:rPr>
          <w:rFonts w:ascii="KaiTi_GB2312" w:hint="eastAsia"/>
          <w:color w:val="000000"/>
        </w:rPr>
        <w:t>东帝汶过渡当局关于制定《东帝汶劳工法典》的第</w:t>
      </w:r>
      <w:r>
        <w:rPr>
          <w:rFonts w:ascii="KaiTi_GB2312"/>
          <w:color w:val="000000"/>
        </w:rPr>
        <w:t>2002</w:t>
      </w:r>
      <w:r>
        <w:rPr>
          <w:color w:val="000000"/>
        </w:rPr>
        <w:t>/</w:t>
      </w:r>
      <w:r>
        <w:rPr>
          <w:rFonts w:ascii="KaiTi_GB2312"/>
          <w:color w:val="000000"/>
        </w:rPr>
        <w:t>5</w:t>
      </w:r>
      <w:r>
        <w:rPr>
          <w:rFonts w:ascii="KaiTi_GB2312" w:hint="eastAsia"/>
          <w:color w:val="000000"/>
        </w:rPr>
        <w:t>号条例，第4条和第5条。</w:t>
      </w:r>
    </w:p>
  </w:footnote>
  <w:footnote w:id="319">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color w:val="000000"/>
          <w:sz w:val="22"/>
        </w:rPr>
        <w:footnoteRef/>
      </w:r>
      <w:r>
        <w:rPr>
          <w:rStyle w:val="FootnoteReference"/>
          <w:rFonts w:ascii="KaiTi_GB2312" w:hint="eastAsia"/>
          <w:b/>
          <w:color w:val="000000"/>
          <w:sz w:val="22"/>
        </w:rPr>
        <w:t xml:space="preserve"> </w:t>
      </w:r>
      <w:r>
        <w:rPr>
          <w:rFonts w:ascii="KaiTi_GB2312"/>
          <w:b/>
          <w:color w:val="000000"/>
        </w:rPr>
        <w:t xml:space="preserve"> </w:t>
      </w:r>
      <w:r>
        <w:rPr>
          <w:rFonts w:ascii="KaiTi_GB2312" w:hint="eastAsia"/>
          <w:color w:val="000000"/>
        </w:rPr>
        <w:t>《宪法》，第</w:t>
      </w:r>
      <w:r>
        <w:rPr>
          <w:bCs/>
          <w:color w:val="000000"/>
        </w:rPr>
        <w:t>51</w:t>
      </w:r>
      <w:r>
        <w:rPr>
          <w:rFonts w:ascii="KaiTi_GB2312" w:hint="eastAsia"/>
          <w:bCs/>
          <w:color w:val="000000"/>
        </w:rPr>
        <w:t>.</w:t>
      </w:r>
      <w:r>
        <w:rPr>
          <w:bCs/>
          <w:color w:val="000000"/>
        </w:rPr>
        <w:t>3</w:t>
      </w:r>
      <w:r>
        <w:rPr>
          <w:rFonts w:ascii="KaiTi_GB2312" w:hint="eastAsia"/>
          <w:bCs/>
          <w:color w:val="000000"/>
        </w:rPr>
        <w:t>条。</w:t>
      </w:r>
    </w:p>
  </w:footnote>
  <w:footnote w:id="320">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color w:val="000000"/>
        </w:rPr>
        <w:t xml:space="preserve"> </w:t>
      </w:r>
      <w:r>
        <w:rPr>
          <w:rFonts w:ascii="KaiTi_GB2312" w:hint="eastAsia"/>
          <w:color w:val="000000"/>
        </w:rPr>
        <w:t>《</w:t>
      </w:r>
      <w:r>
        <w:rPr>
          <w:rFonts w:ascii="KaiTi_GB2312" w:hint="eastAsia"/>
          <w:bCs/>
          <w:color w:val="000000"/>
        </w:rPr>
        <w:t>关于制定东帝汶劳工法典》的第</w:t>
      </w:r>
      <w:r>
        <w:rPr>
          <w:rFonts w:ascii="KaiTi_GB2312"/>
          <w:bCs/>
          <w:color w:val="000000"/>
        </w:rPr>
        <w:t>2002/5</w:t>
      </w:r>
      <w:r>
        <w:rPr>
          <w:rFonts w:ascii="KaiTi_GB2312" w:hint="eastAsia"/>
          <w:bCs/>
          <w:color w:val="000000"/>
        </w:rPr>
        <w:t>号条例，</w:t>
      </w:r>
      <w:r>
        <w:rPr>
          <w:rFonts w:ascii="KaiTi_GB2312" w:hint="eastAsia"/>
          <w:color w:val="000000"/>
        </w:rPr>
        <w:t>第</w:t>
      </w:r>
      <w:r>
        <w:rPr>
          <w:rFonts w:ascii="KaiTi_GB2312"/>
          <w:color w:val="000000"/>
        </w:rPr>
        <w:t>24</w:t>
      </w:r>
      <w:r>
        <w:rPr>
          <w:rFonts w:ascii="KaiTi_GB2312" w:hint="eastAsia"/>
          <w:color w:val="000000"/>
        </w:rPr>
        <w:t>.</w:t>
      </w:r>
      <w:r>
        <w:rPr>
          <w:rFonts w:ascii="KaiTi_GB2312"/>
          <w:color w:val="000000"/>
        </w:rPr>
        <w:t>9</w:t>
      </w:r>
      <w:r>
        <w:rPr>
          <w:rFonts w:ascii="KaiTi_GB2312" w:hint="eastAsia"/>
          <w:color w:val="000000"/>
        </w:rPr>
        <w:t>条</w:t>
      </w:r>
      <w:r>
        <w:rPr>
          <w:rFonts w:hint="eastAsia"/>
          <w:color w:val="000000"/>
        </w:rPr>
        <w:t>、</w:t>
      </w:r>
      <w:r>
        <w:rPr>
          <w:rFonts w:ascii="KaiTi_GB2312" w:hint="eastAsia"/>
          <w:color w:val="000000"/>
        </w:rPr>
        <w:t>第24.</w:t>
      </w:r>
      <w:r>
        <w:rPr>
          <w:rFonts w:ascii="KaiTi_GB2312"/>
          <w:color w:val="000000"/>
        </w:rPr>
        <w:t>10</w:t>
      </w:r>
      <w:r>
        <w:rPr>
          <w:rFonts w:ascii="KaiTi_GB2312" w:hint="eastAsia"/>
          <w:color w:val="000000"/>
        </w:rPr>
        <w:t>条和第24.11条</w:t>
      </w:r>
      <w:r>
        <w:rPr>
          <w:rFonts w:ascii="KaiTi_GB2312" w:hint="eastAsia"/>
          <w:bCs/>
          <w:color w:val="000000"/>
        </w:rPr>
        <w:t>。</w:t>
      </w:r>
    </w:p>
  </w:footnote>
  <w:footnote w:id="321">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color w:val="000000"/>
          <w:sz w:val="22"/>
        </w:rPr>
        <w:footnoteRef/>
      </w:r>
      <w:r>
        <w:rPr>
          <w:rFonts w:ascii="KaiTi_GB2312"/>
          <w:color w:val="000000"/>
        </w:rPr>
        <w:t xml:space="preserve"> </w:t>
      </w:r>
      <w:r>
        <w:rPr>
          <w:rFonts w:ascii="KaiTi_GB2312"/>
          <w:color w:val="000000"/>
        </w:rPr>
        <w:tab/>
      </w:r>
      <w:r>
        <w:rPr>
          <w:rFonts w:ascii="KaiTi_GB2312" w:hint="eastAsia"/>
          <w:color w:val="000000"/>
        </w:rPr>
        <w:t>开发计划署，《2006年人类发展报告》。</w:t>
      </w:r>
    </w:p>
  </w:footnote>
  <w:footnote w:id="322">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color w:val="000000"/>
          <w:sz w:val="22"/>
        </w:rPr>
        <w:footnoteRef/>
      </w:r>
      <w:r>
        <w:rPr>
          <w:rFonts w:ascii="KaiTi_GB2312" w:hint="eastAsia"/>
          <w:color w:val="000000"/>
        </w:rPr>
        <w:t xml:space="preserve"> 《东帝汶：部门投资方案概览》</w:t>
      </w:r>
      <w:r>
        <w:rPr>
          <w:rFonts w:ascii="SimHei" w:eastAsia="SimHei" w:hint="eastAsia"/>
          <w:color w:val="000000"/>
        </w:rPr>
        <w:t>——</w:t>
      </w:r>
      <w:r>
        <w:rPr>
          <w:rFonts w:ascii="KaiTi_GB2312" w:hint="eastAsia"/>
          <w:color w:val="000000"/>
        </w:rPr>
        <w:t>第1卷， 2005年4月，第</w:t>
      </w:r>
      <w:r>
        <w:rPr>
          <w:color w:val="000000"/>
        </w:rPr>
        <w:t>vi</w:t>
      </w:r>
      <w:r>
        <w:rPr>
          <w:rFonts w:ascii="KaiTi_GB2312" w:hint="eastAsia"/>
          <w:color w:val="000000"/>
        </w:rPr>
        <w:t>页。</w:t>
      </w:r>
    </w:p>
  </w:footnote>
  <w:footnote w:id="323">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color w:val="000000"/>
          <w:sz w:val="22"/>
        </w:rPr>
        <w:footnoteRef/>
      </w:r>
      <w:r>
        <w:rPr>
          <w:rFonts w:ascii="KaiTi_GB2312"/>
          <w:color w:val="000000"/>
        </w:rPr>
        <w:t xml:space="preserve"> 《</w:t>
      </w:r>
      <w:r>
        <w:rPr>
          <w:rFonts w:ascii="KaiTi_GB2312" w:hint="eastAsia"/>
          <w:color w:val="000000"/>
        </w:rPr>
        <w:t>劳工法典》第</w:t>
      </w:r>
      <w:r>
        <w:rPr>
          <w:rFonts w:ascii="KaiTi_GB2312"/>
          <w:color w:val="000000"/>
        </w:rPr>
        <w:t>2</w:t>
      </w:r>
      <w:r>
        <w:rPr>
          <w:rFonts w:ascii="KaiTi_GB2312" w:hint="eastAsia"/>
          <w:color w:val="000000"/>
        </w:rPr>
        <w:t>.</w:t>
      </w:r>
      <w:r>
        <w:rPr>
          <w:rFonts w:ascii="KaiTi_GB2312"/>
          <w:color w:val="000000"/>
        </w:rPr>
        <w:t>9</w:t>
      </w:r>
      <w:r>
        <w:rPr>
          <w:rFonts w:ascii="KaiTi_GB2312" w:hint="eastAsia"/>
          <w:color w:val="000000"/>
        </w:rPr>
        <w:t>.</w:t>
      </w:r>
      <w:r>
        <w:rPr>
          <w:rFonts w:ascii="KaiTi_GB2312"/>
          <w:color w:val="000000"/>
        </w:rPr>
        <w:t>4</w:t>
      </w:r>
      <w:r>
        <w:rPr>
          <w:rFonts w:ascii="KaiTi_GB2312" w:hint="eastAsia"/>
          <w:color w:val="000000"/>
        </w:rPr>
        <w:t>条和第</w:t>
      </w:r>
      <w:r>
        <w:rPr>
          <w:rFonts w:ascii="KaiTi_GB2312"/>
          <w:color w:val="000000"/>
        </w:rPr>
        <w:t>11</w:t>
      </w:r>
      <w:r>
        <w:rPr>
          <w:rFonts w:ascii="KaiTi_GB2312" w:hint="eastAsia"/>
          <w:color w:val="000000"/>
        </w:rPr>
        <w:t>.</w:t>
      </w:r>
      <w:r>
        <w:rPr>
          <w:color w:val="000000"/>
        </w:rPr>
        <w:t>5</w:t>
      </w:r>
      <w:r>
        <w:rPr>
          <w:rFonts w:ascii="KaiTi_GB2312" w:hint="eastAsia"/>
          <w:color w:val="000000"/>
        </w:rPr>
        <w:t>条，《公务员条例》第8条。</w:t>
      </w:r>
    </w:p>
  </w:footnote>
  <w:footnote w:id="324">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color w:val="000000"/>
        </w:rPr>
        <w:tab/>
      </w:r>
      <w:r>
        <w:rPr>
          <w:rFonts w:ascii="KaiTi_GB2312" w:hint="eastAsia"/>
          <w:color w:val="000000"/>
        </w:rPr>
        <w:t>促进平等事务总理顾问办公室提交的材料。</w:t>
      </w:r>
    </w:p>
  </w:footnote>
  <w:footnote w:id="325">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color w:val="000000"/>
          <w:sz w:val="22"/>
        </w:rPr>
        <w:footnoteRef/>
      </w:r>
      <w:r>
        <w:rPr>
          <w:rFonts w:ascii="KaiTi_GB2312"/>
          <w:color w:val="000000"/>
        </w:rPr>
        <w:t xml:space="preserve"> </w:t>
      </w:r>
      <w:r>
        <w:rPr>
          <w:rFonts w:ascii="KaiTi_GB2312" w:hint="eastAsia"/>
          <w:color w:val="000000"/>
        </w:rPr>
        <w:t>《劳工法典》第</w:t>
      </w:r>
      <w:r>
        <w:rPr>
          <w:rFonts w:ascii="KaiTi_GB2312"/>
          <w:color w:val="000000"/>
        </w:rPr>
        <w:t>35</w:t>
      </w:r>
      <w:r>
        <w:rPr>
          <w:rFonts w:ascii="KaiTi_GB2312" w:hint="eastAsia"/>
          <w:color w:val="000000"/>
        </w:rPr>
        <w:t>.</w:t>
      </w:r>
      <w:r>
        <w:rPr>
          <w:rFonts w:ascii="KaiTi_GB2312"/>
          <w:color w:val="000000"/>
        </w:rPr>
        <w:t>2</w:t>
      </w:r>
      <w:r>
        <w:rPr>
          <w:rFonts w:ascii="KaiTi_GB2312" w:hint="eastAsia"/>
          <w:color w:val="000000"/>
        </w:rPr>
        <w:t>.</w:t>
      </w:r>
      <w:r>
        <w:rPr>
          <w:rFonts w:ascii="KaiTi_GB2312"/>
          <w:color w:val="000000"/>
        </w:rPr>
        <w:t>e</w:t>
      </w:r>
      <w:r>
        <w:rPr>
          <w:rFonts w:ascii="KaiTi_GB2312" w:hint="eastAsia"/>
          <w:color w:val="000000"/>
        </w:rPr>
        <w:t>条。</w:t>
      </w:r>
    </w:p>
  </w:footnote>
  <w:footnote w:id="326">
    <w:p w:rsidR="00692915" w:rsidRDefault="00692915" w:rsidP="009A1C1B">
      <w:pPr>
        <w:pStyle w:val="FootnoteText"/>
        <w:tabs>
          <w:tab w:val="left" w:pos="780"/>
        </w:tabs>
        <w:ind w:firstLine="31680"/>
        <w:rPr>
          <w:rStyle w:val="FootnoteReference"/>
          <w:rFonts w:ascii="KaiTi_GB2312"/>
          <w:b/>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color w:val="000000"/>
        </w:rPr>
        <w:tab/>
      </w:r>
      <w:r>
        <w:rPr>
          <w:rFonts w:ascii="KaiTi_GB2312" w:hint="eastAsia"/>
          <w:color w:val="000000"/>
        </w:rPr>
        <w:t>促进平等事务总理顾问办公室提交的材料。</w:t>
      </w:r>
    </w:p>
  </w:footnote>
  <w:footnote w:id="327">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color w:val="000000"/>
        </w:rPr>
        <w:t xml:space="preserve"> </w:t>
      </w:r>
      <w:r>
        <w:rPr>
          <w:rFonts w:ascii="KaiTi_GB2312" w:hint="eastAsia"/>
          <w:color w:val="000000"/>
        </w:rPr>
        <w:t>合并后的地区数据；劳工与团结部提交的材料。</w:t>
      </w:r>
    </w:p>
  </w:footnote>
  <w:footnote w:id="328">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color w:val="000000"/>
        </w:rPr>
        <w:t xml:space="preserve"> </w:t>
      </w:r>
      <w:r>
        <w:rPr>
          <w:rStyle w:val="FootnoteReference"/>
          <w:rFonts w:ascii="KaiTi_GB2312"/>
          <w:b/>
          <w:color w:val="000000"/>
          <w:sz w:val="22"/>
        </w:rPr>
        <w:tab/>
      </w:r>
      <w:r>
        <w:rPr>
          <w:rFonts w:ascii="KaiTi_GB2312" w:hint="eastAsia"/>
          <w:color w:val="000000"/>
        </w:rPr>
        <w:t>劳工与团结部提交的材料。</w:t>
      </w:r>
    </w:p>
  </w:footnote>
  <w:footnote w:id="329">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color w:val="000000"/>
        </w:rPr>
        <w:t xml:space="preserve"> </w:t>
      </w:r>
      <w:r>
        <w:rPr>
          <w:rStyle w:val="FootnoteReference"/>
          <w:rFonts w:ascii="KaiTi_GB2312" w:hint="eastAsia"/>
          <w:b/>
          <w:color w:val="000000"/>
          <w:sz w:val="22"/>
        </w:rPr>
        <w:t xml:space="preserve"> </w:t>
      </w:r>
      <w:r>
        <w:rPr>
          <w:rFonts w:ascii="KaiTi_GB2312" w:hint="eastAsia"/>
          <w:color w:val="000000"/>
        </w:rPr>
        <w:t>《东帝汶：教育与培训部门投资方案》（2006年4月）。</w:t>
      </w:r>
    </w:p>
  </w:footnote>
  <w:footnote w:id="330">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color w:val="000000"/>
        </w:rPr>
        <w:t xml:space="preserve"> </w:t>
      </w:r>
      <w:r>
        <w:rPr>
          <w:rFonts w:ascii="KaiTi_GB2312" w:hint="eastAsia"/>
          <w:color w:val="000000"/>
        </w:rPr>
        <w:t>儿童基金会驻东帝汶办事处，2005年，第17页。</w:t>
      </w:r>
    </w:p>
  </w:footnote>
  <w:footnote w:id="331">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color w:val="000000"/>
        </w:rPr>
        <w:t xml:space="preserve"> </w:t>
      </w:r>
      <w:r>
        <w:rPr>
          <w:rFonts w:ascii="KaiTi_GB2312" w:hint="eastAsia"/>
          <w:color w:val="000000"/>
        </w:rPr>
        <w:t>教育与文化部于2006年2月9日发出的第</w:t>
      </w:r>
      <w:r>
        <w:rPr>
          <w:rFonts w:ascii="KaiTi_GB2312"/>
          <w:color w:val="000000"/>
        </w:rPr>
        <w:t>10/GMEC/2006</w:t>
      </w:r>
      <w:r>
        <w:rPr>
          <w:rFonts w:ascii="KaiTi_GB2312" w:hint="eastAsia"/>
          <w:color w:val="000000"/>
        </w:rPr>
        <w:t>号紧急通知。</w:t>
      </w:r>
    </w:p>
  </w:footnote>
  <w:footnote w:id="332">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Style w:val="FootnoteReference"/>
          <w:rFonts w:ascii="KaiTi_GB2312" w:hint="eastAsia"/>
          <w:b/>
          <w:color w:val="000000"/>
          <w:sz w:val="22"/>
        </w:rPr>
        <w:t xml:space="preserve"> </w:t>
      </w:r>
      <w:r>
        <w:rPr>
          <w:rFonts w:ascii="KaiTi_GB2312"/>
          <w:b/>
          <w:color w:val="000000"/>
        </w:rPr>
        <w:tab/>
      </w:r>
      <w:r>
        <w:rPr>
          <w:rFonts w:ascii="KaiTi_GB2312" w:hint="eastAsia"/>
          <w:color w:val="000000"/>
        </w:rPr>
        <w:t>1974年葡萄牙殖民化结束后，大约有90%的人口为文盲，小学在校儿童只有</w:t>
      </w:r>
      <w:r>
        <w:rPr>
          <w:rFonts w:ascii="KaiTi_GB2312"/>
          <w:color w:val="000000"/>
        </w:rPr>
        <w:t>60,000</w:t>
      </w:r>
      <w:r>
        <w:rPr>
          <w:rFonts w:ascii="KaiTi_GB2312" w:hint="eastAsia"/>
          <w:color w:val="000000"/>
        </w:rPr>
        <w:t>名左右，初中学校只有两所，学校用葡萄牙语授课。在印度尼西亚占领期间（</w:t>
      </w:r>
      <w:r>
        <w:rPr>
          <w:rFonts w:ascii="KaiTi_GB2312"/>
          <w:color w:val="000000"/>
        </w:rPr>
        <w:t>1975</w:t>
      </w:r>
      <w:r>
        <w:rPr>
          <w:rFonts w:ascii="KaiTi_GB2312" w:hint="eastAsia"/>
          <w:color w:val="000000"/>
        </w:rPr>
        <w:t>-</w:t>
      </w:r>
      <w:r>
        <w:rPr>
          <w:rFonts w:ascii="KaiTi_GB2312"/>
          <w:color w:val="000000"/>
        </w:rPr>
        <w:t>199</w:t>
      </w:r>
      <w:r>
        <w:rPr>
          <w:color w:val="000000"/>
        </w:rPr>
        <w:t>9</w:t>
      </w:r>
      <w:r>
        <w:rPr>
          <w:rFonts w:ascii="KaiTi_GB2312" w:hint="eastAsia"/>
          <w:color w:val="000000"/>
        </w:rPr>
        <w:t>年），授课语言为印度尼西亚语，小学净入学率达到74%左右（而印度尼西亚国民平均为99%），小学人口增加了一倍多（到1986年大约为</w:t>
      </w:r>
      <w:r>
        <w:rPr>
          <w:rFonts w:ascii="KaiTi_GB2312"/>
          <w:color w:val="000000"/>
        </w:rPr>
        <w:t>130,000</w:t>
      </w:r>
      <w:r>
        <w:rPr>
          <w:rFonts w:ascii="KaiTi_GB2312" w:hint="eastAsia"/>
          <w:color w:val="000000"/>
        </w:rPr>
        <w:t>人），中等教育也增长了（学校数量和入学水平都提高了），但增长速度较慢，留级率很高，效率也比较低。</w:t>
      </w:r>
    </w:p>
  </w:footnote>
  <w:footnote w:id="333">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color w:val="000000"/>
        </w:rPr>
        <w:t xml:space="preserve"> </w:t>
      </w:r>
      <w:r>
        <w:rPr>
          <w:rFonts w:ascii="KaiTi_GB2312" w:hint="eastAsia"/>
          <w:color w:val="000000"/>
        </w:rPr>
        <w:t>《东帝汶：教育与培训部门投资方案》，（2006年4月），第14页。</w:t>
      </w:r>
    </w:p>
  </w:footnote>
  <w:footnote w:id="334">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color w:val="000000"/>
          <w:sz w:val="22"/>
        </w:rPr>
        <w:footnoteRef/>
      </w:r>
      <w:r>
        <w:rPr>
          <w:rStyle w:val="FootnoteReference"/>
          <w:rFonts w:ascii="KaiTi_GB2312"/>
          <w:color w:val="000000"/>
          <w:sz w:val="22"/>
        </w:rPr>
        <w:t xml:space="preserve">  </w:t>
      </w:r>
      <w:r>
        <w:rPr>
          <w:rFonts w:ascii="KaiTi_GB2312"/>
          <w:color w:val="000000"/>
        </w:rPr>
        <w:tab/>
      </w:r>
      <w:r>
        <w:rPr>
          <w:rFonts w:ascii="KaiTi_GB2312" w:hint="eastAsia"/>
          <w:color w:val="000000"/>
        </w:rPr>
        <w:t>见世界银行，《银行援助战略：为可持续增长和减贫创造条件》， 2005年6月22日，第34页第59段。</w:t>
      </w:r>
    </w:p>
  </w:footnote>
  <w:footnote w:id="335">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color w:val="000000"/>
          <w:sz w:val="22"/>
        </w:rPr>
        <w:footnoteRef/>
      </w:r>
      <w:r>
        <w:rPr>
          <w:rStyle w:val="FootnoteReference"/>
          <w:rFonts w:ascii="KaiTi_GB2312" w:hint="eastAsia"/>
          <w:b/>
          <w:color w:val="000000"/>
          <w:sz w:val="22"/>
        </w:rPr>
        <w:t xml:space="preserve"> </w:t>
      </w:r>
      <w:r>
        <w:rPr>
          <w:rFonts w:ascii="KaiTi_GB2312"/>
          <w:b/>
          <w:color w:val="000000"/>
        </w:rPr>
        <w:tab/>
      </w:r>
      <w:r>
        <w:rPr>
          <w:rFonts w:ascii="KaiTi_GB2312" w:hint="eastAsia"/>
          <w:color w:val="000000"/>
        </w:rPr>
        <w:t>2005年7月1日提交给儿童基金会驻东帝汶办事处的《2005年6月100所友好学校评估报告》。不言而喻，该评估的重要结论之一就是：东帝汶没有将</w:t>
      </w:r>
      <w:r>
        <w:rPr>
          <w:color w:val="000000"/>
        </w:rPr>
        <w:t>《</w:t>
      </w:r>
      <w:r>
        <w:rPr>
          <w:rFonts w:ascii="KaiTi_GB2312"/>
          <w:color w:val="000000"/>
        </w:rPr>
        <w:t>儿童</w:t>
      </w:r>
      <w:r>
        <w:rPr>
          <w:color w:val="000000"/>
        </w:rPr>
        <w:t>权利公约》</w:t>
      </w:r>
      <w:r>
        <w:rPr>
          <w:rFonts w:ascii="KaiTi_GB2312" w:hint="eastAsia"/>
          <w:color w:val="000000"/>
        </w:rPr>
        <w:t>的各项原则充分纳入小学教师培训材料中。</w:t>
      </w:r>
    </w:p>
  </w:footnote>
  <w:footnote w:id="336">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color w:val="000000"/>
        </w:rPr>
        <w:t xml:space="preserve"> </w:t>
      </w:r>
      <w:r>
        <w:rPr>
          <w:rFonts w:ascii="KaiTi_GB2312" w:hint="eastAsia"/>
          <w:color w:val="000000"/>
        </w:rPr>
        <w:t>儿童基金会2006年1月9日提交的材料。</w:t>
      </w:r>
    </w:p>
  </w:footnote>
  <w:footnote w:id="337">
    <w:p w:rsidR="00692915" w:rsidRDefault="00692915" w:rsidP="009A1C1B">
      <w:pPr>
        <w:pStyle w:val="FootnoteText"/>
        <w:tabs>
          <w:tab w:val="left" w:pos="780"/>
        </w:tabs>
        <w:ind w:firstLine="31680"/>
        <w:rPr>
          <w:rStyle w:val="FootnoteReference"/>
          <w:rFonts w:ascii="KaiTi_GB2312"/>
          <w:b/>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color w:val="000000"/>
        </w:rPr>
        <w:t xml:space="preserve"> </w:t>
      </w:r>
      <w:r>
        <w:rPr>
          <w:rFonts w:ascii="KaiTi_GB2312" w:hint="eastAsia"/>
          <w:color w:val="000000"/>
        </w:rPr>
        <w:t>《东帝汶：教育与培训部门投资方案》，2005年4月，第13页。</w:t>
      </w:r>
    </w:p>
  </w:footnote>
  <w:footnote w:id="338">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color w:val="000000"/>
          <w:sz w:val="22"/>
        </w:rPr>
        <w:footnoteRef/>
      </w:r>
      <w:r>
        <w:rPr>
          <w:rFonts w:ascii="KaiTi_GB2312" w:hint="eastAsia"/>
          <w:color w:val="000000"/>
        </w:rPr>
        <w:t xml:space="preserve"> </w:t>
      </w:r>
      <w:r>
        <w:rPr>
          <w:rFonts w:ascii="KaiTi_GB2312" w:hint="eastAsia"/>
          <w:color w:val="000000"/>
        </w:rPr>
        <w:tab/>
        <w:t>儿童基金会驻东帝汶办事处，2005年，第45页和第47页。</w:t>
      </w:r>
    </w:p>
  </w:footnote>
  <w:footnote w:id="339">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b/>
          <w:bCs/>
          <w:color w:val="000000"/>
        </w:rPr>
        <w:t xml:space="preserve"> </w:t>
      </w:r>
      <w:r>
        <w:rPr>
          <w:rFonts w:ascii="KaiTi_GB2312" w:hint="eastAsia"/>
          <w:color w:val="000000"/>
        </w:rPr>
        <w:t>“《基础教育法》和《教育部组织法》</w:t>
      </w:r>
      <w:r>
        <w:rPr>
          <w:rFonts w:ascii="SimSun" w:eastAsia="SimSun" w:hAnsi="SimSun"/>
          <w:color w:val="000000"/>
        </w:rPr>
        <w:t>……</w:t>
      </w:r>
      <w:r>
        <w:rPr>
          <w:rFonts w:ascii="KaiTi_GB2312" w:hint="eastAsia"/>
          <w:color w:val="000000"/>
        </w:rPr>
        <w:t>已起草完毕，一旦部长理事会批准国民教育政策文件，这些法律文件将提请给部长理事会和议会。”——见教育部长对全民教育计划周的评论文章：“东帝汶的教育政策”（帝力，2005年6月）。</w:t>
      </w:r>
    </w:p>
  </w:footnote>
  <w:footnote w:id="340">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color w:val="000000"/>
          <w:sz w:val="22"/>
        </w:rPr>
        <w:footnoteRef/>
      </w:r>
      <w:r>
        <w:rPr>
          <w:rFonts w:ascii="KaiTi_GB2312" w:hint="eastAsia"/>
          <w:color w:val="000000"/>
        </w:rPr>
        <w:t xml:space="preserve"> </w:t>
      </w:r>
      <w:r>
        <w:rPr>
          <w:rFonts w:ascii="KaiTi_GB2312"/>
          <w:color w:val="000000"/>
        </w:rPr>
        <w:t xml:space="preserve"> </w:t>
      </w:r>
      <w:r>
        <w:rPr>
          <w:rFonts w:ascii="KaiTi_GB2312" w:hint="eastAsia"/>
          <w:color w:val="000000"/>
        </w:rPr>
        <w:t>最近，对小学的家长-教师协会进行了一次评估，评估凸显了一些家长在向学生传授传统习惯方面所起的作用。在编写本报告的过程中，与塔西陶鲁小学的孩子们进行了交谈。结果发现，孩子们一致赞成将帝汶文化和传统习惯纳入学校课程。</w:t>
      </w:r>
    </w:p>
  </w:footnote>
  <w:footnote w:id="341">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color w:val="000000"/>
        </w:rPr>
        <w:t xml:space="preserve"> </w:t>
      </w:r>
      <w:r>
        <w:rPr>
          <w:rFonts w:ascii="KaiTi_GB2312" w:hint="eastAsia"/>
          <w:color w:val="000000"/>
        </w:rPr>
        <w:t>《东帝汶：教育与培训部门投资方案》，（2006年4月）</w:t>
      </w:r>
      <w:r>
        <w:rPr>
          <w:rFonts w:hint="eastAsia"/>
          <w:color w:val="000000"/>
        </w:rPr>
        <w:t>第</w:t>
      </w:r>
      <w:r>
        <w:rPr>
          <w:rFonts w:ascii="KaiTi_GB2312" w:hint="eastAsia"/>
          <w:color w:val="000000"/>
        </w:rPr>
        <w:t>34页。</w:t>
      </w:r>
    </w:p>
  </w:footnote>
  <w:footnote w:id="342">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color w:val="000000"/>
        </w:rPr>
        <w:t xml:space="preserve"> </w:t>
      </w:r>
      <w:r>
        <w:rPr>
          <w:rFonts w:ascii="KaiTi_GB2312" w:hint="eastAsia"/>
          <w:color w:val="000000"/>
        </w:rPr>
        <w:t>本部分涉及：</w:t>
      </w:r>
    </w:p>
    <w:p w:rsidR="00692915" w:rsidRDefault="00692915" w:rsidP="009A1C1B">
      <w:pPr>
        <w:pStyle w:val="FootnoteText"/>
        <w:numPr>
          <w:ilvl w:val="0"/>
          <w:numId w:val="14"/>
        </w:numPr>
        <w:tabs>
          <w:tab w:val="clear" w:pos="1494"/>
          <w:tab w:val="left" w:pos="1170"/>
        </w:tabs>
        <w:ind w:leftChars="299" w:left="31680" w:hangingChars="177" w:firstLine="31680"/>
        <w:rPr>
          <w:rFonts w:ascii="KaiTi_GB2312"/>
          <w:bCs/>
          <w:color w:val="000000"/>
        </w:rPr>
      </w:pPr>
      <w:r>
        <w:rPr>
          <w:rFonts w:ascii="KaiTi_GB2312" w:hint="eastAsia"/>
          <w:color w:val="000000"/>
        </w:rPr>
        <w:t>《公民及政治权利国际公约》，第23条；</w:t>
      </w:r>
    </w:p>
    <w:p w:rsidR="00692915" w:rsidRDefault="00692915" w:rsidP="009A1C1B">
      <w:pPr>
        <w:pStyle w:val="FootnoteText"/>
        <w:numPr>
          <w:ilvl w:val="0"/>
          <w:numId w:val="14"/>
        </w:numPr>
        <w:tabs>
          <w:tab w:val="clear" w:pos="1494"/>
          <w:tab w:val="left" w:pos="1170"/>
        </w:tabs>
        <w:ind w:leftChars="299" w:left="31680" w:hangingChars="177" w:firstLine="31680"/>
        <w:rPr>
          <w:rFonts w:ascii="KaiTi_GB2312"/>
          <w:color w:val="000000"/>
        </w:rPr>
      </w:pPr>
      <w:r>
        <w:rPr>
          <w:rFonts w:ascii="KaiTi_GB2312" w:hint="eastAsia"/>
          <w:bCs/>
          <w:color w:val="000000"/>
        </w:rPr>
        <w:t>《</w:t>
      </w:r>
      <w:r>
        <w:rPr>
          <w:rFonts w:ascii="KaiTi_GB2312" w:hint="eastAsia"/>
          <w:color w:val="000000"/>
        </w:rPr>
        <w:t>消除对妇女一切形式歧视公约》，第16条；</w:t>
      </w:r>
    </w:p>
    <w:p w:rsidR="00692915" w:rsidRDefault="00692915" w:rsidP="009A1C1B">
      <w:pPr>
        <w:pStyle w:val="FootnoteText"/>
        <w:numPr>
          <w:ilvl w:val="0"/>
          <w:numId w:val="14"/>
        </w:numPr>
        <w:tabs>
          <w:tab w:val="clear" w:pos="1494"/>
          <w:tab w:val="left" w:pos="1170"/>
        </w:tabs>
        <w:ind w:leftChars="299" w:left="31680" w:hangingChars="177" w:firstLine="31680"/>
        <w:rPr>
          <w:rFonts w:ascii="KaiTi_GB2312"/>
          <w:color w:val="000000"/>
        </w:rPr>
      </w:pPr>
      <w:r>
        <w:rPr>
          <w:color w:val="000000"/>
        </w:rPr>
        <w:t>《儿童权利公约》</w:t>
      </w:r>
      <w:r>
        <w:rPr>
          <w:rFonts w:hint="eastAsia"/>
          <w:color w:val="000000"/>
        </w:rPr>
        <w:t>，第</w:t>
      </w:r>
      <w:r>
        <w:rPr>
          <w:rFonts w:hint="eastAsia"/>
          <w:color w:val="000000"/>
        </w:rPr>
        <w:t>5</w:t>
      </w:r>
      <w:r>
        <w:rPr>
          <w:rFonts w:hint="eastAsia"/>
          <w:color w:val="000000"/>
        </w:rPr>
        <w:t>、</w:t>
      </w:r>
      <w:r>
        <w:rPr>
          <w:rFonts w:hint="eastAsia"/>
          <w:color w:val="000000"/>
        </w:rPr>
        <w:t>18</w:t>
      </w:r>
      <w:r>
        <w:rPr>
          <w:rFonts w:hint="eastAsia"/>
          <w:color w:val="000000"/>
        </w:rPr>
        <w:t>和</w:t>
      </w:r>
      <w:r>
        <w:rPr>
          <w:rFonts w:hint="eastAsia"/>
          <w:color w:val="000000"/>
        </w:rPr>
        <w:t>20</w:t>
      </w:r>
      <w:r>
        <w:rPr>
          <w:rFonts w:hint="eastAsia"/>
          <w:color w:val="000000"/>
        </w:rPr>
        <w:t>条；</w:t>
      </w:r>
    </w:p>
    <w:p w:rsidR="00692915" w:rsidRDefault="00692915" w:rsidP="009A1C1B">
      <w:pPr>
        <w:pStyle w:val="FootnoteText"/>
        <w:numPr>
          <w:ilvl w:val="0"/>
          <w:numId w:val="14"/>
        </w:numPr>
        <w:tabs>
          <w:tab w:val="clear" w:pos="1494"/>
          <w:tab w:val="left" w:pos="1170"/>
        </w:tabs>
        <w:ind w:leftChars="299" w:left="31680" w:hangingChars="177" w:firstLine="31680"/>
        <w:rPr>
          <w:rFonts w:ascii="KaiTi_GB2312"/>
          <w:color w:val="000000"/>
        </w:rPr>
      </w:pPr>
      <w:r>
        <w:rPr>
          <w:rFonts w:hint="eastAsia"/>
          <w:color w:val="000000"/>
        </w:rPr>
        <w:t>《保护迁徙工人及其家庭成员权利国际公约》，第</w:t>
      </w:r>
      <w:r>
        <w:rPr>
          <w:rFonts w:hint="eastAsia"/>
          <w:color w:val="000000"/>
        </w:rPr>
        <w:t>44</w:t>
      </w:r>
      <w:r>
        <w:rPr>
          <w:rFonts w:hint="eastAsia"/>
          <w:color w:val="000000"/>
        </w:rPr>
        <w:t>条。</w:t>
      </w:r>
    </w:p>
    <w:p w:rsidR="00692915" w:rsidRDefault="00692915">
      <w:pPr>
        <w:pStyle w:val="FootnoteText"/>
        <w:tabs>
          <w:tab w:val="left" w:pos="1170"/>
        </w:tabs>
        <w:spacing w:line="20" w:lineRule="exact"/>
        <w:ind w:firstLineChars="0" w:firstLine="0"/>
        <w:rPr>
          <w:rStyle w:val="FootnoteReference"/>
          <w:rFonts w:ascii="KaiTi_GB2312"/>
          <w:b/>
          <w:bCs/>
          <w:color w:val="000000"/>
          <w:sz w:val="22"/>
        </w:rPr>
      </w:pPr>
    </w:p>
  </w:footnote>
  <w:footnote w:id="343">
    <w:p w:rsidR="00692915" w:rsidRDefault="00692915" w:rsidP="009A1C1B">
      <w:pPr>
        <w:pStyle w:val="FootnoteText"/>
        <w:tabs>
          <w:tab w:val="left" w:pos="780"/>
        </w:tabs>
        <w:ind w:firstLine="31680"/>
        <w:rPr>
          <w:rStyle w:val="FootnoteReference"/>
          <w:rFonts w:ascii="KaiTi_GB2312"/>
          <w:b/>
          <w:bCs/>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hint="eastAsia"/>
          <w:bCs/>
          <w:color w:val="000000"/>
        </w:rPr>
        <w:t>《</w:t>
      </w:r>
      <w:r>
        <w:rPr>
          <w:rFonts w:ascii="KaiTi_GB2312"/>
          <w:color w:val="000000"/>
        </w:rPr>
        <w:t>东帝汶</w:t>
      </w:r>
      <w:r>
        <w:rPr>
          <w:color w:val="000000"/>
        </w:rPr>
        <w:t>民主共和国宪法</w:t>
      </w:r>
      <w:r>
        <w:rPr>
          <w:rFonts w:ascii="KaiTi_GB2312" w:hint="eastAsia"/>
          <w:bCs/>
          <w:color w:val="000000"/>
        </w:rPr>
        <w:t>》，第39（1）条。</w:t>
      </w:r>
    </w:p>
  </w:footnote>
  <w:footnote w:id="344">
    <w:p w:rsidR="00692915" w:rsidRDefault="00692915" w:rsidP="009A1C1B">
      <w:pPr>
        <w:pStyle w:val="FootnoteText"/>
        <w:tabs>
          <w:tab w:val="left" w:pos="780"/>
        </w:tabs>
        <w:ind w:firstLine="31680"/>
        <w:rPr>
          <w:rStyle w:val="FootnoteReference"/>
          <w:rFonts w:ascii="KaiTi_GB2312"/>
          <w:b/>
          <w:bCs/>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hint="eastAsia"/>
          <w:bCs/>
          <w:color w:val="000000"/>
        </w:rPr>
        <w:t>《</w:t>
      </w:r>
      <w:r>
        <w:rPr>
          <w:color w:val="000000"/>
        </w:rPr>
        <w:t>东帝汶民主共和国宪法</w:t>
      </w:r>
      <w:r>
        <w:rPr>
          <w:rFonts w:ascii="KaiTi_GB2312" w:hint="eastAsia"/>
          <w:bCs/>
          <w:color w:val="000000"/>
        </w:rPr>
        <w:t>》，第39（2）条。</w:t>
      </w:r>
    </w:p>
  </w:footnote>
  <w:footnote w:id="345">
    <w:p w:rsidR="00692915" w:rsidRDefault="00692915" w:rsidP="009A1C1B">
      <w:pPr>
        <w:pStyle w:val="FootnoteText"/>
        <w:tabs>
          <w:tab w:val="left" w:pos="780"/>
        </w:tabs>
        <w:ind w:firstLine="31680"/>
        <w:rPr>
          <w:rStyle w:val="FootnoteReference"/>
          <w:rFonts w:ascii="KaiTi_GB2312" w:hint="eastAsia"/>
          <w:b/>
          <w:bCs/>
          <w:color w:val="000000"/>
          <w:sz w:val="22"/>
        </w:rPr>
      </w:pPr>
      <w:r>
        <w:rPr>
          <w:rStyle w:val="FootnoteReference"/>
          <w:rFonts w:ascii="KaiTi_GB2312"/>
          <w:color w:val="000000"/>
          <w:sz w:val="22"/>
        </w:rPr>
        <w:footnoteRef/>
      </w:r>
      <w:r>
        <w:rPr>
          <w:rFonts w:ascii="KaiTi_GB2312" w:hint="eastAsia"/>
          <w:bCs/>
          <w:color w:val="000000"/>
        </w:rPr>
        <w:t xml:space="preserve"> </w:t>
      </w:r>
      <w:r>
        <w:rPr>
          <w:rFonts w:ascii="KaiTi_GB2312"/>
          <w:bCs/>
          <w:color w:val="000000"/>
        </w:rPr>
        <w:tab/>
      </w:r>
      <w:r>
        <w:rPr>
          <w:rFonts w:ascii="KaiTi_GB2312" w:hint="eastAsia"/>
          <w:bCs/>
          <w:color w:val="000000"/>
        </w:rPr>
        <w:t>即将出台的《东帝汶民主共和国反家庭暴力法》，第4条。</w:t>
      </w:r>
    </w:p>
  </w:footnote>
  <w:footnote w:id="346">
    <w:p w:rsidR="00692915" w:rsidRDefault="00692915" w:rsidP="009A1C1B">
      <w:pPr>
        <w:pStyle w:val="FootnoteText"/>
        <w:tabs>
          <w:tab w:val="left" w:pos="780"/>
        </w:tabs>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color w:val="000000"/>
          <w:sz w:val="22"/>
        </w:rPr>
        <w:t xml:space="preserve">  </w:t>
      </w:r>
      <w:r>
        <w:rPr>
          <w:rFonts w:ascii="KaiTi_GB2312"/>
          <w:color w:val="000000"/>
        </w:rPr>
        <w:tab/>
      </w:r>
      <w:r>
        <w:rPr>
          <w:rFonts w:ascii="KaiTi_GB2312" w:hint="eastAsia"/>
          <w:bCs/>
          <w:color w:val="000000"/>
        </w:rPr>
        <w:t>即将出台的《东帝汶民主共和国反家庭暴力法》，第5（1）条。</w:t>
      </w:r>
    </w:p>
  </w:footnote>
  <w:footnote w:id="347">
    <w:p w:rsidR="00692915" w:rsidRDefault="00692915" w:rsidP="009A1C1B">
      <w:pPr>
        <w:pStyle w:val="FootnoteText"/>
        <w:tabs>
          <w:tab w:val="left" w:pos="780"/>
        </w:tabs>
        <w:ind w:firstLine="31680"/>
        <w:rPr>
          <w:rStyle w:val="FootnoteReference"/>
          <w:rFonts w:ascii="KaiTi_GB2312"/>
          <w:b/>
          <w:bCs/>
          <w:color w:val="000000"/>
          <w:sz w:val="22"/>
        </w:rPr>
      </w:pPr>
      <w:r>
        <w:rPr>
          <w:rStyle w:val="FootnoteReference"/>
          <w:rFonts w:ascii="KaiTi_GB2312"/>
          <w:color w:val="000000"/>
          <w:sz w:val="22"/>
        </w:rPr>
        <w:footnoteRef/>
      </w:r>
      <w:r>
        <w:rPr>
          <w:rStyle w:val="FootnoteReference"/>
          <w:rFonts w:ascii="KaiTi_GB2312"/>
          <w:color w:val="000000"/>
          <w:sz w:val="22"/>
        </w:rPr>
        <w:t xml:space="preserve">  </w:t>
      </w:r>
      <w:r>
        <w:rPr>
          <w:rStyle w:val="FootnoteReference"/>
          <w:rFonts w:ascii="KaiTi_GB2312" w:hint="eastAsia"/>
          <w:b/>
          <w:bCs/>
          <w:color w:val="000000"/>
          <w:sz w:val="22"/>
        </w:rPr>
        <w:t xml:space="preserve"> </w:t>
      </w:r>
      <w:r>
        <w:rPr>
          <w:rFonts w:ascii="KaiTi_GB2312" w:hint="eastAsia"/>
          <w:bCs/>
          <w:color w:val="000000"/>
        </w:rPr>
        <w:t>即将出台的《东帝汶民主共和国反家庭暴力法》，第5（2）条。</w:t>
      </w:r>
    </w:p>
  </w:footnote>
  <w:footnote w:id="348">
    <w:p w:rsidR="00692915" w:rsidRDefault="00692915" w:rsidP="009A1C1B">
      <w:pPr>
        <w:pStyle w:val="FootnoteText"/>
        <w:tabs>
          <w:tab w:val="left" w:pos="780"/>
        </w:tabs>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color w:val="000000"/>
          <w:sz w:val="22"/>
        </w:rPr>
        <w:t xml:space="preserve">  </w:t>
      </w:r>
      <w:r>
        <w:rPr>
          <w:rFonts w:ascii="KaiTi_GB2312" w:hint="eastAsia"/>
          <w:color w:val="000000"/>
        </w:rPr>
        <w:tab/>
      </w:r>
      <w:r>
        <w:rPr>
          <w:rFonts w:ascii="KaiTi_GB2312" w:hint="eastAsia"/>
          <w:bCs/>
          <w:color w:val="000000"/>
        </w:rPr>
        <w:t>在磋商会议过程中，</w:t>
      </w:r>
      <w:r>
        <w:rPr>
          <w:color w:val="000000"/>
        </w:rPr>
        <w:t>科瓦利马</w:t>
      </w:r>
      <w:r>
        <w:rPr>
          <w:rFonts w:ascii="KaiTi_GB2312" w:hint="eastAsia"/>
          <w:bCs/>
          <w:color w:val="000000"/>
        </w:rPr>
        <w:t>被作为该项规则的一个例外，因为该地区主要为母系。</w:t>
      </w:r>
    </w:p>
  </w:footnote>
  <w:footnote w:id="349">
    <w:p w:rsidR="00692915" w:rsidRDefault="00692915" w:rsidP="009A1C1B">
      <w:pPr>
        <w:pStyle w:val="FootnoteText"/>
        <w:tabs>
          <w:tab w:val="left" w:pos="780"/>
        </w:tabs>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color w:val="000000"/>
          <w:sz w:val="22"/>
        </w:rPr>
        <w:t xml:space="preserve">  </w:t>
      </w:r>
      <w:r>
        <w:rPr>
          <w:rFonts w:ascii="KaiTi_GB2312" w:hint="eastAsia"/>
          <w:color w:val="000000"/>
        </w:rPr>
        <w:tab/>
      </w:r>
      <w:r>
        <w:rPr>
          <w:rFonts w:ascii="KaiTi_GB2312"/>
          <w:bCs/>
          <w:color w:val="000000"/>
        </w:rPr>
        <w:t>索菲</w:t>
      </w:r>
      <w:r>
        <w:rPr>
          <w:rFonts w:ascii="KaiTi_GB2312" w:hint="eastAsia"/>
          <w:bCs/>
          <w:color w:val="000000"/>
        </w:rPr>
        <w:t>·</w:t>
      </w:r>
      <w:r>
        <w:rPr>
          <w:rFonts w:ascii="KaiTi_GB2312"/>
          <w:bCs/>
          <w:color w:val="000000"/>
        </w:rPr>
        <w:t>奥斯皮纳和坦雅</w:t>
      </w:r>
      <w:r>
        <w:rPr>
          <w:rFonts w:ascii="KaiTi_GB2312"/>
          <w:bCs/>
          <w:color w:val="000000"/>
        </w:rPr>
        <w:t>·</w:t>
      </w:r>
      <w:r>
        <w:rPr>
          <w:rFonts w:ascii="KaiTi_GB2312"/>
          <w:bCs/>
          <w:color w:val="000000"/>
        </w:rPr>
        <w:t>霍赫</w:t>
      </w:r>
      <w:r>
        <w:rPr>
          <w:rFonts w:ascii="KaiTi_GB2312" w:hint="eastAsia"/>
          <w:bCs/>
          <w:color w:val="000000"/>
        </w:rPr>
        <w:t>；《</w:t>
      </w:r>
      <w:r>
        <w:rPr>
          <w:rFonts w:ascii="KaiTi_GB2312"/>
          <w:bCs/>
          <w:color w:val="000000"/>
        </w:rPr>
        <w:t>东帝汶传统</w:t>
      </w:r>
      <w:r>
        <w:rPr>
          <w:rFonts w:ascii="KaiTi_GB2312" w:hint="eastAsia"/>
          <w:bCs/>
          <w:color w:val="000000"/>
        </w:rPr>
        <w:t>权力</w:t>
      </w:r>
      <w:r>
        <w:rPr>
          <w:rFonts w:ascii="KaiTi_GB2312"/>
          <w:bCs/>
          <w:color w:val="000000"/>
        </w:rPr>
        <w:t>结构与地方</w:t>
      </w:r>
      <w:r>
        <w:rPr>
          <w:rFonts w:ascii="KaiTi_GB2312" w:hint="eastAsia"/>
          <w:bCs/>
          <w:color w:val="000000"/>
        </w:rPr>
        <w:t>治理——赋予</w:t>
      </w:r>
      <w:r>
        <w:rPr>
          <w:rFonts w:ascii="KaiTi_GB2312"/>
          <w:bCs/>
          <w:color w:val="000000"/>
        </w:rPr>
        <w:t>社区</w:t>
      </w:r>
      <w:r>
        <w:rPr>
          <w:rFonts w:ascii="KaiTi_GB2312" w:hint="eastAsia"/>
          <w:bCs/>
          <w:color w:val="000000"/>
        </w:rPr>
        <w:t>权力项目</w:t>
      </w:r>
      <w:r>
        <w:rPr>
          <w:rFonts w:ascii="KaiTi_GB2312"/>
          <w:bCs/>
          <w:color w:val="000000"/>
        </w:rPr>
        <w:t>（CEP）</w:t>
      </w:r>
      <w:r>
        <w:rPr>
          <w:rFonts w:ascii="KaiTi_GB2312" w:hint="eastAsia"/>
          <w:bCs/>
          <w:color w:val="000000"/>
        </w:rPr>
        <w:t>的个案研究》</w:t>
      </w:r>
      <w:r>
        <w:rPr>
          <w:rFonts w:ascii="KaiTi_GB2312"/>
          <w:bCs/>
          <w:color w:val="000000"/>
        </w:rPr>
        <w:t>,</w:t>
      </w:r>
      <w:r>
        <w:rPr>
          <w:rFonts w:ascii="KaiTi_GB2312" w:hint="eastAsia"/>
          <w:bCs/>
          <w:color w:val="000000"/>
        </w:rPr>
        <w:t>（2001年）</w:t>
      </w:r>
      <w:r>
        <w:rPr>
          <w:rFonts w:hint="eastAsia"/>
          <w:color w:val="000000"/>
        </w:rPr>
        <w:t>第</w:t>
      </w:r>
      <w:r>
        <w:rPr>
          <w:rFonts w:ascii="KaiTi_GB2312" w:hint="eastAsia"/>
          <w:bCs/>
          <w:color w:val="000000"/>
        </w:rPr>
        <w:t>21页。</w:t>
      </w:r>
    </w:p>
  </w:footnote>
  <w:footnote w:id="350">
    <w:p w:rsidR="00692915" w:rsidRDefault="00692915" w:rsidP="009A1C1B">
      <w:pPr>
        <w:pStyle w:val="FootnoteText"/>
        <w:tabs>
          <w:tab w:val="left" w:pos="780"/>
        </w:tabs>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color w:val="000000"/>
          <w:sz w:val="22"/>
        </w:rPr>
        <w:t xml:space="preserve">  </w:t>
      </w:r>
      <w:r>
        <w:rPr>
          <w:rFonts w:ascii="KaiTi_GB2312" w:hint="eastAsia"/>
          <w:color w:val="000000"/>
        </w:rPr>
        <w:tab/>
      </w:r>
      <w:r>
        <w:rPr>
          <w:rFonts w:ascii="KaiTi_GB2312" w:hint="eastAsia"/>
          <w:bCs/>
          <w:color w:val="000000"/>
        </w:rPr>
        <w:t>迪奥尼西奥·</w:t>
      </w:r>
      <w:r>
        <w:rPr>
          <w:rFonts w:ascii="KaiTi_GB2312"/>
          <w:bCs/>
          <w:color w:val="000000"/>
        </w:rPr>
        <w:t>C.B.</w:t>
      </w:r>
      <w:r>
        <w:rPr>
          <w:rFonts w:ascii="KaiTi_GB2312" w:hint="eastAsia"/>
          <w:bCs/>
          <w:color w:val="000000"/>
        </w:rPr>
        <w:t>索雷斯；《东帝汶传统法律作用的简要回顾》，（1999年），第7页</w:t>
      </w:r>
      <w:r>
        <w:rPr>
          <w:rStyle w:val="FootnoteReference"/>
          <w:rFonts w:ascii="KaiTi_GB2312" w:hint="eastAsia"/>
          <w:color w:val="000000"/>
          <w:sz w:val="22"/>
          <w:vertAlign w:val="baseline"/>
        </w:rPr>
        <w:t>。</w:t>
      </w:r>
    </w:p>
  </w:footnote>
  <w:footnote w:id="351">
    <w:p w:rsidR="00692915" w:rsidRDefault="00692915" w:rsidP="009A1C1B">
      <w:pPr>
        <w:pStyle w:val="FootnoteText"/>
        <w:tabs>
          <w:tab w:val="left" w:pos="780"/>
        </w:tabs>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color w:val="000000"/>
          <w:sz w:val="22"/>
        </w:rPr>
        <w:t xml:space="preserve">  </w:t>
      </w:r>
      <w:r>
        <w:rPr>
          <w:rFonts w:ascii="KaiTi_GB2312" w:hint="eastAsia"/>
          <w:color w:val="000000"/>
        </w:rPr>
        <w:tab/>
      </w:r>
      <w:r>
        <w:rPr>
          <w:color w:val="000000"/>
        </w:rPr>
        <w:t>索菲</w:t>
      </w:r>
      <w:r>
        <w:rPr>
          <w:color w:val="000000"/>
        </w:rPr>
        <w:t>·</w:t>
      </w:r>
      <w:r>
        <w:rPr>
          <w:color w:val="000000"/>
        </w:rPr>
        <w:t>奥斯皮纳和坦雅</w:t>
      </w:r>
      <w:r>
        <w:rPr>
          <w:color w:val="000000"/>
        </w:rPr>
        <w:t>·</w:t>
      </w:r>
      <w:r>
        <w:rPr>
          <w:color w:val="000000"/>
        </w:rPr>
        <w:t>霍赫</w:t>
      </w:r>
      <w:r>
        <w:rPr>
          <w:rFonts w:ascii="KaiTi_GB2312" w:hint="eastAsia"/>
          <w:bCs/>
          <w:color w:val="000000"/>
        </w:rPr>
        <w:t>：</w:t>
      </w:r>
      <w:r>
        <w:rPr>
          <w:rFonts w:hint="eastAsia"/>
          <w:color w:val="000000"/>
        </w:rPr>
        <w:t>《</w:t>
      </w:r>
      <w:r>
        <w:rPr>
          <w:bCs/>
          <w:color w:val="000000"/>
        </w:rPr>
        <w:t>东帝汶传统</w:t>
      </w:r>
      <w:r>
        <w:rPr>
          <w:rFonts w:ascii="KaiTi_GB2312" w:hint="eastAsia"/>
          <w:bCs/>
          <w:color w:val="000000"/>
        </w:rPr>
        <w:t>权力</w:t>
      </w:r>
      <w:r>
        <w:rPr>
          <w:bCs/>
          <w:color w:val="000000"/>
        </w:rPr>
        <w:t>结构与地方</w:t>
      </w:r>
      <w:r>
        <w:rPr>
          <w:rFonts w:hint="eastAsia"/>
          <w:bCs/>
          <w:color w:val="000000"/>
        </w:rPr>
        <w:t>治理——</w:t>
      </w:r>
      <w:r>
        <w:rPr>
          <w:rFonts w:ascii="KaiTi_GB2312" w:hint="eastAsia"/>
          <w:bCs/>
          <w:color w:val="000000"/>
        </w:rPr>
        <w:t>赋予</w:t>
      </w:r>
      <w:r>
        <w:rPr>
          <w:bCs/>
          <w:color w:val="000000"/>
        </w:rPr>
        <w:t>社区</w:t>
      </w:r>
      <w:r>
        <w:rPr>
          <w:rFonts w:hint="eastAsia"/>
          <w:bCs/>
          <w:color w:val="000000"/>
        </w:rPr>
        <w:t>权力项目</w:t>
      </w:r>
      <w:r>
        <w:rPr>
          <w:color w:val="000000"/>
        </w:rPr>
        <w:t>（</w:t>
      </w:r>
      <w:r>
        <w:rPr>
          <w:color w:val="000000"/>
        </w:rPr>
        <w:t>CEP</w:t>
      </w:r>
      <w:r>
        <w:rPr>
          <w:color w:val="000000"/>
        </w:rPr>
        <w:t>）</w:t>
      </w:r>
      <w:r>
        <w:rPr>
          <w:rFonts w:ascii="KaiTi_GB2312" w:hint="eastAsia"/>
          <w:bCs/>
          <w:color w:val="000000"/>
        </w:rPr>
        <w:t>的个案研究</w:t>
      </w:r>
      <w:r>
        <w:rPr>
          <w:rFonts w:hint="eastAsia"/>
          <w:color w:val="000000"/>
        </w:rPr>
        <w:t>》，</w:t>
      </w:r>
      <w:r>
        <w:rPr>
          <w:rFonts w:ascii="KaiTi_GB2312" w:hint="eastAsia"/>
          <w:bCs/>
          <w:color w:val="000000"/>
        </w:rPr>
        <w:t>（</w:t>
      </w:r>
      <w:r>
        <w:rPr>
          <w:rFonts w:hint="eastAsia"/>
          <w:color w:val="000000"/>
        </w:rPr>
        <w:t>2001</w:t>
      </w:r>
      <w:r>
        <w:rPr>
          <w:rFonts w:hint="eastAsia"/>
          <w:color w:val="000000"/>
        </w:rPr>
        <w:t>年</w:t>
      </w:r>
      <w:r>
        <w:rPr>
          <w:rFonts w:ascii="KaiTi_GB2312" w:hint="eastAsia"/>
          <w:bCs/>
          <w:color w:val="000000"/>
        </w:rPr>
        <w:t>），</w:t>
      </w:r>
      <w:r>
        <w:rPr>
          <w:rFonts w:hint="eastAsia"/>
          <w:color w:val="000000"/>
        </w:rPr>
        <w:t>第</w:t>
      </w:r>
      <w:r>
        <w:rPr>
          <w:color w:val="000000"/>
        </w:rPr>
        <w:t>80</w:t>
      </w:r>
      <w:r>
        <w:rPr>
          <w:rFonts w:hint="eastAsia"/>
          <w:color w:val="000000"/>
        </w:rPr>
        <w:t>页。</w:t>
      </w:r>
    </w:p>
  </w:footnote>
  <w:footnote w:id="352">
    <w:p w:rsidR="00692915" w:rsidRDefault="00692915" w:rsidP="009A1C1B">
      <w:pPr>
        <w:pStyle w:val="FootnoteText"/>
        <w:tabs>
          <w:tab w:val="left" w:pos="780"/>
        </w:tabs>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color w:val="000000"/>
          <w:sz w:val="22"/>
        </w:rPr>
        <w:t xml:space="preserve">  </w:t>
      </w:r>
      <w:r>
        <w:rPr>
          <w:rFonts w:ascii="KaiTi_GB2312" w:hint="eastAsia"/>
          <w:bCs/>
          <w:color w:val="000000"/>
        </w:rPr>
        <w:t>2006年1月9日儿童基金会提交的材料。</w:t>
      </w:r>
    </w:p>
  </w:footnote>
  <w:footnote w:id="353">
    <w:p w:rsidR="00692915" w:rsidRDefault="00692915" w:rsidP="009A1C1B">
      <w:pPr>
        <w:pStyle w:val="FootnoteText"/>
        <w:tabs>
          <w:tab w:val="left" w:pos="780"/>
        </w:tabs>
        <w:ind w:firstLine="31680"/>
        <w:rPr>
          <w:rStyle w:val="FootnoteReference"/>
          <w:rFonts w:ascii="KaiTi_GB2312"/>
          <w:b/>
          <w:bCs/>
          <w:color w:val="000000"/>
          <w:sz w:val="22"/>
        </w:rPr>
      </w:pPr>
      <w:r>
        <w:rPr>
          <w:rStyle w:val="FootnoteReference"/>
          <w:rFonts w:ascii="KaiTi_GB2312"/>
          <w:color w:val="000000"/>
          <w:sz w:val="22"/>
        </w:rPr>
        <w:footnoteRef/>
      </w:r>
      <w:r>
        <w:rPr>
          <w:rStyle w:val="FootnoteReference"/>
          <w:rFonts w:ascii="KaiTi_GB2312"/>
          <w:color w:val="000000"/>
          <w:sz w:val="22"/>
        </w:rPr>
        <w:t xml:space="preserve">  </w:t>
      </w:r>
      <w:r>
        <w:rPr>
          <w:rFonts w:ascii="KaiTi_GB2312" w:hint="eastAsia"/>
          <w:color w:val="000000"/>
        </w:rPr>
        <w:tab/>
        <w:t>有关《</w:t>
      </w:r>
      <w:r>
        <w:rPr>
          <w:rFonts w:ascii="KaiTi_GB2312" w:hint="eastAsia"/>
          <w:bCs/>
          <w:color w:val="000000"/>
        </w:rPr>
        <w:t>消除对妇女一切形式歧视公约》的区域公约报告及社会化问题研讨会的结果（2005年）。</w:t>
      </w:r>
    </w:p>
  </w:footnote>
  <w:footnote w:id="354">
    <w:p w:rsidR="00692915" w:rsidRDefault="00692915" w:rsidP="009A1C1B">
      <w:pPr>
        <w:pStyle w:val="FootnoteText"/>
        <w:tabs>
          <w:tab w:val="left" w:pos="780"/>
        </w:tabs>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color w:val="000000"/>
          <w:sz w:val="22"/>
        </w:rPr>
        <w:t xml:space="preserve">  </w:t>
      </w:r>
      <w:r>
        <w:rPr>
          <w:rFonts w:ascii="KaiTi_GB2312" w:hint="eastAsia"/>
          <w:color w:val="000000"/>
        </w:rPr>
        <w:tab/>
      </w:r>
      <w:r>
        <w:rPr>
          <w:rFonts w:ascii="KaiTi_GB2312" w:hint="eastAsia"/>
          <w:bCs/>
          <w:color w:val="000000"/>
        </w:rPr>
        <w:t>根据地区协商会议的报告，属于这种情况的有：</w:t>
      </w:r>
      <w:r>
        <w:rPr>
          <w:rFonts w:ascii="KaiTi_GB2312" w:hAnsi="SimSun" w:hint="eastAsia"/>
          <w:iCs/>
          <w:color w:val="000000"/>
          <w:szCs w:val="30"/>
        </w:rPr>
        <w:t>波波纳罗、豪巴县、欧库西和马纳图托。</w:t>
      </w:r>
    </w:p>
  </w:footnote>
  <w:footnote w:id="355">
    <w:p w:rsidR="00692915" w:rsidRDefault="00692915" w:rsidP="009A1C1B">
      <w:pPr>
        <w:pStyle w:val="FootnoteText"/>
        <w:tabs>
          <w:tab w:val="left" w:pos="780"/>
        </w:tabs>
        <w:ind w:firstLine="31680"/>
        <w:rPr>
          <w:rStyle w:val="FootnoteReference"/>
          <w:rFonts w:ascii="KaiTi_GB2312"/>
          <w:b/>
          <w:bCs/>
          <w:color w:val="000000"/>
          <w:sz w:val="22"/>
        </w:rPr>
      </w:pPr>
      <w:r>
        <w:rPr>
          <w:rStyle w:val="FootnoteReference"/>
          <w:rFonts w:ascii="KaiTi_GB2312"/>
          <w:color w:val="000000"/>
          <w:sz w:val="22"/>
        </w:rPr>
        <w:footnoteRef/>
      </w:r>
      <w:r>
        <w:rPr>
          <w:rStyle w:val="FootnoteReference"/>
          <w:rFonts w:ascii="KaiTi_GB2312"/>
          <w:color w:val="000000"/>
          <w:sz w:val="22"/>
        </w:rPr>
        <w:t xml:space="preserve"> </w:t>
      </w:r>
      <w:r>
        <w:rPr>
          <w:rFonts w:ascii="KaiTi_GB2312" w:hint="eastAsia"/>
          <w:bCs/>
          <w:color w:val="000000"/>
        </w:rPr>
        <w:t xml:space="preserve"> 国际牛津饥荒救济会，《妇女有效参与成人教育项目的障碍：聚焦社会文化因素》（2004年），第17页。</w:t>
      </w:r>
    </w:p>
  </w:footnote>
  <w:footnote w:id="356">
    <w:p w:rsidR="00692915" w:rsidRDefault="00692915" w:rsidP="009A1C1B">
      <w:pPr>
        <w:pStyle w:val="FootnoteText"/>
        <w:tabs>
          <w:tab w:val="left" w:pos="780"/>
        </w:tabs>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color w:val="000000"/>
          <w:sz w:val="22"/>
        </w:rPr>
        <w:t xml:space="preserve">  </w:t>
      </w:r>
      <w:r>
        <w:rPr>
          <w:rFonts w:ascii="KaiTi_GB2312" w:hint="eastAsia"/>
          <w:color w:val="000000"/>
        </w:rPr>
        <w:tab/>
      </w:r>
      <w:r>
        <w:rPr>
          <w:rFonts w:ascii="KaiTi_GB2312" w:hint="eastAsia"/>
          <w:bCs/>
          <w:color w:val="000000"/>
        </w:rPr>
        <w:t>例如，据报道，</w:t>
      </w:r>
      <w:r>
        <w:rPr>
          <w:color w:val="000000"/>
        </w:rPr>
        <w:t>马利亚纳</w:t>
      </w:r>
      <w:r>
        <w:rPr>
          <w:rFonts w:hint="eastAsia"/>
          <w:color w:val="000000"/>
        </w:rPr>
        <w:t>、</w:t>
      </w:r>
      <w:r>
        <w:rPr>
          <w:color w:val="000000"/>
        </w:rPr>
        <w:t xml:space="preserve"> </w:t>
      </w:r>
      <w:r>
        <w:rPr>
          <w:color w:val="000000"/>
        </w:rPr>
        <w:t>欧库西</w:t>
      </w:r>
      <w:r>
        <w:rPr>
          <w:rFonts w:hint="eastAsia"/>
          <w:color w:val="000000"/>
        </w:rPr>
        <w:t>、</w:t>
      </w:r>
      <w:r>
        <w:rPr>
          <w:color w:val="000000"/>
        </w:rPr>
        <w:t>埃尔梅拉</w:t>
      </w:r>
      <w:r>
        <w:rPr>
          <w:rFonts w:hint="eastAsia"/>
          <w:color w:val="000000"/>
        </w:rPr>
        <w:t>和</w:t>
      </w:r>
      <w:r>
        <w:rPr>
          <w:color w:val="000000"/>
        </w:rPr>
        <w:t>马纳图托</w:t>
      </w:r>
      <w:r>
        <w:rPr>
          <w:rFonts w:ascii="KaiTi_GB2312" w:hint="eastAsia"/>
          <w:bCs/>
          <w:color w:val="000000"/>
        </w:rPr>
        <w:t>情况就是如此。</w:t>
      </w:r>
    </w:p>
  </w:footnote>
  <w:footnote w:id="357">
    <w:p w:rsidR="00692915" w:rsidRDefault="00692915" w:rsidP="009A1C1B">
      <w:pPr>
        <w:pStyle w:val="FootnoteText"/>
        <w:tabs>
          <w:tab w:val="left" w:pos="780"/>
        </w:tabs>
        <w:ind w:firstLine="31680"/>
        <w:rPr>
          <w:rStyle w:val="FootnoteReference"/>
          <w:rFonts w:ascii="KaiTi_GB2312"/>
          <w:b/>
          <w:bCs/>
          <w:color w:val="000000"/>
          <w:sz w:val="22"/>
        </w:rPr>
      </w:pPr>
      <w:r>
        <w:rPr>
          <w:rStyle w:val="FootnoteReference"/>
          <w:rFonts w:ascii="KaiTi_GB2312"/>
          <w:color w:val="000000"/>
          <w:sz w:val="22"/>
        </w:rPr>
        <w:footnoteRef/>
      </w:r>
      <w:r>
        <w:rPr>
          <w:rStyle w:val="FootnoteReference"/>
          <w:rFonts w:ascii="KaiTi_GB2312"/>
          <w:color w:val="000000"/>
          <w:sz w:val="22"/>
        </w:rPr>
        <w:t xml:space="preserve">  </w:t>
      </w:r>
      <w:r>
        <w:rPr>
          <w:rFonts w:ascii="KaiTi_GB2312" w:hint="eastAsia"/>
          <w:color w:val="000000"/>
        </w:rPr>
        <w:tab/>
        <w:t>有关《</w:t>
      </w:r>
      <w:r>
        <w:rPr>
          <w:rFonts w:ascii="KaiTi_GB2312" w:hint="eastAsia"/>
          <w:bCs/>
          <w:color w:val="000000"/>
        </w:rPr>
        <w:t>消除对妇女一切形式歧视公约》的区域公约报告研讨会，小组讨论结果（2005年）。</w:t>
      </w:r>
    </w:p>
  </w:footnote>
  <w:footnote w:id="358">
    <w:p w:rsidR="00692915" w:rsidRDefault="00692915" w:rsidP="009A1C1B">
      <w:pPr>
        <w:pStyle w:val="FootnoteText"/>
        <w:tabs>
          <w:tab w:val="left" w:pos="780"/>
        </w:tabs>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color w:val="000000"/>
          <w:sz w:val="22"/>
        </w:rPr>
        <w:t xml:space="preserve">  </w:t>
      </w:r>
      <w:r>
        <w:rPr>
          <w:rFonts w:ascii="KaiTi_GB2312" w:hint="eastAsia"/>
          <w:color w:val="000000"/>
        </w:rPr>
        <w:tab/>
      </w:r>
      <w:r>
        <w:rPr>
          <w:rFonts w:ascii="KaiTi_GB2312" w:hint="eastAsia"/>
          <w:bCs/>
          <w:color w:val="000000"/>
        </w:rPr>
        <w:t>地区协商会议结果显示，一夫多妻制在东帝汶继续存在。例如在</w:t>
      </w:r>
      <w:r>
        <w:rPr>
          <w:color w:val="000000"/>
        </w:rPr>
        <w:t>埃尔梅拉</w:t>
      </w:r>
      <w:r>
        <w:rPr>
          <w:rFonts w:ascii="KaiTi_GB2312" w:hint="eastAsia"/>
          <w:bCs/>
          <w:color w:val="000000"/>
        </w:rPr>
        <w:t>，与会者汇报了他们所拥有妻子的数量。当然，一夫多妻制不仅在</w:t>
      </w:r>
      <w:r>
        <w:rPr>
          <w:color w:val="000000"/>
        </w:rPr>
        <w:t>埃尔梅拉</w:t>
      </w:r>
      <w:r>
        <w:rPr>
          <w:rFonts w:ascii="KaiTi_GB2312" w:hint="eastAsia"/>
          <w:bCs/>
          <w:color w:val="000000"/>
        </w:rPr>
        <w:t>地区存在，在其他地区也存在。</w:t>
      </w:r>
    </w:p>
  </w:footnote>
  <w:footnote w:id="359">
    <w:p w:rsidR="00692915" w:rsidRDefault="00692915" w:rsidP="009A1C1B">
      <w:pPr>
        <w:pStyle w:val="FootnoteText"/>
        <w:tabs>
          <w:tab w:val="left" w:pos="780"/>
        </w:tabs>
        <w:ind w:firstLine="31680"/>
        <w:rPr>
          <w:rStyle w:val="FootnoteReference"/>
          <w:rFonts w:ascii="KaiTi_GB2312"/>
          <w:b/>
          <w:bCs/>
          <w:color w:val="000000"/>
          <w:sz w:val="22"/>
        </w:rPr>
      </w:pPr>
      <w:r>
        <w:rPr>
          <w:rStyle w:val="FootnoteReference"/>
          <w:rFonts w:ascii="KaiTi_GB2312"/>
          <w:color w:val="000000"/>
          <w:sz w:val="22"/>
        </w:rPr>
        <w:footnoteRef/>
      </w:r>
      <w:r>
        <w:rPr>
          <w:rStyle w:val="FootnoteReference"/>
          <w:rFonts w:ascii="KaiTi_GB2312"/>
          <w:color w:val="000000"/>
          <w:sz w:val="22"/>
        </w:rPr>
        <w:t xml:space="preserve">  </w:t>
      </w:r>
      <w:r>
        <w:rPr>
          <w:rFonts w:ascii="KaiTi_GB2312" w:hint="eastAsia"/>
          <w:color w:val="000000"/>
        </w:rPr>
        <w:tab/>
      </w:r>
      <w:r>
        <w:rPr>
          <w:color w:val="000000"/>
        </w:rPr>
        <w:t>索菲</w:t>
      </w:r>
      <w:r>
        <w:rPr>
          <w:rFonts w:hint="eastAsia"/>
          <w:color w:val="000000"/>
        </w:rPr>
        <w:t>·</w:t>
      </w:r>
      <w:r>
        <w:rPr>
          <w:color w:val="000000"/>
        </w:rPr>
        <w:t>奥斯皮纳和坦雅</w:t>
      </w:r>
      <w:r>
        <w:rPr>
          <w:color w:val="000000"/>
        </w:rPr>
        <w:t>·</w:t>
      </w:r>
      <w:r>
        <w:rPr>
          <w:color w:val="000000"/>
        </w:rPr>
        <w:t>霍赫</w:t>
      </w:r>
      <w:r>
        <w:rPr>
          <w:rFonts w:hint="eastAsia"/>
          <w:color w:val="000000"/>
        </w:rPr>
        <w:t>：</w:t>
      </w:r>
      <w:r>
        <w:rPr>
          <w:rFonts w:ascii="KaiTi_GB2312" w:hint="eastAsia"/>
          <w:bCs/>
          <w:color w:val="000000"/>
        </w:rPr>
        <w:t>《</w:t>
      </w:r>
      <w:r>
        <w:rPr>
          <w:rFonts w:ascii="KaiTi_GB2312"/>
          <w:bCs/>
          <w:color w:val="000000"/>
        </w:rPr>
        <w:t>东帝汶</w:t>
      </w:r>
      <w:r>
        <w:rPr>
          <w:bCs/>
          <w:color w:val="000000"/>
        </w:rPr>
        <w:t>传统</w:t>
      </w:r>
      <w:r>
        <w:rPr>
          <w:rFonts w:ascii="KaiTi_GB2312" w:hint="eastAsia"/>
          <w:bCs/>
          <w:color w:val="000000"/>
        </w:rPr>
        <w:t>权力</w:t>
      </w:r>
      <w:r>
        <w:rPr>
          <w:bCs/>
          <w:color w:val="000000"/>
        </w:rPr>
        <w:t>结构与地方</w:t>
      </w:r>
      <w:r>
        <w:rPr>
          <w:rFonts w:hint="eastAsia"/>
          <w:bCs/>
          <w:color w:val="000000"/>
        </w:rPr>
        <w:t>治理——</w:t>
      </w:r>
      <w:r>
        <w:rPr>
          <w:rFonts w:ascii="KaiTi_GB2312" w:hint="eastAsia"/>
          <w:bCs/>
          <w:color w:val="000000"/>
        </w:rPr>
        <w:t>赋予</w:t>
      </w:r>
      <w:r>
        <w:rPr>
          <w:bCs/>
          <w:color w:val="000000"/>
        </w:rPr>
        <w:t>社区</w:t>
      </w:r>
      <w:r>
        <w:rPr>
          <w:rFonts w:hint="eastAsia"/>
          <w:bCs/>
          <w:color w:val="000000"/>
        </w:rPr>
        <w:t>权力项目</w:t>
      </w:r>
      <w:r>
        <w:rPr>
          <w:color w:val="000000"/>
        </w:rPr>
        <w:t>（</w:t>
      </w:r>
      <w:r>
        <w:rPr>
          <w:color w:val="000000"/>
        </w:rPr>
        <w:t>CEP</w:t>
      </w:r>
      <w:r>
        <w:rPr>
          <w:color w:val="000000"/>
        </w:rPr>
        <w:t>）</w:t>
      </w:r>
      <w:r>
        <w:rPr>
          <w:rFonts w:ascii="KaiTi_GB2312" w:hint="eastAsia"/>
          <w:bCs/>
          <w:color w:val="000000"/>
        </w:rPr>
        <w:t>的个案研究》（ 2001年），第81页。</w:t>
      </w:r>
    </w:p>
  </w:footnote>
  <w:footnote w:id="360">
    <w:p w:rsidR="00692915" w:rsidRDefault="00692915" w:rsidP="009A1C1B">
      <w:pPr>
        <w:pStyle w:val="FootnoteText"/>
        <w:tabs>
          <w:tab w:val="left" w:pos="780"/>
        </w:tabs>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color w:val="000000"/>
          <w:sz w:val="22"/>
        </w:rPr>
        <w:t xml:space="preserve"> </w:t>
      </w:r>
      <w:r>
        <w:rPr>
          <w:rFonts w:ascii="KaiTi_GB2312" w:hint="eastAsia"/>
          <w:color w:val="000000"/>
        </w:rPr>
        <w:t xml:space="preserve"> </w:t>
      </w:r>
      <w:r>
        <w:rPr>
          <w:rFonts w:ascii="KaiTi_GB2312" w:hint="eastAsia"/>
          <w:bCs/>
          <w:color w:val="000000"/>
        </w:rPr>
        <w:t>《</w:t>
      </w:r>
      <w:r>
        <w:rPr>
          <w:rFonts w:ascii="KaiTi_GB2312" w:hint="eastAsia"/>
          <w:color w:val="000000"/>
        </w:rPr>
        <w:t>东帝汶民主共和国宪法》，</w:t>
      </w:r>
      <w:r>
        <w:rPr>
          <w:rFonts w:hint="eastAsia"/>
          <w:color w:val="000000"/>
        </w:rPr>
        <w:t>第</w:t>
      </w:r>
      <w:r>
        <w:rPr>
          <w:rFonts w:hint="eastAsia"/>
          <w:color w:val="000000"/>
        </w:rPr>
        <w:t>17</w:t>
      </w:r>
      <w:r>
        <w:rPr>
          <w:rFonts w:hint="eastAsia"/>
          <w:color w:val="000000"/>
        </w:rPr>
        <w:t>条</w:t>
      </w:r>
      <w:r>
        <w:rPr>
          <w:rFonts w:ascii="KaiTi_GB2312" w:hint="eastAsia"/>
          <w:color w:val="000000"/>
        </w:rPr>
        <w:t>。</w:t>
      </w:r>
    </w:p>
  </w:footnote>
  <w:footnote w:id="361">
    <w:p w:rsidR="00692915" w:rsidRDefault="00692915" w:rsidP="009A1C1B">
      <w:pPr>
        <w:pStyle w:val="FootnoteText"/>
        <w:tabs>
          <w:tab w:val="left" w:pos="780"/>
        </w:tabs>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color w:val="000000"/>
          <w:sz w:val="22"/>
        </w:rPr>
        <w:t xml:space="preserve"> </w:t>
      </w:r>
      <w:r>
        <w:rPr>
          <w:rFonts w:ascii="KaiTi_GB2312"/>
          <w:color w:val="000000"/>
        </w:rPr>
        <w:t xml:space="preserve"> </w:t>
      </w:r>
      <w:r>
        <w:rPr>
          <w:rFonts w:ascii="KaiTi_GB2312" w:hint="eastAsia"/>
          <w:bCs/>
          <w:color w:val="000000"/>
        </w:rPr>
        <w:t>《</w:t>
      </w:r>
      <w:r>
        <w:rPr>
          <w:rFonts w:ascii="KaiTi_GB2312" w:hint="eastAsia"/>
          <w:color w:val="000000"/>
        </w:rPr>
        <w:t>东帝汶民主共和国宪法》，</w:t>
      </w:r>
      <w:r>
        <w:rPr>
          <w:rFonts w:hint="eastAsia"/>
          <w:color w:val="000000"/>
        </w:rPr>
        <w:t>第</w:t>
      </w:r>
      <w:r>
        <w:rPr>
          <w:rFonts w:hint="eastAsia"/>
          <w:color w:val="000000"/>
        </w:rPr>
        <w:t>39</w:t>
      </w:r>
      <w:r>
        <w:rPr>
          <w:rFonts w:hint="eastAsia"/>
          <w:color w:val="000000"/>
        </w:rPr>
        <w:t>条</w:t>
      </w:r>
      <w:r>
        <w:rPr>
          <w:rFonts w:ascii="KaiTi_GB2312" w:hint="eastAsia"/>
          <w:color w:val="000000"/>
        </w:rPr>
        <w:t>。</w:t>
      </w:r>
    </w:p>
  </w:footnote>
  <w:footnote w:id="362">
    <w:p w:rsidR="00692915" w:rsidRDefault="00692915" w:rsidP="009A1C1B">
      <w:pPr>
        <w:pStyle w:val="FootnoteText"/>
        <w:tabs>
          <w:tab w:val="left" w:pos="780"/>
        </w:tabs>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color w:val="000000"/>
          <w:sz w:val="22"/>
        </w:rPr>
        <w:t xml:space="preserve">  </w:t>
      </w:r>
      <w:r>
        <w:rPr>
          <w:rStyle w:val="FootnoteReference"/>
          <w:rFonts w:ascii="KaiTi_GB2312" w:hint="eastAsia"/>
          <w:b/>
          <w:bCs/>
          <w:color w:val="000000"/>
          <w:sz w:val="22"/>
        </w:rPr>
        <w:t xml:space="preserve"> </w:t>
      </w:r>
      <w:r>
        <w:rPr>
          <w:color w:val="000000"/>
        </w:rPr>
        <w:t>索菲</w:t>
      </w:r>
      <w:r>
        <w:rPr>
          <w:color w:val="000000"/>
        </w:rPr>
        <w:t>·</w:t>
      </w:r>
      <w:r>
        <w:rPr>
          <w:color w:val="000000"/>
        </w:rPr>
        <w:t>奥斯皮纳和坦雅</w:t>
      </w:r>
      <w:r>
        <w:rPr>
          <w:color w:val="000000"/>
        </w:rPr>
        <w:t>·</w:t>
      </w:r>
      <w:r>
        <w:rPr>
          <w:color w:val="000000"/>
        </w:rPr>
        <w:t>霍赫</w:t>
      </w:r>
      <w:r>
        <w:rPr>
          <w:rFonts w:hint="eastAsia"/>
          <w:color w:val="000000"/>
        </w:rPr>
        <w:t>：《</w:t>
      </w:r>
      <w:r>
        <w:rPr>
          <w:color w:val="000000"/>
        </w:rPr>
        <w:t>东帝汶传统</w:t>
      </w:r>
      <w:r>
        <w:rPr>
          <w:rFonts w:hint="eastAsia"/>
          <w:color w:val="000000"/>
        </w:rPr>
        <w:t>权力</w:t>
      </w:r>
      <w:r>
        <w:rPr>
          <w:color w:val="000000"/>
        </w:rPr>
        <w:t>结构与地方</w:t>
      </w:r>
      <w:r>
        <w:rPr>
          <w:rFonts w:hint="eastAsia"/>
          <w:color w:val="000000"/>
        </w:rPr>
        <w:t>治理——赋予</w:t>
      </w:r>
      <w:r>
        <w:rPr>
          <w:color w:val="000000"/>
        </w:rPr>
        <w:t>社区</w:t>
      </w:r>
      <w:r>
        <w:rPr>
          <w:rFonts w:hint="eastAsia"/>
          <w:color w:val="000000"/>
        </w:rPr>
        <w:t>权力项目</w:t>
      </w:r>
      <w:r>
        <w:rPr>
          <w:color w:val="000000"/>
        </w:rPr>
        <w:t>（</w:t>
      </w:r>
      <w:r>
        <w:rPr>
          <w:color w:val="000000"/>
        </w:rPr>
        <w:t>CEP</w:t>
      </w:r>
      <w:r>
        <w:rPr>
          <w:color w:val="000000"/>
        </w:rPr>
        <w:t>）</w:t>
      </w:r>
      <w:r>
        <w:rPr>
          <w:rFonts w:hint="eastAsia"/>
          <w:color w:val="000000"/>
        </w:rPr>
        <w:t>的</w:t>
      </w:r>
      <w:r>
        <w:rPr>
          <w:rFonts w:ascii="KaiTi_GB2312" w:hint="eastAsia"/>
          <w:bCs/>
          <w:color w:val="000000"/>
        </w:rPr>
        <w:t>个案研究》， 2001年。</w:t>
      </w:r>
    </w:p>
  </w:footnote>
  <w:footnote w:id="363">
    <w:p w:rsidR="00692915" w:rsidRDefault="00692915" w:rsidP="009A1C1B">
      <w:pPr>
        <w:pStyle w:val="FootnoteText"/>
        <w:tabs>
          <w:tab w:val="left" w:pos="780"/>
        </w:tabs>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color w:val="000000"/>
          <w:sz w:val="22"/>
        </w:rPr>
        <w:t xml:space="preserve">  </w:t>
      </w:r>
      <w:r>
        <w:rPr>
          <w:rFonts w:ascii="KaiTi_GB2312" w:hint="eastAsia"/>
          <w:color w:val="000000"/>
        </w:rPr>
        <w:tab/>
        <w:t>有关《</w:t>
      </w:r>
      <w:r>
        <w:rPr>
          <w:rFonts w:ascii="KaiTi_GB2312" w:hint="eastAsia"/>
          <w:bCs/>
          <w:color w:val="000000"/>
        </w:rPr>
        <w:t>消除对妇女一切形式歧视公约》的区域公约报告研讨会，小组讨论结论，2005年。</w:t>
      </w:r>
    </w:p>
  </w:footnote>
  <w:footnote w:id="364">
    <w:p w:rsidR="00692915" w:rsidRDefault="00692915" w:rsidP="009A1C1B">
      <w:pPr>
        <w:pStyle w:val="FootnoteText"/>
        <w:tabs>
          <w:tab w:val="left" w:pos="780"/>
        </w:tabs>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color w:val="000000"/>
          <w:sz w:val="22"/>
        </w:rPr>
        <w:t xml:space="preserve">  </w:t>
      </w:r>
      <w:r>
        <w:rPr>
          <w:rFonts w:ascii="KaiTi_GB2312" w:hint="eastAsia"/>
          <w:color w:val="000000"/>
        </w:rPr>
        <w:tab/>
        <w:t>有关《</w:t>
      </w:r>
      <w:r>
        <w:rPr>
          <w:rFonts w:ascii="KaiTi_GB2312" w:hint="eastAsia"/>
          <w:bCs/>
          <w:color w:val="000000"/>
        </w:rPr>
        <w:t>消除对妇女一切形式歧视公约》的区域公约报告研讨会，小组讨论结论，2005年。</w:t>
      </w:r>
    </w:p>
  </w:footnote>
  <w:footnote w:id="365">
    <w:p w:rsidR="00692915" w:rsidRDefault="00692915" w:rsidP="009A1C1B">
      <w:pPr>
        <w:pStyle w:val="FootnoteText"/>
        <w:tabs>
          <w:tab w:val="left" w:pos="780"/>
        </w:tabs>
        <w:ind w:firstLine="31680"/>
        <w:rPr>
          <w:rStyle w:val="FootnoteReference"/>
          <w:rFonts w:ascii="KaiTi_GB2312"/>
          <w:b/>
          <w:bCs/>
          <w:color w:val="000000"/>
          <w:sz w:val="22"/>
        </w:rPr>
      </w:pPr>
      <w:r>
        <w:rPr>
          <w:rStyle w:val="FootnoteReference"/>
          <w:rFonts w:ascii="KaiTi_GB2312"/>
          <w:color w:val="000000"/>
          <w:sz w:val="22"/>
        </w:rPr>
        <w:footnoteRef/>
      </w:r>
      <w:r>
        <w:rPr>
          <w:rFonts w:ascii="KaiTi_GB2312" w:hint="eastAsia"/>
          <w:bCs/>
          <w:color w:val="000000"/>
        </w:rPr>
        <w:t xml:space="preserve"> </w:t>
      </w:r>
      <w:r>
        <w:rPr>
          <w:rFonts w:ascii="KaiTi_GB2312" w:hint="eastAsia"/>
          <w:bCs/>
          <w:color w:val="000000"/>
        </w:rPr>
        <w:tab/>
        <w:t>国际牛津饥荒救济会：《东帝汶科瓦利马地区性别不平等的根本原因》（2003年）；</w:t>
      </w:r>
      <w:r>
        <w:rPr>
          <w:rFonts w:ascii="KaiTi_GB2312" w:hint="eastAsia"/>
          <w:color w:val="000000"/>
        </w:rPr>
        <w:t>有关《</w:t>
      </w:r>
      <w:r>
        <w:rPr>
          <w:rFonts w:ascii="KaiTi_GB2312" w:hint="eastAsia"/>
          <w:bCs/>
          <w:color w:val="000000"/>
        </w:rPr>
        <w:t>消除对妇女一切形式歧视公约》的区域公约报告及社会化研讨会结论（2005年）。</w:t>
      </w:r>
    </w:p>
  </w:footnote>
  <w:footnote w:id="366">
    <w:p w:rsidR="00692915" w:rsidRDefault="00692915" w:rsidP="009A1C1B">
      <w:pPr>
        <w:pStyle w:val="FootnoteText"/>
        <w:tabs>
          <w:tab w:val="left" w:pos="780"/>
        </w:tabs>
        <w:ind w:firstLine="31680"/>
        <w:rPr>
          <w:rStyle w:val="FootnoteReference"/>
          <w:rFonts w:ascii="KaiTi_GB2312"/>
          <w:b/>
          <w:bCs/>
          <w:color w:val="000000"/>
          <w:sz w:val="22"/>
        </w:rPr>
      </w:pPr>
      <w:r>
        <w:rPr>
          <w:rStyle w:val="FootnoteReference"/>
          <w:rFonts w:ascii="KaiTi_GB2312"/>
          <w:color w:val="000000"/>
          <w:sz w:val="22"/>
        </w:rPr>
        <w:footnoteRef/>
      </w:r>
      <w:r>
        <w:rPr>
          <w:rFonts w:ascii="KaiTi_GB2312" w:hint="eastAsia"/>
          <w:bCs/>
          <w:color w:val="000000"/>
        </w:rPr>
        <w:t xml:space="preserve"> </w:t>
      </w:r>
      <w:r>
        <w:rPr>
          <w:rFonts w:ascii="KaiTi_GB2312" w:hint="eastAsia"/>
          <w:bCs/>
          <w:color w:val="000000"/>
        </w:rPr>
        <w:tab/>
      </w:r>
      <w:r>
        <w:rPr>
          <w:color w:val="000000"/>
        </w:rPr>
        <w:t>索菲</w:t>
      </w:r>
      <w:r>
        <w:rPr>
          <w:rFonts w:hint="eastAsia"/>
          <w:color w:val="000000"/>
        </w:rPr>
        <w:t>·</w:t>
      </w:r>
      <w:r>
        <w:rPr>
          <w:color w:val="000000"/>
        </w:rPr>
        <w:t>奥斯皮纳和坦雅</w:t>
      </w:r>
      <w:r>
        <w:rPr>
          <w:rFonts w:hint="eastAsia"/>
          <w:color w:val="000000"/>
        </w:rPr>
        <w:t>·</w:t>
      </w:r>
      <w:r>
        <w:rPr>
          <w:color w:val="000000"/>
        </w:rPr>
        <w:t>霍赫</w:t>
      </w:r>
      <w:r>
        <w:rPr>
          <w:rFonts w:hint="eastAsia"/>
          <w:color w:val="000000"/>
        </w:rPr>
        <w:t>：</w:t>
      </w:r>
      <w:r>
        <w:rPr>
          <w:rFonts w:ascii="KaiTi_GB2312" w:hint="eastAsia"/>
          <w:color w:val="000000"/>
        </w:rPr>
        <w:t>《</w:t>
      </w:r>
      <w:r>
        <w:rPr>
          <w:color w:val="000000"/>
        </w:rPr>
        <w:t>东帝汶传统</w:t>
      </w:r>
      <w:r>
        <w:rPr>
          <w:rFonts w:ascii="KaiTi_GB2312" w:hint="eastAsia"/>
          <w:color w:val="000000"/>
        </w:rPr>
        <w:t>权力</w:t>
      </w:r>
      <w:r>
        <w:rPr>
          <w:color w:val="000000"/>
        </w:rPr>
        <w:t>结构与地方</w:t>
      </w:r>
      <w:r>
        <w:rPr>
          <w:rFonts w:hint="eastAsia"/>
          <w:color w:val="000000"/>
        </w:rPr>
        <w:t>治理——</w:t>
      </w:r>
      <w:r>
        <w:rPr>
          <w:rFonts w:ascii="KaiTi_GB2312" w:hint="eastAsia"/>
          <w:color w:val="000000"/>
        </w:rPr>
        <w:t>赋予</w:t>
      </w:r>
      <w:r>
        <w:rPr>
          <w:color w:val="000000"/>
        </w:rPr>
        <w:t>社区</w:t>
      </w:r>
      <w:r>
        <w:rPr>
          <w:rFonts w:hint="eastAsia"/>
          <w:color w:val="000000"/>
        </w:rPr>
        <w:t>权力项目</w:t>
      </w:r>
      <w:r>
        <w:rPr>
          <w:color w:val="000000"/>
        </w:rPr>
        <w:t>（</w:t>
      </w:r>
      <w:r>
        <w:rPr>
          <w:color w:val="000000"/>
        </w:rPr>
        <w:t>CEP</w:t>
      </w:r>
      <w:r>
        <w:rPr>
          <w:color w:val="000000"/>
        </w:rPr>
        <w:t>）</w:t>
      </w:r>
      <w:r>
        <w:rPr>
          <w:rFonts w:ascii="KaiTi_GB2312" w:hint="eastAsia"/>
          <w:color w:val="000000"/>
        </w:rPr>
        <w:t>的个</w:t>
      </w:r>
      <w:r>
        <w:rPr>
          <w:rFonts w:ascii="KaiTi_GB2312" w:hint="eastAsia"/>
          <w:bCs/>
          <w:color w:val="000000"/>
        </w:rPr>
        <w:t>案研究》，（ 2001年），第31-32页。</w:t>
      </w:r>
    </w:p>
  </w:footnote>
  <w:footnote w:id="367">
    <w:p w:rsidR="00692915" w:rsidRDefault="00692915" w:rsidP="009A1C1B">
      <w:pPr>
        <w:pStyle w:val="FootnoteText"/>
        <w:tabs>
          <w:tab w:val="left" w:pos="780"/>
        </w:tabs>
        <w:ind w:firstLine="31680"/>
        <w:rPr>
          <w:rStyle w:val="FootnoteReference"/>
          <w:rFonts w:ascii="KaiTi_GB2312"/>
          <w:b/>
          <w:bCs/>
          <w:color w:val="000000"/>
          <w:sz w:val="22"/>
        </w:rPr>
      </w:pPr>
      <w:r>
        <w:rPr>
          <w:rStyle w:val="FootnoteReference"/>
          <w:rFonts w:ascii="KaiTi_GB2312"/>
          <w:color w:val="000000"/>
          <w:sz w:val="22"/>
        </w:rPr>
        <w:footnoteRef/>
      </w:r>
      <w:r>
        <w:rPr>
          <w:rStyle w:val="FootnoteReference"/>
          <w:rFonts w:ascii="KaiTi_GB2312"/>
          <w:color w:val="000000"/>
          <w:sz w:val="22"/>
        </w:rPr>
        <w:t xml:space="preserve">  </w:t>
      </w:r>
      <w:r>
        <w:rPr>
          <w:rFonts w:ascii="KaiTi_GB2312" w:hint="eastAsia"/>
          <w:color w:val="000000"/>
        </w:rPr>
        <w:tab/>
        <w:t>有关《</w:t>
      </w:r>
      <w:r>
        <w:rPr>
          <w:rFonts w:ascii="KaiTi_GB2312" w:hint="eastAsia"/>
          <w:bCs/>
          <w:color w:val="000000"/>
        </w:rPr>
        <w:t>消除对妇女一切形式歧视公约》的区域公约报告及社会化研讨会结论（2005年）。</w:t>
      </w:r>
    </w:p>
  </w:footnote>
  <w:footnote w:id="368">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hint="eastAsia"/>
          <w:bCs/>
          <w:color w:val="000000"/>
        </w:rPr>
        <w:tab/>
        <w:t>皇家</w:t>
      </w:r>
      <w:r>
        <w:rPr>
          <w:rFonts w:ascii="KaiTi_GB2312" w:hAnsi="Arial" w:cs="Arial" w:hint="eastAsia"/>
          <w:color w:val="000000"/>
        </w:rPr>
        <w:t>墨</w:t>
      </w:r>
      <w:r>
        <w:rPr>
          <w:rFonts w:ascii="KaiTi_GB2312" w:hint="eastAsia"/>
          <w:bCs/>
          <w:color w:val="000000"/>
        </w:rPr>
        <w:t>尔本理工大学全球化学院的D.格林菲尔、安娜·特伦巴斯、克里斯·斯坎隆：《挑战与可能：国际机构与东帝汶妇女：一个反省、对话和合作的周末》，（2005年）第21-22页；有关《消除对妇女一切形式歧视公约》的区域公约报告研讨会，小组讨论结论，（2005年）。</w:t>
      </w:r>
    </w:p>
  </w:footnote>
  <w:footnote w:id="369">
    <w:p w:rsidR="00692915" w:rsidRDefault="00692915" w:rsidP="009A1C1B">
      <w:pPr>
        <w:pStyle w:val="FootnoteText"/>
        <w:tabs>
          <w:tab w:val="left" w:pos="780"/>
        </w:tabs>
        <w:ind w:firstLine="31680"/>
        <w:rPr>
          <w:rFonts w:ascii="KaiTi_GB2312" w:hint="eastAsia"/>
          <w:bCs/>
          <w:color w:val="000000"/>
        </w:rPr>
      </w:pPr>
      <w:r>
        <w:rPr>
          <w:rStyle w:val="FootnoteReference"/>
          <w:rFonts w:ascii="KaiTi_GB2312"/>
          <w:color w:val="000000"/>
          <w:sz w:val="22"/>
        </w:rPr>
        <w:footnoteRef/>
      </w:r>
      <w:r>
        <w:rPr>
          <w:rStyle w:val="FootnoteReference"/>
          <w:rFonts w:ascii="KaiTi_GB2312"/>
          <w:color w:val="000000"/>
          <w:sz w:val="22"/>
        </w:rPr>
        <w:t xml:space="preserve">  </w:t>
      </w:r>
      <w:r>
        <w:rPr>
          <w:rFonts w:ascii="KaiTi_GB2312" w:hint="eastAsia"/>
          <w:color w:val="000000"/>
        </w:rPr>
        <w:tab/>
      </w:r>
      <w:r>
        <w:rPr>
          <w:rFonts w:ascii="KaiTi_GB2312" w:hint="eastAsia"/>
          <w:bCs/>
          <w:color w:val="000000"/>
        </w:rPr>
        <w:t>凯瑟琳·罗伯逊，《关于东帝汶性别暴力的个案研究》，</w:t>
      </w:r>
      <w:r>
        <w:rPr>
          <w:rFonts w:ascii="KaiTi_GB2312"/>
          <w:bCs/>
          <w:color w:val="000000"/>
        </w:rPr>
        <w:t>东帝汶社会心理康复及治疗组织</w:t>
      </w:r>
      <w:r>
        <w:rPr>
          <w:rFonts w:ascii="KaiTi_GB2312" w:hint="eastAsia"/>
          <w:bCs/>
          <w:color w:val="000000"/>
        </w:rPr>
        <w:t>和人口基金（2005年），第24页。</w:t>
      </w:r>
    </w:p>
  </w:footnote>
  <w:footnote w:id="370">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color w:val="000000"/>
          <w:sz w:val="22"/>
        </w:rPr>
        <w:footnoteRef/>
      </w:r>
      <w:r>
        <w:rPr>
          <w:rStyle w:val="FootnoteReference"/>
          <w:rFonts w:ascii="KaiTi_GB2312"/>
          <w:color w:val="000000"/>
          <w:sz w:val="22"/>
        </w:rPr>
        <w:t xml:space="preserve">  </w:t>
      </w:r>
      <w:r>
        <w:rPr>
          <w:rFonts w:ascii="KaiTi_GB2312" w:hint="eastAsia"/>
          <w:color w:val="000000"/>
        </w:rPr>
        <w:tab/>
      </w:r>
      <w:r>
        <w:rPr>
          <w:rFonts w:ascii="KaiTi_GB2312" w:hint="eastAsia"/>
          <w:bCs/>
          <w:color w:val="000000"/>
        </w:rPr>
        <w:t>凯瑟琳·罗伯逊，《关于东帝汶性别暴力的个案研究》，</w:t>
      </w:r>
      <w:r>
        <w:rPr>
          <w:rFonts w:ascii="KaiTi_GB2312"/>
          <w:bCs/>
          <w:color w:val="000000"/>
        </w:rPr>
        <w:t>东帝汶社会心理康复及治疗组织</w:t>
      </w:r>
      <w:r>
        <w:rPr>
          <w:rFonts w:ascii="KaiTi_GB2312" w:hint="eastAsia"/>
          <w:bCs/>
          <w:color w:val="000000"/>
        </w:rPr>
        <w:t>和人口基金，原作者，（2005年），第24页。</w:t>
      </w:r>
    </w:p>
  </w:footnote>
  <w:footnote w:id="371">
    <w:p w:rsidR="00692915" w:rsidRDefault="00692915" w:rsidP="009A1C1B">
      <w:pPr>
        <w:pStyle w:val="FootnoteText"/>
        <w:tabs>
          <w:tab w:val="left" w:pos="780"/>
        </w:tabs>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color w:val="000000"/>
          <w:sz w:val="22"/>
        </w:rPr>
        <w:t xml:space="preserve">  </w:t>
      </w:r>
      <w:r>
        <w:rPr>
          <w:rFonts w:ascii="KaiTi_GB2312" w:hint="eastAsia"/>
          <w:bCs/>
          <w:color w:val="000000"/>
        </w:rPr>
        <w:t>《东帝汶：社会、民事与继承保护部门投资方案》，2006年4月。</w:t>
      </w:r>
    </w:p>
  </w:footnote>
  <w:footnote w:id="372">
    <w:p w:rsidR="00692915" w:rsidRDefault="00692915" w:rsidP="009A1C1B">
      <w:pPr>
        <w:pStyle w:val="FootnoteText"/>
        <w:tabs>
          <w:tab w:val="left" w:pos="780"/>
        </w:tabs>
        <w:ind w:firstLine="31680"/>
        <w:rPr>
          <w:rStyle w:val="FootnoteReference"/>
          <w:rFonts w:ascii="KaiTi_GB2312"/>
          <w:b/>
          <w:bCs/>
          <w:color w:val="000000"/>
          <w:sz w:val="22"/>
        </w:rPr>
      </w:pPr>
      <w:r>
        <w:rPr>
          <w:rStyle w:val="FootnoteReference"/>
          <w:rFonts w:ascii="KaiTi_GB2312"/>
          <w:color w:val="000000"/>
          <w:sz w:val="22"/>
        </w:rPr>
        <w:footnoteRef/>
      </w:r>
      <w:r>
        <w:rPr>
          <w:rStyle w:val="FootnoteReference"/>
          <w:rFonts w:ascii="KaiTi_GB2312"/>
          <w:color w:val="000000"/>
          <w:sz w:val="22"/>
        </w:rPr>
        <w:t xml:space="preserve">  </w:t>
      </w:r>
      <w:r>
        <w:rPr>
          <w:rFonts w:ascii="KaiTi_GB2312" w:hint="eastAsia"/>
          <w:color w:val="000000"/>
        </w:rPr>
        <w:t>见《消除对妇女一切形式歧视公约》的区域公约报告及社会化研讨会结论（2005年）。</w:t>
      </w:r>
    </w:p>
  </w:footnote>
  <w:footnote w:id="373">
    <w:p w:rsidR="00692915" w:rsidRDefault="00692915" w:rsidP="009A1C1B">
      <w:pPr>
        <w:pStyle w:val="FootnoteText"/>
        <w:tabs>
          <w:tab w:val="left" w:pos="780"/>
        </w:tabs>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color w:val="000000"/>
          <w:sz w:val="22"/>
        </w:rPr>
        <w:t xml:space="preserve">  </w:t>
      </w:r>
      <w:r>
        <w:rPr>
          <w:rFonts w:ascii="KaiTi_GB2312"/>
          <w:color w:val="000000"/>
        </w:rPr>
        <w:tab/>
      </w:r>
      <w:r>
        <w:rPr>
          <w:rFonts w:ascii="KaiTi_GB2312" w:hint="eastAsia"/>
          <w:color w:val="000000"/>
        </w:rPr>
        <w:t>见《消除对妇女一切形式歧视公约》的区域公约报告及社会化研讨会结论（2005年）。</w:t>
      </w:r>
    </w:p>
  </w:footnote>
  <w:footnote w:id="374">
    <w:p w:rsidR="00692915" w:rsidRDefault="00692915" w:rsidP="009A1C1B">
      <w:pPr>
        <w:pStyle w:val="FootnoteText"/>
        <w:tabs>
          <w:tab w:val="left" w:pos="780"/>
        </w:tabs>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color w:val="000000"/>
          <w:sz w:val="22"/>
        </w:rPr>
        <w:t xml:space="preserve"> </w:t>
      </w:r>
      <w:r>
        <w:rPr>
          <w:rStyle w:val="FootnoteReference"/>
          <w:rFonts w:ascii="KaiTi_GB2312" w:hint="eastAsia"/>
          <w:b/>
          <w:bCs/>
          <w:color w:val="000000"/>
          <w:sz w:val="22"/>
        </w:rPr>
        <w:t xml:space="preserve"> </w:t>
      </w:r>
      <w:r>
        <w:rPr>
          <w:rFonts w:ascii="KaiTi_GB2312"/>
          <w:b/>
          <w:bCs/>
          <w:color w:val="000000"/>
        </w:rPr>
        <w:tab/>
      </w:r>
      <w:r>
        <w:rPr>
          <w:rFonts w:ascii="KaiTi_GB2312" w:hint="eastAsia"/>
          <w:bCs/>
          <w:color w:val="000000"/>
        </w:rPr>
        <w:t>2005年1月与帝力地区法院一名法官的访谈，以及与公诉辩护人的访谈（2005年7月）。</w:t>
      </w:r>
    </w:p>
  </w:footnote>
  <w:footnote w:id="375">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color w:val="000000"/>
          <w:sz w:val="22"/>
        </w:rPr>
        <w:footnoteRef/>
      </w:r>
      <w:r>
        <w:rPr>
          <w:rFonts w:ascii="KaiTi_GB2312"/>
          <w:bCs/>
          <w:color w:val="000000"/>
        </w:rPr>
        <w:t xml:space="preserve"> </w:t>
      </w:r>
      <w:r>
        <w:rPr>
          <w:rFonts w:ascii="KaiTi_GB2312"/>
          <w:bCs/>
          <w:color w:val="000000"/>
        </w:rPr>
        <w:tab/>
      </w:r>
      <w:r>
        <w:rPr>
          <w:rFonts w:ascii="KaiTi_GB2312" w:hint="eastAsia"/>
          <w:bCs/>
          <w:color w:val="000000"/>
        </w:rPr>
        <w:t>东帝汶过渡当局第</w:t>
      </w:r>
      <w:r>
        <w:rPr>
          <w:bCs/>
          <w:color w:val="000000"/>
        </w:rPr>
        <w:t>2</w:t>
      </w:r>
      <w:r>
        <w:rPr>
          <w:rFonts w:ascii="KaiTi_GB2312"/>
          <w:bCs/>
          <w:color w:val="000000"/>
        </w:rPr>
        <w:t>001/3</w:t>
      </w:r>
      <w:r>
        <w:rPr>
          <w:rFonts w:ascii="KaiTi_GB2312" w:hint="eastAsia"/>
          <w:bCs/>
          <w:color w:val="000000"/>
        </w:rPr>
        <w:t>号条例第2.</w:t>
      </w:r>
      <w:r>
        <w:rPr>
          <w:rFonts w:ascii="KaiTi_GB2312"/>
          <w:bCs/>
          <w:color w:val="000000"/>
        </w:rPr>
        <w:t>1（e）</w:t>
      </w:r>
      <w:r>
        <w:rPr>
          <w:rFonts w:ascii="KaiTi_GB2312" w:hint="eastAsia"/>
          <w:bCs/>
          <w:color w:val="000000"/>
        </w:rPr>
        <w:t>条。</w:t>
      </w:r>
    </w:p>
  </w:footnote>
  <w:footnote w:id="376">
    <w:p w:rsidR="00692915" w:rsidRDefault="00692915" w:rsidP="009A1C1B">
      <w:pPr>
        <w:pStyle w:val="FootnoteText"/>
        <w:tabs>
          <w:tab w:val="left" w:pos="780"/>
        </w:tabs>
        <w:ind w:firstLine="31680"/>
        <w:rPr>
          <w:rStyle w:val="FootnoteReference"/>
          <w:rFonts w:ascii="KaiTi_GB2312"/>
          <w:b/>
          <w:color w:val="000000"/>
          <w:sz w:val="22"/>
        </w:rPr>
      </w:pPr>
      <w:r>
        <w:rPr>
          <w:rStyle w:val="FootnoteReference"/>
          <w:rFonts w:ascii="KaiTi_GB2312"/>
          <w:color w:val="000000"/>
          <w:sz w:val="22"/>
        </w:rPr>
        <w:footnoteRef/>
      </w:r>
      <w:r>
        <w:rPr>
          <w:rStyle w:val="FootnoteReference"/>
          <w:rFonts w:ascii="KaiTi_GB2312"/>
          <w:color w:val="000000"/>
          <w:sz w:val="22"/>
        </w:rPr>
        <w:t xml:space="preserve">  </w:t>
      </w:r>
      <w:r>
        <w:rPr>
          <w:rFonts w:ascii="KaiTi_GB2312" w:hint="eastAsia"/>
          <w:color w:val="000000"/>
        </w:rPr>
        <w:t>有关《</w:t>
      </w:r>
      <w:r>
        <w:rPr>
          <w:rFonts w:ascii="KaiTi_GB2312" w:hint="eastAsia"/>
          <w:bCs/>
          <w:color w:val="000000"/>
        </w:rPr>
        <w:t>消除对妇女一切形式歧视公约》的区域公约报告及社会化研讨会结论（2005年）。</w:t>
      </w:r>
    </w:p>
  </w:footnote>
  <w:footnote w:id="377">
    <w:p w:rsidR="00692915" w:rsidRDefault="00692915" w:rsidP="009A1C1B">
      <w:pPr>
        <w:pStyle w:val="FootnoteText"/>
        <w:tabs>
          <w:tab w:val="left" w:pos="780"/>
        </w:tabs>
        <w:ind w:firstLine="31680"/>
        <w:rPr>
          <w:rStyle w:val="FootnoteReference"/>
          <w:rFonts w:ascii="KaiTi_GB2312"/>
          <w:b/>
          <w:color w:val="000000"/>
          <w:sz w:val="22"/>
        </w:rPr>
      </w:pPr>
      <w:r>
        <w:rPr>
          <w:rStyle w:val="FootnoteReference"/>
          <w:rFonts w:ascii="KaiTi_GB2312"/>
          <w:color w:val="000000"/>
          <w:sz w:val="22"/>
        </w:rPr>
        <w:footnoteRef/>
      </w:r>
      <w:r>
        <w:rPr>
          <w:rStyle w:val="FootnoteReference"/>
          <w:rFonts w:ascii="KaiTi_GB2312"/>
          <w:color w:val="000000"/>
          <w:sz w:val="22"/>
        </w:rPr>
        <w:t xml:space="preserve">  </w:t>
      </w:r>
      <w:r>
        <w:rPr>
          <w:rFonts w:ascii="KaiTi_GB2312" w:hint="eastAsia"/>
          <w:color w:val="000000"/>
        </w:rPr>
        <w:t>有关《</w:t>
      </w:r>
      <w:r>
        <w:rPr>
          <w:rFonts w:ascii="KaiTi_GB2312" w:hint="eastAsia"/>
          <w:bCs/>
          <w:color w:val="000000"/>
        </w:rPr>
        <w:t>消除对妇女一切形式歧视公约》的区域公约报告及社会化研讨会结论（2005年）。</w:t>
      </w:r>
    </w:p>
  </w:footnote>
  <w:footnote w:id="378">
    <w:p w:rsidR="00692915" w:rsidRDefault="00692915" w:rsidP="009A1C1B">
      <w:pPr>
        <w:pStyle w:val="FootnoteText"/>
        <w:tabs>
          <w:tab w:val="left" w:pos="780"/>
        </w:tabs>
        <w:ind w:firstLine="31680"/>
        <w:rPr>
          <w:rFonts w:ascii="KaiTi_GB2312" w:hint="eastAsia"/>
          <w:bCs/>
          <w:color w:val="000000"/>
        </w:rPr>
      </w:pPr>
      <w:r>
        <w:rPr>
          <w:rStyle w:val="FootnoteReference"/>
          <w:rFonts w:ascii="KaiTi_GB2312"/>
          <w:color w:val="000000"/>
          <w:sz w:val="22"/>
        </w:rPr>
        <w:footnoteRef/>
      </w:r>
      <w:r>
        <w:rPr>
          <w:rStyle w:val="FootnoteReference"/>
          <w:rFonts w:ascii="KaiTi_GB2312"/>
          <w:color w:val="000000"/>
          <w:sz w:val="22"/>
        </w:rPr>
        <w:t xml:space="preserve">  </w:t>
      </w:r>
      <w:r>
        <w:rPr>
          <w:rStyle w:val="FootnoteReference"/>
          <w:rFonts w:ascii="KaiTi_GB2312" w:hint="eastAsia"/>
          <w:b/>
          <w:bCs/>
          <w:color w:val="000000"/>
          <w:sz w:val="22"/>
        </w:rPr>
        <w:t xml:space="preserve"> </w:t>
      </w:r>
      <w:r>
        <w:rPr>
          <w:rFonts w:ascii="KaiTi_GB2312" w:hint="eastAsia"/>
          <w:bCs/>
          <w:color w:val="000000"/>
        </w:rPr>
        <w:t>本部分涉及：</w:t>
      </w:r>
    </w:p>
    <w:p w:rsidR="00692915" w:rsidRDefault="00692915" w:rsidP="009A1C1B">
      <w:pPr>
        <w:pStyle w:val="FootnoteText"/>
        <w:numPr>
          <w:ilvl w:val="0"/>
          <w:numId w:val="14"/>
        </w:numPr>
        <w:tabs>
          <w:tab w:val="clear" w:pos="1494"/>
          <w:tab w:val="left" w:pos="1170"/>
        </w:tabs>
        <w:ind w:leftChars="299" w:left="31680" w:hangingChars="177" w:firstLine="31680"/>
        <w:rPr>
          <w:rFonts w:ascii="KaiTi_GB2312"/>
          <w:bCs/>
          <w:color w:val="000000"/>
        </w:rPr>
      </w:pPr>
      <w:r>
        <w:rPr>
          <w:rFonts w:ascii="KaiTi_GB2312" w:hint="eastAsia"/>
          <w:color w:val="000000"/>
        </w:rPr>
        <w:t>《公民及政治权利国际公约》第2（3）条和第14条。</w:t>
      </w:r>
    </w:p>
    <w:p w:rsidR="00692915" w:rsidRDefault="00692915" w:rsidP="009A1C1B">
      <w:pPr>
        <w:pStyle w:val="FootnoteText"/>
        <w:numPr>
          <w:ilvl w:val="0"/>
          <w:numId w:val="14"/>
        </w:numPr>
        <w:tabs>
          <w:tab w:val="clear" w:pos="1494"/>
          <w:tab w:val="left" w:pos="1170"/>
        </w:tabs>
        <w:ind w:leftChars="299" w:left="31680" w:hangingChars="177" w:firstLine="31680"/>
        <w:rPr>
          <w:rFonts w:ascii="KaiTi_GB2312"/>
          <w:bCs/>
          <w:color w:val="000000"/>
        </w:rPr>
      </w:pPr>
      <w:r>
        <w:rPr>
          <w:rFonts w:ascii="KaiTi_GB2312" w:hint="eastAsia"/>
          <w:color w:val="000000"/>
        </w:rPr>
        <w:t>《经济、社会、文化权利国际公约》，第2条。</w:t>
      </w:r>
    </w:p>
    <w:p w:rsidR="00692915" w:rsidRDefault="00692915" w:rsidP="009A1C1B">
      <w:pPr>
        <w:pStyle w:val="FootnoteText"/>
        <w:numPr>
          <w:ilvl w:val="0"/>
          <w:numId w:val="14"/>
        </w:numPr>
        <w:tabs>
          <w:tab w:val="clear" w:pos="1494"/>
          <w:tab w:val="left" w:pos="1170"/>
        </w:tabs>
        <w:ind w:leftChars="299" w:left="31680" w:hangingChars="177" w:firstLine="31680"/>
        <w:rPr>
          <w:rFonts w:ascii="KaiTi_GB2312"/>
          <w:bCs/>
          <w:color w:val="000000"/>
        </w:rPr>
      </w:pPr>
      <w:r>
        <w:rPr>
          <w:rFonts w:ascii="KaiTi_GB2312" w:hint="eastAsia"/>
          <w:color w:val="000000"/>
        </w:rPr>
        <w:t>《消除一切形式种族歧视国际公约》，第6条。</w:t>
      </w:r>
    </w:p>
    <w:p w:rsidR="00692915" w:rsidRDefault="00692915" w:rsidP="009A1C1B">
      <w:pPr>
        <w:pStyle w:val="FootnoteText"/>
        <w:numPr>
          <w:ilvl w:val="0"/>
          <w:numId w:val="14"/>
        </w:numPr>
        <w:tabs>
          <w:tab w:val="clear" w:pos="1494"/>
          <w:tab w:val="left" w:pos="1170"/>
        </w:tabs>
        <w:ind w:leftChars="299" w:left="31680" w:hangingChars="177" w:firstLine="31680"/>
        <w:rPr>
          <w:rFonts w:ascii="KaiTi_GB2312"/>
          <w:bCs/>
          <w:color w:val="000000"/>
        </w:rPr>
      </w:pPr>
      <w:r>
        <w:rPr>
          <w:rFonts w:ascii="KaiTi_GB2312" w:hint="eastAsia"/>
          <w:color w:val="000000"/>
        </w:rPr>
        <w:t>《消除对妇女一切形式歧视公约》，第2（c）条。</w:t>
      </w:r>
    </w:p>
    <w:p w:rsidR="00692915" w:rsidRDefault="00692915" w:rsidP="009A1C1B">
      <w:pPr>
        <w:pStyle w:val="FootnoteText"/>
        <w:numPr>
          <w:ilvl w:val="0"/>
          <w:numId w:val="14"/>
        </w:numPr>
        <w:tabs>
          <w:tab w:val="clear" w:pos="1494"/>
          <w:tab w:val="left" w:pos="1170"/>
        </w:tabs>
        <w:ind w:leftChars="299" w:left="31680" w:hangingChars="177" w:firstLine="31680"/>
        <w:rPr>
          <w:rFonts w:ascii="KaiTi_GB2312"/>
          <w:bCs/>
          <w:color w:val="000000"/>
        </w:rPr>
      </w:pPr>
      <w:r>
        <w:rPr>
          <w:rFonts w:ascii="KaiTi_GB2312" w:hint="eastAsia"/>
          <w:color w:val="000000"/>
        </w:rPr>
        <w:t>《禁止酷刑和其他残忍、不人道或有辱人格的待遇或处罚公约》,第14条。</w:t>
      </w:r>
    </w:p>
    <w:p w:rsidR="00692915" w:rsidRDefault="00692915" w:rsidP="009A1C1B">
      <w:pPr>
        <w:pStyle w:val="FootnoteText"/>
        <w:numPr>
          <w:ilvl w:val="0"/>
          <w:numId w:val="14"/>
        </w:numPr>
        <w:tabs>
          <w:tab w:val="clear" w:pos="1494"/>
          <w:tab w:val="left" w:pos="1170"/>
        </w:tabs>
        <w:ind w:leftChars="299" w:left="31680" w:hangingChars="177" w:firstLine="31680"/>
        <w:rPr>
          <w:rFonts w:ascii="KaiTi_GB2312"/>
          <w:bCs/>
          <w:color w:val="000000"/>
        </w:rPr>
      </w:pPr>
      <w:r>
        <w:rPr>
          <w:rFonts w:ascii="KaiTi_GB2312" w:hint="eastAsia"/>
          <w:color w:val="000000"/>
        </w:rPr>
        <w:t>《保护所有移徙工人及其家庭成员权利国际公约》，第16（9）条。</w:t>
      </w:r>
    </w:p>
    <w:p w:rsidR="00692915" w:rsidRDefault="00692915">
      <w:pPr>
        <w:pStyle w:val="FootnoteText"/>
        <w:tabs>
          <w:tab w:val="left" w:pos="780"/>
        </w:tabs>
        <w:spacing w:line="20" w:lineRule="exact"/>
        <w:ind w:firstLineChars="0" w:firstLine="0"/>
        <w:rPr>
          <w:rStyle w:val="FootnoteReference"/>
          <w:rFonts w:ascii="KaiTi_GB2312"/>
          <w:b/>
          <w:bCs/>
          <w:color w:val="000000"/>
          <w:sz w:val="22"/>
        </w:rPr>
      </w:pPr>
    </w:p>
  </w:footnote>
  <w:footnote w:id="379">
    <w:p w:rsidR="00692915" w:rsidRDefault="00692915" w:rsidP="009A1C1B">
      <w:pPr>
        <w:pStyle w:val="FootnoteText"/>
        <w:tabs>
          <w:tab w:val="left" w:pos="780"/>
        </w:tabs>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color w:val="000000"/>
          <w:sz w:val="22"/>
        </w:rPr>
        <w:t xml:space="preserve">  </w:t>
      </w:r>
      <w:r>
        <w:rPr>
          <w:rStyle w:val="FootnoteReference"/>
          <w:rFonts w:ascii="KaiTi_GB2312" w:hint="eastAsia"/>
          <w:b/>
          <w:bCs/>
          <w:color w:val="000000"/>
          <w:sz w:val="22"/>
        </w:rPr>
        <w:t xml:space="preserve"> </w:t>
      </w:r>
      <w:r>
        <w:rPr>
          <w:rFonts w:ascii="KaiTi_GB2312" w:hint="eastAsia"/>
          <w:bCs/>
          <w:color w:val="000000"/>
        </w:rPr>
        <w:t>见第48条，“</w:t>
      </w:r>
      <w:r>
        <w:rPr>
          <w:rFonts w:ascii="KaiTi_GB2312" w:hint="eastAsia"/>
          <w:color w:val="000000"/>
        </w:rPr>
        <w:t>人人都有权作为集体或个人，向主权机关或任何主管机构提出请求、进行申诉或主张权利，以维护其个人权利、《宪法》、法律或一般权益。”</w:t>
      </w:r>
    </w:p>
  </w:footnote>
  <w:footnote w:id="380">
    <w:p w:rsidR="00692915" w:rsidRDefault="00692915" w:rsidP="009A1C1B">
      <w:pPr>
        <w:pStyle w:val="FootnoteText"/>
        <w:tabs>
          <w:tab w:val="left" w:pos="780"/>
        </w:tabs>
        <w:ind w:firstLine="31680"/>
        <w:rPr>
          <w:rStyle w:val="FootnoteReference"/>
          <w:rFonts w:ascii="KaiTi_GB2312" w:hint="eastAsia"/>
          <w:b/>
          <w:color w:val="000000"/>
          <w:sz w:val="22"/>
        </w:rPr>
      </w:pPr>
      <w:r>
        <w:rPr>
          <w:rStyle w:val="FootnoteReference"/>
          <w:rFonts w:ascii="KaiTi_GB2312"/>
          <w:color w:val="000000"/>
          <w:sz w:val="22"/>
        </w:rPr>
        <w:footnoteRef/>
      </w:r>
      <w:r>
        <w:rPr>
          <w:rStyle w:val="FootnoteReference"/>
          <w:rFonts w:ascii="KaiTi_GB2312"/>
          <w:color w:val="000000"/>
          <w:sz w:val="22"/>
        </w:rPr>
        <w:t xml:space="preserve">  </w:t>
      </w:r>
      <w:r>
        <w:rPr>
          <w:rFonts w:ascii="KaiTi_GB2312" w:hint="eastAsia"/>
          <w:bCs/>
          <w:color w:val="000000"/>
        </w:rPr>
        <w:t>《</w:t>
      </w:r>
      <w:r>
        <w:rPr>
          <w:color w:val="000000"/>
        </w:rPr>
        <w:t>东帝汶民主</w:t>
      </w:r>
      <w:r>
        <w:rPr>
          <w:rFonts w:ascii="KaiTi_GB2312"/>
          <w:bCs/>
          <w:color w:val="000000"/>
        </w:rPr>
        <w:t>共和国</w:t>
      </w:r>
      <w:r>
        <w:rPr>
          <w:color w:val="000000"/>
        </w:rPr>
        <w:t>宪法</w:t>
      </w:r>
      <w:r>
        <w:rPr>
          <w:rFonts w:ascii="KaiTi_GB2312" w:hint="eastAsia"/>
          <w:bCs/>
          <w:color w:val="000000"/>
        </w:rPr>
        <w:t>》，第</w:t>
      </w:r>
      <w:r>
        <w:rPr>
          <w:rFonts w:ascii="KaiTi_GB2312" w:hint="eastAsia"/>
          <w:color w:val="000000"/>
        </w:rPr>
        <w:t>26条。</w:t>
      </w:r>
    </w:p>
  </w:footnote>
  <w:footnote w:id="381">
    <w:p w:rsidR="00692915" w:rsidRDefault="00692915" w:rsidP="009A1C1B">
      <w:pPr>
        <w:pStyle w:val="FootnoteText"/>
        <w:tabs>
          <w:tab w:val="left" w:pos="780"/>
        </w:tabs>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color w:val="000000"/>
          <w:sz w:val="22"/>
        </w:rPr>
        <w:t xml:space="preserve">  </w:t>
      </w:r>
      <w:r>
        <w:rPr>
          <w:rFonts w:ascii="KaiTi_GB2312" w:hint="eastAsia"/>
          <w:bCs/>
          <w:color w:val="000000"/>
        </w:rPr>
        <w:t>《</w:t>
      </w:r>
      <w:r>
        <w:rPr>
          <w:color w:val="000000"/>
        </w:rPr>
        <w:t>东帝汶民主</w:t>
      </w:r>
      <w:r>
        <w:rPr>
          <w:rFonts w:ascii="KaiTi_GB2312"/>
          <w:bCs/>
          <w:color w:val="000000"/>
        </w:rPr>
        <w:t>共和国</w:t>
      </w:r>
      <w:r>
        <w:rPr>
          <w:color w:val="000000"/>
        </w:rPr>
        <w:t>宪法</w:t>
      </w:r>
      <w:r>
        <w:rPr>
          <w:rFonts w:ascii="KaiTi_GB2312" w:hint="eastAsia"/>
          <w:bCs/>
          <w:color w:val="000000"/>
        </w:rPr>
        <w:t>》，</w:t>
      </w:r>
      <w:r>
        <w:rPr>
          <w:rFonts w:hint="eastAsia"/>
          <w:color w:val="000000"/>
        </w:rPr>
        <w:t>第</w:t>
      </w:r>
      <w:r>
        <w:rPr>
          <w:rFonts w:ascii="KaiTi_GB2312" w:hint="eastAsia"/>
          <w:bCs/>
          <w:color w:val="000000"/>
        </w:rPr>
        <w:t>126条。</w:t>
      </w:r>
    </w:p>
  </w:footnote>
  <w:footnote w:id="382">
    <w:p w:rsidR="00692915" w:rsidRDefault="00692915" w:rsidP="009A1C1B">
      <w:pPr>
        <w:pStyle w:val="FootnoteText"/>
        <w:tabs>
          <w:tab w:val="left" w:pos="780"/>
        </w:tabs>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color w:val="000000"/>
          <w:sz w:val="22"/>
        </w:rPr>
        <w:t xml:space="preserve">  </w:t>
      </w:r>
      <w:r>
        <w:rPr>
          <w:rFonts w:ascii="KaiTi_GB2312"/>
          <w:color w:val="000000"/>
        </w:rPr>
        <w:tab/>
      </w:r>
      <w:r>
        <w:rPr>
          <w:rFonts w:ascii="KaiTi_GB2312" w:hint="eastAsia"/>
          <w:color w:val="000000"/>
          <w:szCs w:val="22"/>
        </w:rPr>
        <w:t>第</w:t>
      </w:r>
      <w:r>
        <w:rPr>
          <w:rFonts w:ascii="KaiTi_GB2312"/>
          <w:bCs/>
          <w:color w:val="000000"/>
        </w:rPr>
        <w:t>15/2005</w:t>
      </w:r>
      <w:r>
        <w:rPr>
          <w:rFonts w:ascii="KaiTi_GB2312" w:hint="eastAsia"/>
          <w:bCs/>
          <w:color w:val="000000"/>
        </w:rPr>
        <w:t>号法令——《刑事诉讼法典》，第205</w:t>
      </w:r>
      <w:r>
        <w:rPr>
          <w:rFonts w:ascii="KaiTi_GB2312" w:hint="eastAsia"/>
          <w:color w:val="000000"/>
          <w:szCs w:val="22"/>
        </w:rPr>
        <w:t>条。</w:t>
      </w:r>
    </w:p>
  </w:footnote>
  <w:footnote w:id="383">
    <w:p w:rsidR="00692915" w:rsidRDefault="00692915" w:rsidP="009A1C1B">
      <w:pPr>
        <w:pStyle w:val="FootnoteText"/>
        <w:tabs>
          <w:tab w:val="left" w:pos="780"/>
        </w:tabs>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color w:val="000000"/>
          <w:sz w:val="22"/>
        </w:rPr>
        <w:t xml:space="preserve"> </w:t>
      </w:r>
      <w:r>
        <w:rPr>
          <w:rFonts w:ascii="KaiTi_GB2312"/>
          <w:color w:val="000000"/>
        </w:rPr>
        <w:tab/>
      </w:r>
      <w:r>
        <w:rPr>
          <w:rFonts w:ascii="KaiTi_GB2312" w:hint="eastAsia"/>
          <w:bCs/>
          <w:color w:val="000000"/>
        </w:rPr>
        <w:t>《刑事诉讼法典》第351条规定，被逮捕或被非法审前拘留的人员可以要求对剥夺自由所引起的损失进行补偿。</w:t>
      </w:r>
    </w:p>
  </w:footnote>
  <w:footnote w:id="384">
    <w:p w:rsidR="00692915" w:rsidRDefault="00692915" w:rsidP="009A1C1B">
      <w:pPr>
        <w:pStyle w:val="FootnoteText"/>
        <w:tabs>
          <w:tab w:val="left" w:pos="780"/>
        </w:tabs>
        <w:ind w:firstLine="31680"/>
        <w:rPr>
          <w:rStyle w:val="FootnoteReference"/>
          <w:rFonts w:ascii="KaiTi_GB2312" w:hint="eastAsia"/>
          <w:b/>
          <w:bCs/>
          <w:color w:val="000000"/>
          <w:sz w:val="22"/>
        </w:rPr>
      </w:pPr>
      <w:r>
        <w:rPr>
          <w:rStyle w:val="FootnoteReference"/>
          <w:rFonts w:ascii="KaiTi_GB2312"/>
          <w:color w:val="000000"/>
          <w:sz w:val="22"/>
        </w:rPr>
        <w:footnoteRef/>
      </w:r>
      <w:r>
        <w:rPr>
          <w:rStyle w:val="FootnoteReference"/>
          <w:rFonts w:ascii="KaiTi_GB2312"/>
          <w:color w:val="000000"/>
          <w:sz w:val="22"/>
        </w:rPr>
        <w:t xml:space="preserve"> </w:t>
      </w:r>
      <w:r>
        <w:rPr>
          <w:rFonts w:ascii="KaiTi_GB2312" w:hint="eastAsia"/>
          <w:bCs/>
          <w:color w:val="000000"/>
        </w:rPr>
        <w:t>《</w:t>
      </w:r>
      <w:r>
        <w:rPr>
          <w:color w:val="000000"/>
        </w:rPr>
        <w:t>东帝汶</w:t>
      </w:r>
      <w:r>
        <w:rPr>
          <w:rFonts w:ascii="KaiTi_GB2312"/>
          <w:bCs/>
          <w:color w:val="000000"/>
        </w:rPr>
        <w:t>民主</w:t>
      </w:r>
      <w:r>
        <w:rPr>
          <w:color w:val="000000"/>
        </w:rPr>
        <w:t>共和国宪法</w:t>
      </w:r>
      <w:r>
        <w:rPr>
          <w:rFonts w:ascii="KaiTi_GB2312" w:hint="eastAsia"/>
          <w:bCs/>
          <w:color w:val="000000"/>
        </w:rPr>
        <w:t>》第31（6）条和《刑事诉讼法典》第320条规定，应补偿相关人员所受到的损失，退还任何罚款、税款和法院定罪费用，并在事后根据定罪审查情况宣判被告无罪。</w:t>
      </w:r>
    </w:p>
  </w:footnote>
  <w:footnote w:id="385">
    <w:p w:rsidR="00692915" w:rsidRDefault="00692915" w:rsidP="009A1C1B">
      <w:pPr>
        <w:pStyle w:val="FootnoteText"/>
        <w:tabs>
          <w:tab w:val="left" w:pos="780"/>
        </w:tabs>
        <w:ind w:firstLine="31680"/>
        <w:rPr>
          <w:rStyle w:val="FootnoteReference"/>
          <w:rFonts w:ascii="KaiTi_GB2312" w:hint="eastAsia"/>
          <w:b/>
          <w:bCs/>
          <w:color w:val="000000"/>
          <w:sz w:val="22"/>
        </w:rPr>
      </w:pPr>
      <w:r>
        <w:rPr>
          <w:rStyle w:val="FootnoteReference"/>
          <w:rFonts w:ascii="KaiTi_GB2312"/>
          <w:color w:val="000000"/>
          <w:sz w:val="22"/>
        </w:rPr>
        <w:footnoteRef/>
      </w:r>
      <w:r>
        <w:rPr>
          <w:rFonts w:ascii="KaiTi_GB2312" w:hint="eastAsia"/>
          <w:bCs/>
          <w:color w:val="000000"/>
        </w:rPr>
        <w:t xml:space="preserve"> </w:t>
      </w:r>
      <w:r>
        <w:rPr>
          <w:rFonts w:ascii="KaiTi_GB2312"/>
          <w:bCs/>
          <w:color w:val="000000"/>
        </w:rPr>
        <w:tab/>
      </w:r>
      <w:r>
        <w:rPr>
          <w:rFonts w:ascii="KaiTi_GB2312" w:hint="eastAsia"/>
          <w:bCs/>
          <w:color w:val="000000"/>
        </w:rPr>
        <w:t>第</w:t>
      </w:r>
      <w:r>
        <w:rPr>
          <w:rFonts w:ascii="KaiTi_GB2312"/>
          <w:bCs/>
          <w:color w:val="000000"/>
        </w:rPr>
        <w:t>7/2004</w:t>
      </w:r>
      <w:r>
        <w:rPr>
          <w:rFonts w:ascii="KaiTi_GB2312" w:hint="eastAsia"/>
          <w:bCs/>
          <w:color w:val="000000"/>
        </w:rPr>
        <w:t>号法律——《监察员办公室条例》，第</w:t>
      </w:r>
      <w:r>
        <w:rPr>
          <w:rFonts w:ascii="KaiTi_GB2312"/>
          <w:bCs/>
          <w:color w:val="000000"/>
        </w:rPr>
        <w:t>24（d）</w:t>
      </w:r>
      <w:r>
        <w:rPr>
          <w:rFonts w:ascii="KaiTi_GB2312" w:hint="eastAsia"/>
          <w:bCs/>
          <w:color w:val="000000"/>
        </w:rPr>
        <w:t>条。</w:t>
      </w:r>
    </w:p>
  </w:footnote>
  <w:footnote w:id="386">
    <w:p w:rsidR="00692915" w:rsidRDefault="00692915" w:rsidP="009A1C1B">
      <w:pPr>
        <w:pStyle w:val="FootnoteText"/>
        <w:tabs>
          <w:tab w:val="left" w:pos="780"/>
        </w:tabs>
        <w:ind w:firstLine="31680"/>
        <w:rPr>
          <w:rStyle w:val="FootnoteReference"/>
          <w:rFonts w:ascii="KaiTi_GB2312" w:hint="eastAsia"/>
          <w:b/>
          <w:bCs/>
          <w:color w:val="000000"/>
          <w:sz w:val="22"/>
        </w:rPr>
      </w:pPr>
      <w:r>
        <w:rPr>
          <w:rStyle w:val="FootnoteReference"/>
          <w:rFonts w:ascii="KaiTi_GB2312"/>
          <w:color w:val="000000"/>
          <w:sz w:val="22"/>
        </w:rPr>
        <w:footnoteRef/>
      </w:r>
      <w:r>
        <w:rPr>
          <w:rFonts w:ascii="KaiTi_GB2312"/>
          <w:bCs/>
          <w:color w:val="000000"/>
        </w:rPr>
        <w:t xml:space="preserve"> </w:t>
      </w:r>
      <w:r>
        <w:rPr>
          <w:rFonts w:ascii="KaiTi_GB2312" w:hint="eastAsia"/>
          <w:bCs/>
          <w:color w:val="000000"/>
        </w:rPr>
        <w:t>《监察员条例》第</w:t>
      </w:r>
      <w:r>
        <w:rPr>
          <w:rFonts w:ascii="KaiTi_GB2312"/>
          <w:bCs/>
          <w:color w:val="000000"/>
        </w:rPr>
        <w:t>28（j）</w:t>
      </w:r>
      <w:r>
        <w:rPr>
          <w:rFonts w:ascii="KaiTi_GB2312" w:hint="eastAsia"/>
          <w:bCs/>
          <w:color w:val="000000"/>
        </w:rPr>
        <w:t>、</w:t>
      </w:r>
      <w:r>
        <w:rPr>
          <w:rFonts w:ascii="KaiTi_GB2312"/>
          <w:bCs/>
          <w:color w:val="000000"/>
        </w:rPr>
        <w:t>（l</w:t>
      </w:r>
      <w:r>
        <w:rPr>
          <w:rFonts w:ascii="KaiTi_GB2312" w:hint="eastAsia"/>
          <w:bCs/>
          <w:color w:val="000000"/>
        </w:rPr>
        <w:t>）条款以及第47条。</w:t>
      </w:r>
    </w:p>
  </w:footnote>
  <w:footnote w:id="387">
    <w:p w:rsidR="00692915" w:rsidRDefault="00692915" w:rsidP="009A1C1B">
      <w:pPr>
        <w:pStyle w:val="FootnoteText"/>
        <w:tabs>
          <w:tab w:val="left" w:pos="780"/>
        </w:tabs>
        <w:ind w:firstLine="31680"/>
        <w:rPr>
          <w:rFonts w:hint="eastAsia"/>
          <w:color w:val="000000"/>
        </w:rPr>
      </w:pPr>
      <w:r>
        <w:rPr>
          <w:rStyle w:val="FootnoteReference"/>
          <w:rFonts w:ascii="KaiTi_GB2312"/>
          <w:color w:val="000000"/>
          <w:sz w:val="22"/>
        </w:rPr>
        <w:footnoteRef/>
      </w:r>
      <w:r>
        <w:rPr>
          <w:rStyle w:val="FootnoteReference"/>
          <w:rFonts w:ascii="KaiTi_GB2312"/>
          <w:color w:val="000000"/>
          <w:sz w:val="22"/>
        </w:rPr>
        <w:t xml:space="preserve"> </w:t>
      </w:r>
      <w:r>
        <w:rPr>
          <w:rFonts w:ascii="KaiTi_GB2312"/>
          <w:color w:val="000000"/>
        </w:rPr>
        <w:tab/>
      </w:r>
      <w:r>
        <w:rPr>
          <w:rFonts w:ascii="KaiTi_GB2312" w:hint="eastAsia"/>
          <w:bCs/>
          <w:color w:val="000000"/>
        </w:rPr>
        <w:t>第</w:t>
      </w:r>
      <w:r>
        <w:rPr>
          <w:rFonts w:ascii="KaiTi_GB2312"/>
          <w:bCs/>
          <w:color w:val="000000"/>
        </w:rPr>
        <w:t>7/2004</w:t>
      </w:r>
      <w:r>
        <w:rPr>
          <w:rFonts w:ascii="KaiTi_GB2312" w:hint="eastAsia"/>
          <w:bCs/>
          <w:color w:val="000000"/>
        </w:rPr>
        <w:t>号法律——《监察员办公室条例》，第</w:t>
      </w:r>
      <w:r>
        <w:rPr>
          <w:rFonts w:ascii="KaiTi_GB2312"/>
          <w:bCs/>
          <w:color w:val="000000"/>
        </w:rPr>
        <w:t>25（3）</w:t>
      </w:r>
      <w:r>
        <w:rPr>
          <w:rFonts w:ascii="KaiTi_GB2312" w:hint="eastAsia"/>
          <w:bCs/>
          <w:color w:val="000000"/>
        </w:rPr>
        <w:t>条。</w:t>
      </w:r>
    </w:p>
  </w:footnote>
  <w:footnote w:id="388">
    <w:p w:rsidR="00692915" w:rsidRDefault="00692915" w:rsidP="009A1C1B">
      <w:pPr>
        <w:pStyle w:val="FootnoteText"/>
        <w:tabs>
          <w:tab w:val="left" w:pos="780"/>
        </w:tabs>
        <w:ind w:firstLine="31680"/>
        <w:rPr>
          <w:rStyle w:val="FootnoteReference"/>
          <w:rFonts w:ascii="KaiTi_GB2312"/>
          <w:b/>
          <w:bCs/>
          <w:color w:val="000000"/>
          <w:sz w:val="22"/>
        </w:rPr>
      </w:pPr>
      <w:r>
        <w:rPr>
          <w:rStyle w:val="FootnoteReference"/>
          <w:rFonts w:ascii="KaiTi_GB2312"/>
          <w:color w:val="000000"/>
          <w:sz w:val="22"/>
        </w:rPr>
        <w:footnoteRef/>
      </w:r>
      <w:r>
        <w:rPr>
          <w:rStyle w:val="FootnoteReference"/>
          <w:rFonts w:ascii="KaiTi_GB2312"/>
          <w:color w:val="000000"/>
          <w:sz w:val="22"/>
        </w:rPr>
        <w:t xml:space="preserve"> </w:t>
      </w:r>
      <w:r>
        <w:rPr>
          <w:rFonts w:ascii="KaiTi_GB2312"/>
          <w:color w:val="000000"/>
        </w:rPr>
        <w:tab/>
      </w:r>
      <w:r>
        <w:rPr>
          <w:rFonts w:ascii="KaiTi_GB2312" w:hint="eastAsia"/>
          <w:bCs/>
          <w:color w:val="000000"/>
        </w:rPr>
        <w:t>第</w:t>
      </w:r>
      <w:r>
        <w:rPr>
          <w:rFonts w:ascii="KaiTi_GB2312"/>
          <w:bCs/>
          <w:color w:val="000000"/>
        </w:rPr>
        <w:t>7/2004</w:t>
      </w:r>
      <w:r>
        <w:rPr>
          <w:rFonts w:ascii="KaiTi_GB2312" w:hint="eastAsia"/>
          <w:bCs/>
          <w:color w:val="000000"/>
        </w:rPr>
        <w:t>号法律——《监察员办公室条例》，第28节</w:t>
      </w:r>
      <w:r>
        <w:rPr>
          <w:rFonts w:ascii="KaiTi_GB2312"/>
          <w:bCs/>
          <w:color w:val="000000"/>
        </w:rPr>
        <w:t>（</w:t>
      </w:r>
      <w:r>
        <w:rPr>
          <w:rFonts w:ascii="KaiTi_GB2312" w:hint="eastAsia"/>
          <w:bCs/>
          <w:color w:val="000000"/>
        </w:rPr>
        <w:t>f</w:t>
      </w:r>
      <w:r>
        <w:rPr>
          <w:rFonts w:ascii="KaiTi_GB2312"/>
          <w:bCs/>
          <w:color w:val="000000"/>
        </w:rPr>
        <w:t>）</w:t>
      </w:r>
      <w:r>
        <w:rPr>
          <w:rFonts w:ascii="KaiTi_GB2312" w:hint="eastAsia"/>
          <w:bCs/>
          <w:color w:val="000000"/>
        </w:rPr>
        <w:t>条。</w:t>
      </w:r>
    </w:p>
  </w:footnote>
  <w:footnote w:id="389">
    <w:p w:rsidR="00692915" w:rsidRDefault="00692915" w:rsidP="009A1C1B">
      <w:pPr>
        <w:pStyle w:val="FootnoteText"/>
        <w:tabs>
          <w:tab w:val="left" w:pos="780"/>
        </w:tabs>
        <w:ind w:firstLine="31680"/>
        <w:rPr>
          <w:rStyle w:val="FootnoteReference"/>
          <w:rFonts w:ascii="KaiTi_GB2312"/>
          <w:b/>
          <w:bCs/>
          <w:color w:val="000000"/>
          <w:sz w:val="22"/>
        </w:rPr>
      </w:pPr>
      <w:r>
        <w:rPr>
          <w:rStyle w:val="FootnoteReference"/>
          <w:rFonts w:ascii="KaiTi_GB2312"/>
          <w:color w:val="000000"/>
          <w:sz w:val="22"/>
        </w:rPr>
        <w:footnoteRef/>
      </w:r>
      <w:r>
        <w:rPr>
          <w:rStyle w:val="FootnoteReference"/>
          <w:rFonts w:ascii="KaiTi_GB2312"/>
          <w:b/>
          <w:bCs/>
          <w:color w:val="000000"/>
          <w:sz w:val="22"/>
        </w:rPr>
        <w:t xml:space="preserve"> </w:t>
      </w:r>
      <w:r>
        <w:rPr>
          <w:rFonts w:ascii="KaiTi_GB2312"/>
          <w:b/>
          <w:bCs/>
          <w:color w:val="000000"/>
        </w:rPr>
        <w:tab/>
      </w:r>
      <w:r>
        <w:rPr>
          <w:rFonts w:ascii="KaiTi_GB2312" w:hint="eastAsia"/>
          <w:bCs/>
          <w:color w:val="000000"/>
        </w:rPr>
        <w:t>第</w:t>
      </w:r>
      <w:r>
        <w:rPr>
          <w:rFonts w:ascii="KaiTi_GB2312"/>
          <w:bCs/>
          <w:color w:val="000000"/>
        </w:rPr>
        <w:t>7/2004</w:t>
      </w:r>
      <w:r>
        <w:rPr>
          <w:rFonts w:ascii="KaiTi_GB2312" w:hint="eastAsia"/>
          <w:bCs/>
          <w:color w:val="000000"/>
        </w:rPr>
        <w:t>号法律——《监察员办公室条例》，第38条。</w:t>
      </w:r>
    </w:p>
  </w:footnote>
  <w:footnote w:id="390">
    <w:p w:rsidR="00692915" w:rsidRDefault="00692915" w:rsidP="009A1C1B">
      <w:pPr>
        <w:pStyle w:val="FootnoteText"/>
        <w:tabs>
          <w:tab w:val="left" w:pos="780"/>
        </w:tabs>
        <w:ind w:firstLine="31680"/>
        <w:rPr>
          <w:rFonts w:ascii="KaiTi_GB2312" w:hint="eastAsia"/>
          <w:bCs/>
          <w:color w:val="000000"/>
        </w:rPr>
      </w:pPr>
      <w:r>
        <w:rPr>
          <w:rStyle w:val="FootnoteReference"/>
          <w:rFonts w:ascii="KaiTi_GB2312"/>
          <w:color w:val="000000"/>
          <w:sz w:val="22"/>
        </w:rPr>
        <w:footnoteRef/>
      </w:r>
      <w:r>
        <w:rPr>
          <w:rFonts w:ascii="KaiTi_GB2312" w:hint="eastAsia"/>
          <w:bCs/>
          <w:color w:val="000000"/>
        </w:rPr>
        <w:t xml:space="preserve"> </w:t>
      </w:r>
      <w:r>
        <w:rPr>
          <w:rFonts w:ascii="KaiTi_GB2312" w:hint="eastAsia"/>
          <w:color w:val="000000"/>
        </w:rPr>
        <w:t>东帝汶接纳、真相与和解委员会（</w:t>
      </w:r>
      <w:r>
        <w:rPr>
          <w:rFonts w:ascii="KaiTi_GB2312"/>
          <w:color w:val="000000"/>
        </w:rPr>
        <w:t>CAVR</w:t>
      </w:r>
      <w:r>
        <w:rPr>
          <w:rFonts w:ascii="KaiTi_GB2312" w:hint="eastAsia"/>
          <w:color w:val="000000"/>
        </w:rPr>
        <w:t>），2002年。</w:t>
      </w:r>
    </w:p>
  </w:footnote>
  <w:footnote w:id="391">
    <w:p w:rsidR="00692915" w:rsidRDefault="00692915" w:rsidP="009A1C1B">
      <w:pPr>
        <w:pStyle w:val="FootnoteText"/>
        <w:tabs>
          <w:tab w:val="left" w:pos="780"/>
        </w:tabs>
        <w:ind w:firstLine="31680"/>
        <w:rPr>
          <w:rFonts w:ascii="KaiTi_GB2312" w:hint="eastAsia"/>
          <w:bCs/>
          <w:color w:val="000000"/>
        </w:rPr>
      </w:pPr>
      <w:r>
        <w:rPr>
          <w:rStyle w:val="FootnoteReference"/>
          <w:rFonts w:ascii="KaiTi_GB2312"/>
          <w:color w:val="000000"/>
          <w:sz w:val="22"/>
        </w:rPr>
        <w:footnoteRef/>
      </w:r>
      <w:r>
        <w:rPr>
          <w:rFonts w:ascii="KaiTi_GB2312"/>
          <w:b/>
          <w:color w:val="000000"/>
        </w:rPr>
        <w:t xml:space="preserve"> </w:t>
      </w:r>
      <w:r>
        <w:rPr>
          <w:rFonts w:ascii="KaiTi_GB2312" w:hint="eastAsia"/>
          <w:b/>
          <w:color w:val="000000"/>
        </w:rPr>
        <w:t>见</w:t>
      </w:r>
      <w:r>
        <w:rPr>
          <w:rFonts w:ascii="KaiTi_GB2312"/>
          <w:b/>
          <w:color w:val="000000"/>
        </w:rPr>
        <w:t xml:space="preserve"> </w:t>
      </w:r>
      <w:hyperlink r:id="rId2" w:history="1">
        <w:r>
          <w:rPr>
            <w:rFonts w:ascii="KaiTi_GB2312"/>
            <w:bCs/>
            <w:color w:val="000000"/>
            <w:szCs w:val="16"/>
          </w:rPr>
          <w:t>http://en.wikipedia.org/wiki/List_of_countries_by_population_density</w:t>
        </w:r>
      </w:hyperlink>
      <w:r>
        <w:rPr>
          <w:rFonts w:ascii="KaiTi_GB2312" w:hint="eastAsia"/>
          <w:bCs/>
          <w:color w:val="000000"/>
        </w:rPr>
        <w:t>。</w:t>
      </w:r>
    </w:p>
  </w:footnote>
  <w:footnote w:id="392">
    <w:p w:rsidR="00692915" w:rsidRDefault="00692915" w:rsidP="009A1C1B">
      <w:pPr>
        <w:pStyle w:val="FootnoteText"/>
        <w:tabs>
          <w:tab w:val="left" w:pos="780"/>
        </w:tabs>
        <w:ind w:firstLine="31680"/>
        <w:rPr>
          <w:rFonts w:ascii="KaiTi_GB2312" w:hint="eastAsia"/>
          <w:bCs/>
          <w:color w:val="000000"/>
        </w:rPr>
      </w:pPr>
      <w:r>
        <w:rPr>
          <w:rStyle w:val="FootnoteReference"/>
          <w:rFonts w:ascii="KaiTi_GB2312"/>
          <w:color w:val="000000"/>
          <w:sz w:val="22"/>
        </w:rPr>
        <w:footnoteRef/>
      </w:r>
      <w:r>
        <w:rPr>
          <w:rFonts w:ascii="KaiTi_GB2312"/>
          <w:b/>
          <w:color w:val="000000"/>
        </w:rPr>
        <w:t xml:space="preserve"> </w:t>
      </w:r>
      <w:r>
        <w:rPr>
          <w:rFonts w:ascii="KaiTi_GB2312" w:hint="eastAsia"/>
          <w:bCs/>
          <w:color w:val="000000"/>
        </w:rPr>
        <w:t>资料来源：中央情报局《世界概况》</w:t>
      </w:r>
      <w:r>
        <w:rPr>
          <w:color w:val="000000"/>
        </w:rPr>
        <w:t>http://www.cia.gov/cia/publications/factbook/rankorder/</w:t>
      </w:r>
      <w:r>
        <w:rPr>
          <w:rFonts w:hint="eastAsia"/>
          <w:color w:val="000000"/>
        </w:rPr>
        <w:t xml:space="preserve"> </w:t>
      </w:r>
      <w:r>
        <w:rPr>
          <w:color w:val="000000"/>
        </w:rPr>
        <w:t>2147rank.html 22/01/2006</w:t>
      </w:r>
      <w:r>
        <w:rPr>
          <w:rFonts w:ascii="KaiTi_GB2312" w:hint="eastAsia"/>
          <w:bCs/>
          <w:color w:val="000000"/>
        </w:rPr>
        <w:t>。</w:t>
      </w:r>
    </w:p>
  </w:footnote>
  <w:footnote w:id="393">
    <w:p w:rsidR="00692915" w:rsidRDefault="00692915" w:rsidP="009A1C1B">
      <w:pPr>
        <w:pStyle w:val="FootnoteText"/>
        <w:tabs>
          <w:tab w:val="left" w:pos="780"/>
        </w:tabs>
        <w:ind w:firstLine="31680"/>
        <w:rPr>
          <w:rFonts w:ascii="KaiTi_GB2312" w:hint="eastAsia"/>
          <w:bCs/>
          <w:color w:val="000000"/>
        </w:rPr>
      </w:pPr>
      <w:r>
        <w:rPr>
          <w:rStyle w:val="FootnoteReference"/>
          <w:rFonts w:ascii="KaiTi_GB2312"/>
          <w:color w:val="000000"/>
          <w:sz w:val="22"/>
        </w:rPr>
        <w:footnoteRef/>
      </w:r>
      <w:r>
        <w:rPr>
          <w:rFonts w:ascii="KaiTi_GB2312"/>
          <w:b/>
          <w:color w:val="000000"/>
        </w:rPr>
        <w:t xml:space="preserve"> </w:t>
      </w:r>
      <w:r>
        <w:rPr>
          <w:rFonts w:ascii="KaiTi_GB2312" w:hint="eastAsia"/>
          <w:bCs/>
          <w:color w:val="000000"/>
        </w:rPr>
        <w:t>资料来源：中央情报局《世界概况》</w:t>
      </w:r>
      <w:r>
        <w:rPr>
          <w:color w:val="000000"/>
        </w:rPr>
        <w:t>http://www.cia.gov/cia/publications/factbook/geos/</w:t>
      </w:r>
      <w:r>
        <w:rPr>
          <w:rFonts w:hint="eastAsia"/>
          <w:color w:val="000000"/>
        </w:rPr>
        <w:t xml:space="preserve"> </w:t>
      </w:r>
      <w:r>
        <w:rPr>
          <w:color w:val="000000"/>
        </w:rPr>
        <w:t>tt.html#Econ 22/01/2006.</w:t>
      </w:r>
      <w:r>
        <w:rPr>
          <w:rFonts w:hint="eastAsia"/>
          <w:color w:val="000000"/>
        </w:rPr>
        <w:t>。</w:t>
      </w:r>
    </w:p>
  </w:footnote>
  <w:footnote w:id="394">
    <w:p w:rsidR="00692915" w:rsidRDefault="00692915" w:rsidP="009A1C1B">
      <w:pPr>
        <w:pStyle w:val="FootnoteText"/>
        <w:tabs>
          <w:tab w:val="left" w:pos="780"/>
        </w:tabs>
        <w:ind w:firstLine="31680"/>
        <w:rPr>
          <w:rFonts w:ascii="KaiTi_GB2312" w:hint="eastAsia"/>
          <w:bCs/>
          <w:color w:val="000000"/>
        </w:rPr>
      </w:pPr>
      <w:r>
        <w:rPr>
          <w:rStyle w:val="FootnoteReference"/>
          <w:rFonts w:ascii="KaiTi_GB2312"/>
          <w:color w:val="000000"/>
          <w:sz w:val="22"/>
        </w:rPr>
        <w:footnoteRef/>
      </w:r>
      <w:r>
        <w:rPr>
          <w:rFonts w:ascii="KaiTi_GB2312"/>
          <w:b/>
          <w:color w:val="000000"/>
        </w:rPr>
        <w:t xml:space="preserve"> </w:t>
      </w:r>
      <w:r>
        <w:rPr>
          <w:rFonts w:ascii="KaiTi_GB2312" w:hint="eastAsia"/>
          <w:bCs/>
          <w:color w:val="000000"/>
        </w:rPr>
        <w:t>《2004年人口普查手册》：第26页。</w:t>
      </w:r>
    </w:p>
  </w:footnote>
  <w:footnote w:id="395">
    <w:p w:rsidR="00692915" w:rsidRDefault="00692915" w:rsidP="009A1C1B">
      <w:pPr>
        <w:pStyle w:val="FootnoteText"/>
        <w:tabs>
          <w:tab w:val="left" w:pos="780"/>
        </w:tabs>
        <w:ind w:firstLine="31680"/>
        <w:rPr>
          <w:rFonts w:ascii="KaiTi_GB2312" w:hint="eastAsia"/>
          <w:bCs/>
          <w:color w:val="000000"/>
        </w:rPr>
      </w:pPr>
      <w:r>
        <w:rPr>
          <w:rStyle w:val="FootnoteReference"/>
          <w:rFonts w:ascii="KaiTi_GB2312"/>
          <w:color w:val="000000"/>
          <w:sz w:val="22"/>
        </w:rPr>
        <w:footnoteRef/>
      </w:r>
      <w:r>
        <w:rPr>
          <w:rFonts w:ascii="KaiTi_GB2312"/>
          <w:b/>
          <w:color w:val="000000"/>
        </w:rPr>
        <w:t xml:space="preserve">  </w:t>
      </w:r>
      <w:r>
        <w:rPr>
          <w:rFonts w:ascii="KaiTi_GB2312" w:hint="eastAsia"/>
          <w:bCs/>
          <w:color w:val="000000"/>
        </w:rPr>
        <w:t>2004年5月，包考主教巴西里欧·多·纳西门托阁下发言：“在不同的两大信仰之间：东帝汶如何做出反应？”，帝力帝汶发展研究院，2004年5月，引自《2005年关于〈儿童权利公约〉的首次报告》（2005年6月30日）。</w:t>
      </w:r>
    </w:p>
  </w:footnote>
  <w:footnote w:id="396">
    <w:p w:rsidR="00692915" w:rsidRDefault="00692915" w:rsidP="009A1C1B">
      <w:pPr>
        <w:pStyle w:val="FootnoteText"/>
        <w:tabs>
          <w:tab w:val="left" w:pos="780"/>
        </w:tabs>
        <w:ind w:firstLine="31680"/>
        <w:rPr>
          <w:rFonts w:ascii="KaiTi_GB2312" w:hint="eastAsia"/>
          <w:bCs/>
          <w:color w:val="000000"/>
        </w:rPr>
      </w:pPr>
      <w:r>
        <w:rPr>
          <w:rStyle w:val="FootnoteReference"/>
          <w:rFonts w:ascii="KaiTi_GB2312"/>
          <w:color w:val="000000"/>
          <w:sz w:val="22"/>
        </w:rPr>
        <w:footnoteRef/>
      </w:r>
      <w:r>
        <w:rPr>
          <w:rFonts w:ascii="KaiTi_GB2312"/>
          <w:b/>
          <w:color w:val="000000"/>
        </w:rPr>
        <w:t xml:space="preserve"> </w:t>
      </w:r>
      <w:r>
        <w:rPr>
          <w:rFonts w:ascii="KaiTi_GB2312" w:hint="eastAsia"/>
          <w:bCs/>
          <w:color w:val="000000"/>
        </w:rPr>
        <w:t>《2003年人口与健康调查》（DHS）。</w:t>
      </w:r>
    </w:p>
  </w:footnote>
  <w:footnote w:id="397">
    <w:p w:rsidR="00692915" w:rsidRDefault="00692915" w:rsidP="009A1C1B">
      <w:pPr>
        <w:pStyle w:val="FootnoteText"/>
        <w:tabs>
          <w:tab w:val="left" w:pos="780"/>
        </w:tabs>
        <w:ind w:firstLine="31680"/>
        <w:rPr>
          <w:rFonts w:ascii="KaiTi_GB2312" w:hint="eastAsia"/>
          <w:bCs/>
          <w:color w:val="000000"/>
        </w:rPr>
      </w:pPr>
      <w:r>
        <w:rPr>
          <w:rStyle w:val="FootnoteReference"/>
          <w:rFonts w:ascii="KaiTi_GB2312"/>
          <w:color w:val="000000"/>
          <w:sz w:val="22"/>
        </w:rPr>
        <w:footnoteRef/>
      </w:r>
      <w:r>
        <w:rPr>
          <w:rFonts w:ascii="KaiTi_GB2312"/>
          <w:b/>
          <w:color w:val="000000"/>
        </w:rPr>
        <w:t xml:space="preserve">  </w:t>
      </w:r>
      <w:r>
        <w:rPr>
          <w:rFonts w:ascii="KaiTi_GB2312" w:hint="eastAsia"/>
          <w:bCs/>
          <w:color w:val="000000"/>
        </w:rPr>
        <w:t>儿童基金会，2003年5月《东帝汶多指标类集调查报告》：图4.1。</w:t>
      </w:r>
    </w:p>
  </w:footnote>
  <w:footnote w:id="398">
    <w:p w:rsidR="00692915" w:rsidRDefault="00692915" w:rsidP="009A1C1B">
      <w:pPr>
        <w:pStyle w:val="FootnoteText"/>
        <w:tabs>
          <w:tab w:val="left" w:pos="780"/>
        </w:tabs>
        <w:ind w:firstLine="31680"/>
        <w:rPr>
          <w:rFonts w:ascii="KaiTi_GB2312" w:hint="eastAsia"/>
          <w:bCs/>
          <w:color w:val="000000"/>
        </w:rPr>
      </w:pPr>
      <w:r>
        <w:rPr>
          <w:rStyle w:val="FootnoteReference"/>
          <w:rFonts w:ascii="KaiTi_GB2312"/>
          <w:color w:val="000000"/>
          <w:sz w:val="22"/>
        </w:rPr>
        <w:footnoteRef/>
      </w:r>
      <w:r>
        <w:rPr>
          <w:rFonts w:ascii="KaiTi_GB2312"/>
          <w:b/>
          <w:color w:val="000000"/>
        </w:rPr>
        <w:t xml:space="preserve">  </w:t>
      </w:r>
      <w:r>
        <w:rPr>
          <w:rFonts w:ascii="KaiTi_GB2312" w:hint="eastAsia"/>
          <w:bCs/>
          <w:color w:val="000000"/>
          <w:lang w:val="pt-PT"/>
        </w:rPr>
        <w:t>东帝汶卫生部和国家统计局、纽卡斯尔大学、澳大利亚国立大学、澳大利亚艾索尔（ACIL）有限公司：《2003年东帝汶人口与健康调查》，图3.2，澳大利亚纽卡斯尔，纽卡斯尔大学。</w:t>
      </w:r>
    </w:p>
  </w:footnote>
  <w:footnote w:id="399">
    <w:p w:rsidR="00692915" w:rsidRDefault="00692915" w:rsidP="009A1C1B">
      <w:pPr>
        <w:pStyle w:val="FootnoteText"/>
        <w:tabs>
          <w:tab w:val="left" w:pos="780"/>
        </w:tabs>
        <w:ind w:firstLine="31680"/>
        <w:rPr>
          <w:rFonts w:ascii="KaiTi_GB2312" w:hint="eastAsia"/>
          <w:bCs/>
          <w:color w:val="000000"/>
        </w:rPr>
      </w:pPr>
      <w:r>
        <w:rPr>
          <w:rStyle w:val="FootnoteReference"/>
          <w:rFonts w:ascii="KaiTi_GB2312"/>
          <w:color w:val="000000"/>
          <w:sz w:val="22"/>
        </w:rPr>
        <w:footnoteRef/>
      </w:r>
      <w:r>
        <w:rPr>
          <w:rFonts w:ascii="KaiTi_GB2312"/>
          <w:b/>
          <w:color w:val="000000"/>
        </w:rPr>
        <w:t xml:space="preserve"> </w:t>
      </w:r>
      <w:r>
        <w:rPr>
          <w:rFonts w:ascii="KaiTi_GB2312" w:hint="eastAsia"/>
          <w:b/>
          <w:color w:val="000000"/>
        </w:rPr>
        <w:t>《</w:t>
      </w:r>
      <w:r>
        <w:rPr>
          <w:rFonts w:ascii="KaiTi_GB2312" w:hint="eastAsia"/>
          <w:bCs/>
          <w:color w:val="000000"/>
        </w:rPr>
        <w:t>东帝汶：住房与城市发展部门投资方案》，2006年4月。</w:t>
      </w:r>
    </w:p>
  </w:footnote>
  <w:footnote w:id="400">
    <w:p w:rsidR="00692915" w:rsidRDefault="00692915" w:rsidP="009A1C1B">
      <w:pPr>
        <w:pStyle w:val="FootnoteText"/>
        <w:tabs>
          <w:tab w:val="left" w:pos="780"/>
        </w:tabs>
        <w:ind w:firstLine="31680"/>
        <w:rPr>
          <w:rFonts w:ascii="KaiTi_GB2312"/>
          <w:bCs/>
          <w:color w:val="000000"/>
        </w:rPr>
      </w:pPr>
      <w:r>
        <w:rPr>
          <w:rStyle w:val="FootnoteReference"/>
          <w:rFonts w:ascii="KaiTi_GB2312"/>
          <w:color w:val="000000"/>
          <w:sz w:val="22"/>
        </w:rPr>
        <w:footnoteRef/>
      </w:r>
      <w:r>
        <w:rPr>
          <w:rFonts w:ascii="KaiTi_GB2312" w:hint="eastAsia"/>
          <w:bCs/>
          <w:color w:val="000000"/>
        </w:rPr>
        <w:t xml:space="preserve"> </w:t>
      </w:r>
      <w:r>
        <w:rPr>
          <w:color w:val="000000"/>
        </w:rPr>
        <w:t>东帝汶社会心理康复及治疗组织</w:t>
      </w:r>
      <w:r>
        <w:rPr>
          <w:rFonts w:ascii="KaiTi_GB2312" w:hint="eastAsia"/>
          <w:bCs/>
          <w:color w:val="000000"/>
        </w:rPr>
        <w:t>和</w:t>
      </w:r>
      <w:r>
        <w:rPr>
          <w:color w:val="000000"/>
        </w:rPr>
        <w:t>凯瑟琳</w:t>
      </w:r>
      <w:r>
        <w:rPr>
          <w:rFonts w:ascii="KaiTi_GB2312" w:hint="eastAsia"/>
          <w:bCs/>
          <w:color w:val="000000"/>
        </w:rPr>
        <w:t>·罗伯逊：《</w:t>
      </w:r>
      <w:r>
        <w:rPr>
          <w:color w:val="000000"/>
        </w:rPr>
        <w:t>东帝汶社会心理康复及治疗组织</w:t>
      </w:r>
      <w:r>
        <w:rPr>
          <w:rFonts w:ascii="KaiTi_GB2312" w:hint="eastAsia"/>
          <w:bCs/>
          <w:color w:val="000000"/>
        </w:rPr>
        <w:t>关于东帝汶性别暴力的个案研究》，该研究是2005年8月为人口基金和平与安全项目而进行的。</w:t>
      </w:r>
    </w:p>
  </w:footnote>
  <w:footnote w:id="401">
    <w:p w:rsidR="00692915" w:rsidRDefault="00692915" w:rsidP="009A1C1B">
      <w:pPr>
        <w:pStyle w:val="FootnoteText"/>
        <w:tabs>
          <w:tab w:val="left" w:pos="780"/>
        </w:tabs>
        <w:ind w:firstLine="31680"/>
        <w:rPr>
          <w:rFonts w:ascii="KaiTi_GB2312" w:hint="eastAsia"/>
          <w:bCs/>
          <w:color w:val="000000"/>
        </w:rPr>
      </w:pPr>
      <w:r>
        <w:rPr>
          <w:rStyle w:val="FootnoteReference"/>
          <w:rFonts w:ascii="KaiTi_GB2312"/>
          <w:color w:val="000000"/>
          <w:sz w:val="22"/>
        </w:rPr>
        <w:footnoteRef/>
      </w:r>
      <w:r>
        <w:rPr>
          <w:rFonts w:ascii="KaiTi_GB2312" w:hint="eastAsia"/>
          <w:bCs/>
          <w:color w:val="000000"/>
        </w:rPr>
        <w:t xml:space="preserve"> 《2005年儿童基金会报告》。</w:t>
      </w:r>
    </w:p>
  </w:footnote>
  <w:footnote w:id="402">
    <w:p w:rsidR="00692915" w:rsidRDefault="00692915" w:rsidP="009A1C1B">
      <w:pPr>
        <w:pStyle w:val="FootnoteText"/>
        <w:tabs>
          <w:tab w:val="left" w:pos="780"/>
        </w:tabs>
        <w:ind w:firstLine="31680"/>
        <w:rPr>
          <w:rFonts w:ascii="KaiTi_GB2312" w:hint="eastAsia"/>
          <w:bCs/>
          <w:color w:val="000000"/>
        </w:rPr>
      </w:pPr>
      <w:r>
        <w:rPr>
          <w:rStyle w:val="FootnoteReference"/>
          <w:rFonts w:ascii="KaiTi_GB2312"/>
          <w:color w:val="000000"/>
          <w:sz w:val="22"/>
        </w:rPr>
        <w:footnoteRef/>
      </w:r>
      <w:r>
        <w:rPr>
          <w:rFonts w:ascii="KaiTi_GB2312"/>
          <w:b/>
          <w:color w:val="000000"/>
        </w:rPr>
        <w:t xml:space="preserve">  </w:t>
      </w:r>
      <w:r>
        <w:rPr>
          <w:rFonts w:ascii="KaiTi_GB2312" w:hint="eastAsia"/>
          <w:bCs/>
          <w:color w:val="000000"/>
        </w:rPr>
        <w:t>开发计划署，《2006年人类发展报告》，第30页。</w:t>
      </w:r>
    </w:p>
  </w:footnote>
  <w:footnote w:id="403">
    <w:p w:rsidR="00692915" w:rsidRDefault="00692915" w:rsidP="009A1C1B">
      <w:pPr>
        <w:pStyle w:val="FootnoteText"/>
        <w:tabs>
          <w:tab w:val="left" w:pos="780"/>
        </w:tabs>
        <w:ind w:firstLine="31680"/>
        <w:rPr>
          <w:rFonts w:ascii="KaiTi_GB2312" w:hint="eastAsia"/>
          <w:color w:val="000000"/>
          <w:lang w:val="en-AU"/>
        </w:rPr>
      </w:pPr>
      <w:r>
        <w:rPr>
          <w:rStyle w:val="FootnoteReference"/>
          <w:rFonts w:ascii="KaiTi_GB2312"/>
          <w:color w:val="000000"/>
          <w:sz w:val="22"/>
        </w:rPr>
        <w:footnoteRef/>
      </w:r>
      <w:r>
        <w:rPr>
          <w:rFonts w:ascii="KaiTi_GB2312"/>
          <w:color w:val="000000"/>
        </w:rPr>
        <w:t xml:space="preserve">  </w:t>
      </w:r>
      <w:r>
        <w:rPr>
          <w:rFonts w:ascii="KaiTi_GB2312" w:hint="eastAsia"/>
          <w:color w:val="000000"/>
        </w:rPr>
        <w:t>《东帝汶：</w:t>
      </w:r>
      <w:r>
        <w:rPr>
          <w:rFonts w:ascii="KaiTi_GB2312"/>
          <w:color w:val="000000"/>
        </w:rPr>
        <w:t>医疗部门投资方案</w:t>
      </w:r>
      <w:r>
        <w:rPr>
          <w:rFonts w:ascii="KaiTi_GB2312" w:hint="eastAsia"/>
          <w:color w:val="000000"/>
        </w:rPr>
        <w:t>》附件表1。</w:t>
      </w:r>
    </w:p>
  </w:footnote>
  <w:footnote w:id="404">
    <w:p w:rsidR="00692915" w:rsidRDefault="00692915" w:rsidP="009A1C1B">
      <w:pPr>
        <w:pStyle w:val="FootnoteText"/>
        <w:tabs>
          <w:tab w:val="left" w:pos="780"/>
        </w:tabs>
        <w:ind w:firstLine="31680"/>
        <w:rPr>
          <w:rFonts w:ascii="KaiTi_GB2312" w:hint="eastAsia"/>
          <w:color w:val="000000"/>
          <w:lang w:val="en-AU"/>
        </w:rPr>
      </w:pPr>
      <w:r>
        <w:rPr>
          <w:rStyle w:val="FootnoteReference"/>
          <w:rFonts w:ascii="KaiTi_GB2312"/>
          <w:color w:val="000000"/>
          <w:sz w:val="22"/>
        </w:rPr>
        <w:footnoteRef/>
      </w:r>
      <w:r>
        <w:rPr>
          <w:rStyle w:val="FootnoteReference"/>
          <w:rFonts w:ascii="KaiTi_GB2312"/>
          <w:color w:val="000000"/>
          <w:sz w:val="22"/>
        </w:rPr>
        <w:t xml:space="preserve">  </w:t>
      </w:r>
      <w:r>
        <w:rPr>
          <w:rFonts w:ascii="KaiTi_GB2312" w:hint="eastAsia"/>
          <w:color w:val="000000"/>
        </w:rPr>
        <w:t>《</w:t>
      </w:r>
      <w:r>
        <w:rPr>
          <w:rFonts w:ascii="KaiTi_GB2312" w:hint="eastAsia"/>
          <w:bCs/>
          <w:color w:val="000000"/>
        </w:rPr>
        <w:t>东帝汶：新国家中的贫穷：行动分析》，2003年，第89页。</w:t>
      </w:r>
    </w:p>
  </w:footnote>
  <w:footnote w:id="405">
    <w:p w:rsidR="00692915" w:rsidRDefault="00692915" w:rsidP="009A1C1B">
      <w:pPr>
        <w:pStyle w:val="FootnoteText"/>
        <w:tabs>
          <w:tab w:val="left" w:pos="780"/>
        </w:tabs>
        <w:ind w:firstLine="31680"/>
        <w:rPr>
          <w:rFonts w:ascii="KaiTi_GB2312" w:hint="eastAsia"/>
          <w:bCs/>
          <w:color w:val="000000"/>
        </w:rPr>
      </w:pPr>
      <w:r>
        <w:rPr>
          <w:rStyle w:val="FootnoteReference"/>
          <w:rFonts w:ascii="KaiTi_GB2312"/>
          <w:color w:val="000000"/>
          <w:sz w:val="22"/>
        </w:rPr>
        <w:footnoteRef/>
      </w:r>
      <w:r>
        <w:rPr>
          <w:rFonts w:ascii="KaiTi_GB2312"/>
          <w:color w:val="000000"/>
        </w:rPr>
        <w:t xml:space="preserve">  </w:t>
      </w:r>
      <w:r>
        <w:rPr>
          <w:rFonts w:ascii="KaiTi_GB2312" w:hint="eastAsia"/>
          <w:bCs/>
          <w:color w:val="000000"/>
        </w:rPr>
        <w:t>根据购买力平价（PPP）汇率，可以对两个国家之间的实际价格水平进行标准的比较。</w:t>
      </w:r>
    </w:p>
  </w:footnote>
  <w:footnote w:id="406">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color w:val="000000"/>
        </w:rPr>
        <w:t xml:space="preserve"> </w:t>
      </w:r>
      <w:r>
        <w:rPr>
          <w:rFonts w:ascii="KaiTi_GB2312" w:hint="eastAsia"/>
          <w:color w:val="000000"/>
        </w:rPr>
        <w:t>见</w:t>
      </w:r>
      <w:r>
        <w:rPr>
          <w:rFonts w:ascii="KaiTi_GB2312"/>
          <w:color w:val="000000"/>
        </w:rPr>
        <w:t xml:space="preserve"> </w:t>
      </w:r>
      <w:r>
        <w:rPr>
          <w:rFonts w:ascii="KaiTi_GB2312"/>
          <w:color w:val="000000"/>
          <w:szCs w:val="16"/>
        </w:rPr>
        <w:fldChar w:fldCharType="begin"/>
      </w:r>
      <w:r>
        <w:rPr>
          <w:rFonts w:ascii="KaiTi_GB2312"/>
          <w:color w:val="000000"/>
          <w:szCs w:val="16"/>
        </w:rPr>
        <w:instrText xml:space="preserve"> HYPERLINK "http://www.ipu.org/wmn-e/arc/classif280206.htm" </w:instrText>
      </w:r>
      <w:r>
        <w:rPr>
          <w:rFonts w:ascii="KaiTi_GB2312"/>
          <w:color w:val="000000"/>
          <w:szCs w:val="16"/>
        </w:rPr>
      </w:r>
      <w:r>
        <w:rPr>
          <w:rFonts w:ascii="KaiTi_GB2312"/>
          <w:color w:val="000000"/>
          <w:szCs w:val="16"/>
        </w:rPr>
        <w:fldChar w:fldCharType="separate"/>
      </w:r>
      <w:r>
        <w:rPr>
          <w:rFonts w:ascii="KaiTi_GB2312"/>
          <w:color w:val="000000"/>
          <w:szCs w:val="16"/>
        </w:rPr>
        <w:t>http://www.ipu.org/wmn-e/arc/classif280206.htm</w:t>
      </w:r>
      <w:r>
        <w:rPr>
          <w:rFonts w:ascii="KaiTi_GB2312"/>
          <w:color w:val="000000"/>
          <w:szCs w:val="16"/>
        </w:rPr>
        <w:fldChar w:fldCharType="end"/>
      </w:r>
      <w:r>
        <w:rPr>
          <w:rFonts w:ascii="KaiTi_GB2312" w:hint="eastAsia"/>
          <w:color w:val="000000"/>
          <w:szCs w:val="16"/>
        </w:rPr>
        <w:t>。</w:t>
      </w:r>
    </w:p>
  </w:footnote>
  <w:footnote w:id="407">
    <w:p w:rsidR="00692915" w:rsidRDefault="00692915" w:rsidP="009A1C1B">
      <w:pPr>
        <w:pStyle w:val="FootnoteText"/>
        <w:tabs>
          <w:tab w:val="left" w:pos="780"/>
        </w:tabs>
        <w:ind w:firstLine="31680"/>
        <w:rPr>
          <w:rFonts w:ascii="KaiTi_GB2312" w:hint="eastAsia"/>
          <w:color w:val="000000"/>
        </w:rPr>
      </w:pPr>
      <w:r>
        <w:rPr>
          <w:rStyle w:val="FootnoteReference"/>
          <w:rFonts w:ascii="KaiTi_GB2312"/>
          <w:color w:val="000000"/>
          <w:sz w:val="22"/>
        </w:rPr>
        <w:footnoteRef/>
      </w:r>
      <w:r>
        <w:rPr>
          <w:rFonts w:ascii="KaiTi_GB2312"/>
          <w:b/>
          <w:bCs/>
          <w:color w:val="000000"/>
        </w:rPr>
        <w:t xml:space="preserve">  </w:t>
      </w:r>
      <w:r>
        <w:rPr>
          <w:rFonts w:ascii="KaiTi_GB2312" w:hint="eastAsia"/>
          <w:bCs/>
          <w:color w:val="000000"/>
        </w:rPr>
        <w:t>2005年司法系统监测方案报告，《东帝汶司法部门概况》</w:t>
      </w:r>
      <w:r>
        <w:rPr>
          <w:rFonts w:ascii="KaiTi_GB2312" w:hint="eastAsia"/>
          <w:color w:val="00000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915" w:rsidRDefault="00692915">
    <w:pPr>
      <w:pStyle w:val="Header"/>
      <w:ind w:firstLineChars="0" w:firstLine="0"/>
      <w:rPr>
        <w:rFonts w:hint="eastAsia"/>
        <w:lang w:eastAsia="zh-CN"/>
      </w:rPr>
    </w:pPr>
    <w:r>
      <w:rPr>
        <w:rFonts w:hint="eastAsia"/>
        <w:lang w:eastAsia="zh-CN"/>
      </w:rPr>
      <w:t>HRI</w:t>
    </w:r>
    <w:r>
      <w:t>/</w:t>
    </w:r>
    <w:r>
      <w:rPr>
        <w:rFonts w:hint="eastAsia"/>
        <w:lang w:eastAsia="zh-CN"/>
      </w:rPr>
      <w:t>CORE/TLS/2007</w:t>
    </w:r>
  </w:p>
  <w:p w:rsidR="00692915" w:rsidRDefault="00692915">
    <w:pPr>
      <w:pStyle w:val="Header"/>
      <w:ind w:firstLineChars="0" w:firstLine="0"/>
    </w:pPr>
    <w:r>
      <w:t xml:space="preserve">page </w:t>
    </w:r>
    <w:r>
      <w:rPr>
        <w:rStyle w:val="PageNumber"/>
      </w:rPr>
      <w:fldChar w:fldCharType="begin"/>
    </w:r>
    <w:r>
      <w:rPr>
        <w:rStyle w:val="PageNumber"/>
      </w:rPr>
      <w:instrText xml:space="preserve"> PAGE </w:instrText>
    </w:r>
    <w:r>
      <w:rPr>
        <w:rStyle w:val="PageNumber"/>
      </w:rPr>
      <w:fldChar w:fldCharType="separate"/>
    </w:r>
    <w:r w:rsidR="00960864">
      <w:rPr>
        <w:rStyle w:val="PageNumber"/>
        <w:noProof/>
      </w:rPr>
      <w:t>192</w:t>
    </w:r>
    <w:r>
      <w:rPr>
        <w:rStyle w:val="PageNumbe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915" w:rsidRDefault="00692915" w:rsidP="009A1C1B">
    <w:pPr>
      <w:pStyle w:val="Header"/>
      <w:ind w:firstLine="31680"/>
      <w:rPr>
        <w:rFonts w:hint="eastAsia"/>
        <w:lang w:eastAsia="zh-CN"/>
      </w:rPr>
    </w:pPr>
    <w:r>
      <w:tab/>
    </w:r>
    <w:r>
      <w:tab/>
    </w:r>
    <w:r>
      <w:tab/>
    </w:r>
    <w:r>
      <w:tab/>
    </w:r>
    <w:r>
      <w:rPr>
        <w:rFonts w:hint="eastAsia"/>
        <w:lang w:eastAsia="zh-CN"/>
      </w:rPr>
      <w:t>HRI</w:t>
    </w:r>
    <w:r>
      <w:t>/</w:t>
    </w:r>
    <w:r>
      <w:rPr>
        <w:rFonts w:hint="eastAsia"/>
        <w:lang w:eastAsia="zh-CN"/>
      </w:rPr>
      <w:t>CORE/TLS/2007</w:t>
    </w:r>
  </w:p>
  <w:p w:rsidR="00692915" w:rsidRDefault="00692915" w:rsidP="009A1C1B">
    <w:pPr>
      <w:pStyle w:val="Header"/>
      <w:ind w:firstLine="31680"/>
    </w:pPr>
    <w:r>
      <w:tab/>
    </w:r>
    <w:r>
      <w:tab/>
    </w:r>
    <w:r>
      <w:tab/>
    </w:r>
    <w:r>
      <w:tab/>
      <w:t xml:space="preserve">page </w:t>
    </w:r>
    <w:r>
      <w:rPr>
        <w:rStyle w:val="PageNumber"/>
      </w:rPr>
      <w:fldChar w:fldCharType="begin"/>
    </w:r>
    <w:r>
      <w:rPr>
        <w:rStyle w:val="PageNumber"/>
      </w:rPr>
      <w:instrText xml:space="preserve"> PAGE </w:instrText>
    </w:r>
    <w:r>
      <w:rPr>
        <w:rStyle w:val="PageNumber"/>
      </w:rPr>
      <w:fldChar w:fldCharType="separate"/>
    </w:r>
    <w:r w:rsidR="00960864">
      <w:rPr>
        <w:rStyle w:val="PageNumber"/>
        <w:noProof/>
      </w:rPr>
      <w:t>221</w:t>
    </w:r>
    <w:r>
      <w:rPr>
        <w:rStyle w:val="PageNumbe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915" w:rsidRDefault="00692915" w:rsidP="009A1C1B">
    <w:pPr>
      <w:pStyle w:val="Header"/>
      <w:ind w:firstLine="31680"/>
    </w:pPr>
  </w:p>
  <w:p w:rsidR="00692915" w:rsidRDefault="00692915" w:rsidP="009A1C1B">
    <w:pPr>
      <w:pStyle w:val="Header"/>
      <w:ind w:firstLine="31680"/>
    </w:pPr>
  </w:p>
  <w:p w:rsidR="00692915" w:rsidRDefault="00692915" w:rsidP="009A1C1B">
    <w:pPr>
      <w:pStyle w:val="Header"/>
      <w:ind w:firstLine="31680"/>
    </w:pPr>
  </w:p>
  <w:p w:rsidR="00692915" w:rsidRDefault="00692915" w:rsidP="009A1C1B">
    <w:pPr>
      <w:pStyle w:val="Header"/>
      <w:ind w:firstLine="31680"/>
    </w:pPr>
  </w:p>
  <w:p w:rsidR="00692915" w:rsidRDefault="00692915" w:rsidP="009A1C1B">
    <w:pPr>
      <w:pStyle w:val="Header"/>
      <w:ind w:firstLine="31680"/>
    </w:pPr>
  </w:p>
  <w:p w:rsidR="00692915" w:rsidRDefault="00692915" w:rsidP="009A1C1B">
    <w:pPr>
      <w:pStyle w:val="Header"/>
      <w:ind w:firstLine="31680"/>
    </w:pPr>
  </w:p>
  <w:p w:rsidR="00692915" w:rsidRDefault="00692915" w:rsidP="009A1C1B">
    <w:pPr>
      <w:pStyle w:val="Header"/>
      <w:ind w:firstLine="31680"/>
    </w:pPr>
  </w:p>
  <w:tbl>
    <w:tblPr>
      <w:tblpPr w:leftFromText="180" w:rightFromText="180" w:vertAnchor="page" w:horzAnchor="margin" w:tblpY="99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4536"/>
      <w:gridCol w:w="3260"/>
    </w:tblGrid>
    <w:tr w:rsidR="00692915">
      <w:tblPrEx>
        <w:tblCellMar>
          <w:top w:w="0" w:type="dxa"/>
          <w:bottom w:w="0" w:type="dxa"/>
        </w:tblCellMar>
      </w:tblPrEx>
      <w:tc>
        <w:tcPr>
          <w:tcW w:w="1668" w:type="dxa"/>
          <w:tcBorders>
            <w:top w:val="nil"/>
            <w:left w:val="nil"/>
            <w:bottom w:val="single" w:sz="8" w:space="0" w:color="auto"/>
            <w:right w:val="nil"/>
          </w:tcBorders>
          <w:vAlign w:val="center"/>
        </w:tcPr>
        <w:p w:rsidR="00692915" w:rsidRDefault="00692915">
          <w:pPr>
            <w:pStyle w:val="1L"/>
            <w:framePr w:w="0" w:hRule="auto" w:hSpace="0" w:wrap="auto" w:vAnchor="margin" w:hAnchor="text" w:xAlign="left" w:yAlign="inline"/>
            <w:ind w:firstLineChars="0" w:firstLine="0"/>
            <w:rPr>
              <w:rFonts w:ascii="Time New Roman" w:hAnsi="Time New Roman"/>
              <w:b/>
            </w:rPr>
          </w:pPr>
          <w:r>
            <w:rPr>
              <w:rFonts w:hint="eastAsia"/>
            </w:rPr>
            <w:t>联合国</w:t>
          </w:r>
        </w:p>
      </w:tc>
      <w:tc>
        <w:tcPr>
          <w:tcW w:w="4536" w:type="dxa"/>
          <w:tcBorders>
            <w:top w:val="nil"/>
            <w:left w:val="nil"/>
            <w:bottom w:val="single" w:sz="8" w:space="0" w:color="auto"/>
            <w:right w:val="nil"/>
          </w:tcBorders>
        </w:tcPr>
        <w:p w:rsidR="00692915" w:rsidRDefault="00692915" w:rsidP="009A1C1B">
          <w:pPr>
            <w:pStyle w:val="1L"/>
            <w:framePr w:w="0" w:hRule="auto" w:hSpace="0" w:wrap="auto" w:vAnchor="margin" w:hAnchor="text" w:xAlign="left" w:yAlign="inline"/>
            <w:ind w:firstLine="31680"/>
          </w:pPr>
        </w:p>
      </w:tc>
      <w:tc>
        <w:tcPr>
          <w:tcW w:w="3260" w:type="dxa"/>
          <w:tcBorders>
            <w:top w:val="nil"/>
            <w:left w:val="nil"/>
            <w:bottom w:val="single" w:sz="8" w:space="0" w:color="auto"/>
            <w:right w:val="nil"/>
          </w:tcBorders>
          <w:vAlign w:val="bottom"/>
        </w:tcPr>
        <w:p w:rsidR="00692915" w:rsidRDefault="00692915" w:rsidP="009A1C1B">
          <w:pPr>
            <w:pStyle w:val="1R1"/>
            <w:ind w:firstLine="31680"/>
            <w:jc w:val="right"/>
            <w:rPr>
              <w:rFonts w:ascii="Univers" w:hAnsi="Univers" w:hint="eastAsia"/>
              <w:b w:val="0"/>
              <w:sz w:val="72"/>
            </w:rPr>
          </w:pPr>
          <w:r>
            <w:rPr>
              <w:rFonts w:hint="eastAsia"/>
            </w:rPr>
            <w:t>HRI</w:t>
          </w:r>
        </w:p>
      </w:tc>
    </w:tr>
    <w:bookmarkStart w:id="356" w:name="_MON_992683020"/>
    <w:bookmarkStart w:id="357" w:name="_MON_1114339969"/>
    <w:bookmarkEnd w:id="356"/>
    <w:bookmarkEnd w:id="357"/>
    <w:tr w:rsidR="00692915">
      <w:tblPrEx>
        <w:tblCellMar>
          <w:top w:w="0" w:type="dxa"/>
          <w:bottom w:w="0" w:type="dxa"/>
        </w:tblCellMar>
      </w:tblPrEx>
      <w:tc>
        <w:tcPr>
          <w:tcW w:w="1668" w:type="dxa"/>
          <w:tcBorders>
            <w:top w:val="single" w:sz="8" w:space="0" w:color="auto"/>
            <w:left w:val="nil"/>
            <w:bottom w:val="single" w:sz="24" w:space="0" w:color="auto"/>
            <w:right w:val="nil"/>
          </w:tcBorders>
        </w:tcPr>
        <w:p w:rsidR="00692915" w:rsidRDefault="00692915">
          <w:pPr>
            <w:ind w:firstLineChars="0" w:firstLine="0"/>
          </w:pPr>
          <w:r>
            <w:object w:dxaOrig="1441" w:dyaOrig="1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in;height:66.75pt" o:ole="" fillcolor="window">
                <v:imagedata r:id="rId1" o:title=""/>
              </v:shape>
              <o:OLEObject Type="Embed" ProgID="Word.Picture.8" ShapeID="_x0000_i1056" DrawAspect="Content" ObjectID="_1395890565" r:id="rId2"/>
            </w:object>
          </w:r>
        </w:p>
      </w:tc>
      <w:tc>
        <w:tcPr>
          <w:tcW w:w="4536" w:type="dxa"/>
          <w:tcBorders>
            <w:top w:val="single" w:sz="8" w:space="0" w:color="auto"/>
            <w:left w:val="nil"/>
            <w:bottom w:val="single" w:sz="24" w:space="0" w:color="auto"/>
            <w:right w:val="nil"/>
          </w:tcBorders>
        </w:tcPr>
        <w:p w:rsidR="00692915" w:rsidRDefault="00692915" w:rsidP="009A1C1B">
          <w:pPr>
            <w:pStyle w:val="1m2"/>
            <w:spacing w:line="288" w:lineRule="auto"/>
            <w:ind w:firstLine="31680"/>
            <w:rPr>
              <w:spacing w:val="40"/>
              <w:sz w:val="20"/>
            </w:rPr>
          </w:pPr>
        </w:p>
        <w:p w:rsidR="00692915" w:rsidRDefault="00692915">
          <w:pPr>
            <w:pStyle w:val="1m2"/>
            <w:spacing w:line="288" w:lineRule="auto"/>
            <w:ind w:firstLineChars="0" w:firstLine="0"/>
            <w:rPr>
              <w:spacing w:val="40"/>
            </w:rPr>
          </w:pPr>
          <w:r>
            <w:rPr>
              <w:rFonts w:hint="eastAsia"/>
              <w:spacing w:val="40"/>
            </w:rPr>
            <w:t>国际人权文书</w:t>
          </w:r>
        </w:p>
        <w:p w:rsidR="00692915" w:rsidRDefault="00692915" w:rsidP="009A1C1B">
          <w:pPr>
            <w:pStyle w:val="1m2"/>
            <w:spacing w:line="288" w:lineRule="auto"/>
            <w:ind w:firstLine="31680"/>
            <w:rPr>
              <w:spacing w:val="40"/>
            </w:rPr>
          </w:pPr>
        </w:p>
        <w:p w:rsidR="00692915" w:rsidRDefault="00692915" w:rsidP="009A1C1B">
          <w:pPr>
            <w:pStyle w:val="1m1"/>
            <w:spacing w:before="480"/>
            <w:ind w:firstLine="31680"/>
          </w:pPr>
        </w:p>
      </w:tc>
      <w:tc>
        <w:tcPr>
          <w:tcW w:w="3260" w:type="dxa"/>
          <w:tcBorders>
            <w:top w:val="single" w:sz="8" w:space="0" w:color="auto"/>
            <w:left w:val="nil"/>
            <w:bottom w:val="single" w:sz="24" w:space="0" w:color="auto"/>
            <w:right w:val="nil"/>
          </w:tcBorders>
        </w:tcPr>
        <w:p w:rsidR="00692915" w:rsidRDefault="00692915">
          <w:pPr>
            <w:pStyle w:val="Header"/>
            <w:ind w:firstLineChars="0" w:firstLine="0"/>
            <w:rPr>
              <w:lang w:val="en-US" w:eastAsia="zh-CN"/>
            </w:rPr>
          </w:pPr>
        </w:p>
        <w:p w:rsidR="00692915" w:rsidRDefault="00692915">
          <w:pPr>
            <w:pStyle w:val="Header"/>
            <w:ind w:firstLineChars="0" w:firstLine="0"/>
          </w:pPr>
          <w:r>
            <w:t>Distr.</w:t>
          </w:r>
        </w:p>
        <w:p w:rsidR="00692915" w:rsidRDefault="00692915">
          <w:pPr>
            <w:pStyle w:val="Header"/>
            <w:ind w:firstLineChars="0" w:firstLine="0"/>
            <w:rPr>
              <w:rFonts w:hint="eastAsia"/>
              <w:lang w:eastAsia="zh-CN"/>
            </w:rPr>
          </w:pPr>
          <w:r>
            <w:rPr>
              <w:rFonts w:hint="eastAsia"/>
              <w:lang w:eastAsia="zh-CN"/>
            </w:rPr>
            <w:t>GENERAL</w:t>
          </w:r>
        </w:p>
        <w:p w:rsidR="00692915" w:rsidRDefault="00692915">
          <w:pPr>
            <w:pStyle w:val="Header"/>
            <w:ind w:firstLineChars="0" w:firstLine="0"/>
          </w:pPr>
        </w:p>
        <w:p w:rsidR="00692915" w:rsidRDefault="00692915">
          <w:pPr>
            <w:pStyle w:val="Header"/>
            <w:ind w:firstLineChars="0" w:firstLine="0"/>
            <w:rPr>
              <w:rFonts w:hint="eastAsia"/>
              <w:lang w:eastAsia="zh-CN"/>
            </w:rPr>
          </w:pPr>
          <w:r>
            <w:rPr>
              <w:rFonts w:hint="eastAsia"/>
              <w:lang w:eastAsia="zh-CN"/>
            </w:rPr>
            <w:t>HRI</w:t>
          </w:r>
          <w:r>
            <w:t>/</w:t>
          </w:r>
          <w:r>
            <w:rPr>
              <w:rFonts w:hint="eastAsia"/>
              <w:lang w:eastAsia="zh-CN"/>
            </w:rPr>
            <w:t>CORE/TLS/2007</w:t>
          </w:r>
        </w:p>
        <w:p w:rsidR="00692915" w:rsidRDefault="00692915">
          <w:pPr>
            <w:pStyle w:val="Header"/>
            <w:ind w:firstLineChars="0" w:firstLine="0"/>
          </w:pPr>
          <w:r>
            <w:rPr>
              <w:rFonts w:hint="eastAsia"/>
              <w:lang w:eastAsia="zh-CN"/>
            </w:rPr>
            <w:t>16 J</w:t>
          </w:r>
          <w:r>
            <w:rPr>
              <w:lang w:val="en-US" w:eastAsia="zh-CN"/>
            </w:rPr>
            <w:t>uly</w:t>
          </w:r>
          <w:r>
            <w:t xml:space="preserve"> 2007</w:t>
          </w:r>
        </w:p>
        <w:p w:rsidR="00692915" w:rsidRDefault="00692915">
          <w:pPr>
            <w:pStyle w:val="Header"/>
            <w:ind w:firstLineChars="0" w:firstLine="0"/>
          </w:pPr>
        </w:p>
        <w:p w:rsidR="00692915" w:rsidRDefault="00692915">
          <w:pPr>
            <w:pStyle w:val="Header"/>
            <w:ind w:firstLineChars="0" w:firstLine="0"/>
          </w:pPr>
          <w:r>
            <w:t>CHINESE</w:t>
          </w:r>
        </w:p>
        <w:p w:rsidR="00692915" w:rsidRDefault="00692915">
          <w:pPr>
            <w:pStyle w:val="Header"/>
            <w:tabs>
              <w:tab w:val="clear" w:pos="992"/>
              <w:tab w:val="left" w:pos="993"/>
            </w:tabs>
            <w:ind w:firstLineChars="0" w:firstLine="0"/>
          </w:pPr>
          <w:r>
            <w:t>Original:</w:t>
          </w:r>
          <w:r>
            <w:tab/>
            <w:t>ENGLISH</w:t>
          </w:r>
        </w:p>
        <w:p w:rsidR="00692915" w:rsidRDefault="00692915">
          <w:pPr>
            <w:pStyle w:val="Header"/>
            <w:ind w:firstLineChars="0" w:firstLine="0"/>
          </w:pPr>
        </w:p>
      </w:tc>
    </w:tr>
    <w:tr w:rsidR="00692915">
      <w:tblPrEx>
        <w:tblCellMar>
          <w:top w:w="0" w:type="dxa"/>
          <w:bottom w:w="0" w:type="dxa"/>
        </w:tblCellMar>
      </w:tblPrEx>
      <w:trPr>
        <w:cantSplit/>
        <w:trHeight w:val="293"/>
      </w:trPr>
      <w:tc>
        <w:tcPr>
          <w:tcW w:w="1668" w:type="dxa"/>
          <w:tcBorders>
            <w:top w:val="single" w:sz="24" w:space="0" w:color="auto"/>
            <w:left w:val="nil"/>
            <w:bottom w:val="nil"/>
            <w:right w:val="nil"/>
          </w:tcBorders>
          <w:noWrap/>
        </w:tcPr>
        <w:p w:rsidR="00692915" w:rsidRDefault="00692915" w:rsidP="009A1C1B">
          <w:pPr>
            <w:ind w:firstLine="31680"/>
            <w:rPr>
              <w:sz w:val="16"/>
            </w:rPr>
          </w:pPr>
        </w:p>
      </w:tc>
      <w:tc>
        <w:tcPr>
          <w:tcW w:w="4536" w:type="dxa"/>
          <w:tcBorders>
            <w:top w:val="single" w:sz="24" w:space="0" w:color="auto"/>
            <w:left w:val="nil"/>
            <w:bottom w:val="nil"/>
            <w:right w:val="nil"/>
          </w:tcBorders>
          <w:noWrap/>
        </w:tcPr>
        <w:p w:rsidR="00692915" w:rsidRDefault="00692915" w:rsidP="009A1C1B">
          <w:pPr>
            <w:pStyle w:val="1m1"/>
            <w:spacing w:line="240" w:lineRule="auto"/>
            <w:ind w:firstLine="31680"/>
            <w:rPr>
              <w:rFonts w:hint="eastAsia"/>
              <w:sz w:val="16"/>
            </w:rPr>
          </w:pPr>
        </w:p>
      </w:tc>
      <w:tc>
        <w:tcPr>
          <w:tcW w:w="3260" w:type="dxa"/>
          <w:tcBorders>
            <w:top w:val="single" w:sz="24" w:space="0" w:color="auto"/>
            <w:left w:val="nil"/>
            <w:bottom w:val="nil"/>
            <w:right w:val="nil"/>
          </w:tcBorders>
          <w:noWrap/>
        </w:tcPr>
        <w:p w:rsidR="00692915" w:rsidRDefault="00692915" w:rsidP="009A1C1B">
          <w:pPr>
            <w:ind w:firstLine="31680"/>
            <w:rPr>
              <w:sz w:val="16"/>
            </w:rPr>
          </w:pPr>
        </w:p>
      </w:tc>
    </w:tr>
  </w:tbl>
  <w:p w:rsidR="00692915" w:rsidRDefault="00692915" w:rsidP="009A1C1B">
    <w:pPr>
      <w:pStyle w:val="Header"/>
      <w:ind w:firstLine="31680"/>
    </w:pPr>
  </w:p>
  <w:p w:rsidR="00692915" w:rsidRDefault="00692915" w:rsidP="009A1C1B">
    <w:pPr>
      <w:pStyle w:val="Header"/>
      <w:ind w:firstLine="31680"/>
    </w:pPr>
  </w:p>
  <w:p w:rsidR="00692915" w:rsidRDefault="00692915" w:rsidP="009A1C1B">
    <w:pPr>
      <w:pStyle w:val="Header"/>
      <w:ind w:firstLine="31680"/>
    </w:pPr>
  </w:p>
  <w:p w:rsidR="00692915" w:rsidRDefault="00692915" w:rsidP="009A1C1B">
    <w:pPr>
      <w:pStyle w:val="Header"/>
      <w:ind w:firstLine="31680"/>
    </w:pPr>
  </w:p>
  <w:p w:rsidR="00692915" w:rsidRDefault="00692915" w:rsidP="009A1C1B">
    <w:pPr>
      <w:pStyle w:val="Header"/>
      <w:ind w:firstLine="31680"/>
    </w:pPr>
  </w:p>
  <w:p w:rsidR="00692915" w:rsidRDefault="00692915" w:rsidP="009A1C1B">
    <w:pPr>
      <w:pStyle w:val="Header"/>
      <w:ind w:firstLine="31680"/>
    </w:pPr>
  </w:p>
  <w:p w:rsidR="00692915" w:rsidRDefault="00692915" w:rsidP="009A1C1B">
    <w:pPr>
      <w:pStyle w:val="Header"/>
      <w:ind w:firstLine="31680"/>
    </w:pPr>
  </w:p>
  <w:p w:rsidR="00692915" w:rsidRDefault="00692915" w:rsidP="009A1C1B">
    <w:pPr>
      <w:pStyle w:val="Header"/>
      <w:ind w:firstLine="316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915" w:rsidRDefault="00692915">
    <w:pPr>
      <w:pStyle w:val="Header"/>
      <w:ind w:firstLineChars="0" w:firstLine="0"/>
    </w:pPr>
    <w:r>
      <w:rPr>
        <w:noProof/>
        <w:snapToGrid/>
        <w:sz w:val="20"/>
        <w:lang w:val="en-US" w:eastAsia="zh-CN"/>
      </w:rPr>
      <w:pict>
        <v:shapetype id="_x0000_t202" coordsize="21600,21600" o:spt="202" path="m,l,21600r21600,l21600,xe">
          <v:stroke joinstyle="miter"/>
          <v:path gradientshapeok="t" o:connecttype="rect"/>
        </v:shapetype>
        <v:shape id="_x0000_s1036" type="#_x0000_t202" style="position:absolute;margin-left:655pt;margin-top:43.1pt;width:52pt;height:153pt;z-index:1" filled="f" stroked="f">
          <v:textbox style="layout-flow:vertical">
            <w:txbxContent>
              <w:p w:rsidR="00692915" w:rsidRDefault="00692915">
                <w:pPr>
                  <w:pStyle w:val="Header"/>
                  <w:ind w:firstLineChars="0" w:firstLine="0"/>
                  <w:rPr>
                    <w:rFonts w:hint="eastAsia"/>
                    <w:lang w:eastAsia="zh-CN"/>
                  </w:rPr>
                </w:pPr>
                <w:r>
                  <w:rPr>
                    <w:rFonts w:hint="eastAsia"/>
                    <w:lang w:eastAsia="zh-CN"/>
                  </w:rPr>
                  <w:t>HRI</w:t>
                </w:r>
                <w:r>
                  <w:t>/</w:t>
                </w:r>
                <w:r>
                  <w:rPr>
                    <w:rFonts w:hint="eastAsia"/>
                    <w:lang w:eastAsia="zh-CN"/>
                  </w:rPr>
                  <w:t>CORE/TLS/2007</w:t>
                </w:r>
              </w:p>
              <w:p w:rsidR="00692915" w:rsidRDefault="00692915">
                <w:pPr>
                  <w:spacing w:line="240" w:lineRule="auto"/>
                  <w:ind w:firstLineChars="0" w:firstLine="0"/>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212</w:t>
                </w:r>
                <w:r>
                  <w:rPr>
                    <w:rStyle w:val="PageNumber"/>
                  </w:rPr>
                  <w:fldChar w:fldCharType="end"/>
                </w:r>
              </w:p>
            </w:txbxContent>
          </v:textbox>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915" w:rsidRDefault="00692915" w:rsidP="009A1C1B">
    <w:pPr>
      <w:pStyle w:val="Header"/>
      <w:ind w:firstLine="31680"/>
    </w:pPr>
    <w:r>
      <w:tab/>
    </w:r>
    <w:r>
      <w:tab/>
    </w:r>
    <w:r>
      <w:tab/>
    </w:r>
    <w:r>
      <w:tab/>
    </w:r>
    <w:r>
      <w:tab/>
    </w:r>
    <w:r>
      <w:tab/>
    </w:r>
    <w:r>
      <w:tab/>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915" w:rsidRDefault="00692915">
    <w:pPr>
      <w:pStyle w:val="Header"/>
      <w:ind w:firstLineChars="0" w:firstLine="0"/>
      <w:rPr>
        <w:rFonts w:hint="eastAsia"/>
        <w:lang w:eastAsia="zh-CN"/>
      </w:rPr>
    </w:pPr>
    <w:r>
      <w:rPr>
        <w:rFonts w:hint="eastAsia"/>
        <w:lang w:eastAsia="zh-CN"/>
      </w:rPr>
      <w:t>HRI</w:t>
    </w:r>
    <w:r>
      <w:t>/</w:t>
    </w:r>
    <w:r>
      <w:rPr>
        <w:rFonts w:hint="eastAsia"/>
        <w:lang w:eastAsia="zh-CN"/>
      </w:rPr>
      <w:t>CORE/TLS/2007</w:t>
    </w:r>
  </w:p>
  <w:p w:rsidR="00692915" w:rsidRDefault="00692915">
    <w:pPr>
      <w:pStyle w:val="Header"/>
      <w:ind w:firstLineChars="0" w:firstLine="0"/>
    </w:pPr>
    <w:r>
      <w:t xml:space="preserve">page </w:t>
    </w:r>
    <w:r>
      <w:rPr>
        <w:rStyle w:val="PageNumber"/>
      </w:rPr>
      <w:fldChar w:fldCharType="begin"/>
    </w:r>
    <w:r>
      <w:rPr>
        <w:rStyle w:val="PageNumber"/>
      </w:rPr>
      <w:instrText xml:space="preserve"> PAGE </w:instrText>
    </w:r>
    <w:r>
      <w:rPr>
        <w:rStyle w:val="PageNumber"/>
      </w:rPr>
      <w:fldChar w:fldCharType="separate"/>
    </w:r>
    <w:r w:rsidR="00960864">
      <w:rPr>
        <w:rStyle w:val="PageNumber"/>
        <w:noProof/>
      </w:rPr>
      <w:t>224</w:t>
    </w:r>
    <w:r>
      <w:rPr>
        <w:rStyle w:val="PageNumbe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915" w:rsidRDefault="00692915" w:rsidP="009A1C1B">
    <w:pPr>
      <w:pStyle w:val="Header"/>
      <w:ind w:firstLine="31680"/>
      <w:rPr>
        <w:rFonts w:hint="eastAsia"/>
        <w:lang w:eastAsia="zh-CN"/>
      </w:rPr>
    </w:pPr>
    <w:r>
      <w:tab/>
    </w:r>
    <w:r>
      <w:tab/>
    </w:r>
    <w:r>
      <w:tab/>
    </w:r>
    <w:r>
      <w:tab/>
    </w:r>
    <w:r>
      <w:rPr>
        <w:rFonts w:hint="eastAsia"/>
        <w:lang w:eastAsia="zh-CN"/>
      </w:rPr>
      <w:t>HRI</w:t>
    </w:r>
    <w:r>
      <w:t>/</w:t>
    </w:r>
    <w:r>
      <w:rPr>
        <w:rFonts w:hint="eastAsia"/>
        <w:lang w:eastAsia="zh-CN"/>
      </w:rPr>
      <w:t>CORE/TLS/2007</w:t>
    </w:r>
  </w:p>
  <w:p w:rsidR="00692915" w:rsidRDefault="00692915" w:rsidP="009A1C1B">
    <w:pPr>
      <w:pStyle w:val="Header"/>
      <w:ind w:firstLine="31680"/>
    </w:pPr>
    <w:r>
      <w:tab/>
    </w:r>
    <w:r>
      <w:tab/>
    </w:r>
    <w:r>
      <w:tab/>
    </w:r>
    <w:r>
      <w:tab/>
      <w:t xml:space="preserve">page </w:t>
    </w:r>
    <w:r>
      <w:rPr>
        <w:rStyle w:val="PageNumber"/>
      </w:rPr>
      <w:fldChar w:fldCharType="begin"/>
    </w:r>
    <w:r>
      <w:rPr>
        <w:rStyle w:val="PageNumber"/>
      </w:rPr>
      <w:instrText xml:space="preserve"> PAGE </w:instrText>
    </w:r>
    <w:r>
      <w:rPr>
        <w:rStyle w:val="PageNumber"/>
      </w:rPr>
      <w:fldChar w:fldCharType="separate"/>
    </w:r>
    <w:r w:rsidR="00960864">
      <w:rPr>
        <w:rStyle w:val="PageNumber"/>
        <w:noProof/>
      </w:rPr>
      <w:t>225</w:t>
    </w:r>
    <w:r>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C0C51"/>
    <w:multiLevelType w:val="hybridMultilevel"/>
    <w:tmpl w:val="FC38B8C6"/>
    <w:lvl w:ilvl="0" w:tplc="0EBE02E2">
      <w:start w:val="1"/>
      <w:numFmt w:val="bullet"/>
      <w:lvlText w:val=""/>
      <w:lvlJc w:val="left"/>
      <w:pPr>
        <w:tabs>
          <w:tab w:val="num" w:pos="360"/>
        </w:tabs>
        <w:ind w:left="284" w:hanging="284"/>
      </w:pPr>
      <w:rPr>
        <w:rFonts w:ascii="Symbol" w:hAnsi="Symbol" w:hint="default"/>
      </w:rPr>
    </w:lvl>
    <w:lvl w:ilvl="1" w:tplc="DE4E0DB6">
      <w:start w:val="1"/>
      <w:numFmt w:val="bullet"/>
      <w:lvlText w:val=""/>
      <w:lvlJc w:val="left"/>
      <w:pPr>
        <w:tabs>
          <w:tab w:val="num" w:pos="1800"/>
        </w:tabs>
        <w:ind w:left="1800" w:hanging="360"/>
      </w:pPr>
      <w:rPr>
        <w:rFonts w:ascii="Symbol" w:hAnsi="Symbol" w:hint="default"/>
        <w:color w:val="auto"/>
        <w:sz w:val="24"/>
        <w:szCs w:val="24"/>
      </w:rPr>
    </w:lvl>
    <w:lvl w:ilvl="2" w:tplc="1968E95C"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1">
    <w:nsid w:val="2B3F49C6"/>
    <w:multiLevelType w:val="singleLevel"/>
    <w:tmpl w:val="D2409908"/>
    <w:lvl w:ilvl="0">
      <w:start w:val="1"/>
      <w:numFmt w:val="lowerRoman"/>
      <w:pStyle w:val="Rom2"/>
      <w:lvlText w:val="(%1)"/>
      <w:lvlJc w:val="right"/>
      <w:pPr>
        <w:tabs>
          <w:tab w:val="num" w:pos="1701"/>
        </w:tabs>
        <w:ind w:left="1701" w:hanging="283"/>
      </w:pPr>
      <w:rPr>
        <w:rFonts w:hint="default"/>
      </w:rPr>
    </w:lvl>
  </w:abstractNum>
  <w:abstractNum w:abstractNumId="2">
    <w:nsid w:val="2D722B94"/>
    <w:multiLevelType w:val="hybridMultilevel"/>
    <w:tmpl w:val="BAD89E6E"/>
    <w:lvl w:ilvl="0" w:tplc="D85E15A6">
      <w:start w:val="1"/>
      <w:numFmt w:val="bullet"/>
      <w:lvlText w:val=""/>
      <w:lvlJc w:val="left"/>
      <w:pPr>
        <w:tabs>
          <w:tab w:val="num" w:pos="1494"/>
        </w:tabs>
        <w:ind w:left="1418" w:hanging="284"/>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
    <w:nsid w:val="2DD212E7"/>
    <w:multiLevelType w:val="hybridMultilevel"/>
    <w:tmpl w:val="931C3BE2"/>
    <w:lvl w:ilvl="0" w:tplc="D85E15A6">
      <w:start w:val="1"/>
      <w:numFmt w:val="bullet"/>
      <w:lvlText w:val=""/>
      <w:lvlJc w:val="left"/>
      <w:pPr>
        <w:tabs>
          <w:tab w:val="num" w:pos="1494"/>
        </w:tabs>
        <w:ind w:left="1418" w:hanging="284"/>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
    <w:nsid w:val="2F5A4809"/>
    <w:multiLevelType w:val="hybridMultilevel"/>
    <w:tmpl w:val="160083BC"/>
    <w:lvl w:ilvl="0" w:tplc="D85E15A6">
      <w:start w:val="1"/>
      <w:numFmt w:val="bullet"/>
      <w:lvlText w:val=""/>
      <w:lvlJc w:val="left"/>
      <w:pPr>
        <w:tabs>
          <w:tab w:val="num" w:pos="1494"/>
        </w:tabs>
        <w:ind w:left="1418" w:hanging="284"/>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5">
    <w:nsid w:val="37C40AEC"/>
    <w:multiLevelType w:val="hybridMultilevel"/>
    <w:tmpl w:val="FFFAAA84"/>
    <w:lvl w:ilvl="0" w:tplc="0409000B">
      <w:start w:val="1"/>
      <w:numFmt w:val="bullet"/>
      <w:lvlText w:val=""/>
      <w:lvlJc w:val="left"/>
      <w:pPr>
        <w:tabs>
          <w:tab w:val="num" w:pos="1080"/>
        </w:tabs>
        <w:ind w:left="1080" w:hanging="360"/>
      </w:pPr>
      <w:rPr>
        <w:rFonts w:ascii="Wingdings" w:hAnsi="Wingdings" w:hint="default"/>
        <w:sz w:val="24"/>
        <w:szCs w:val="24"/>
      </w:rPr>
    </w:lvl>
    <w:lvl w:ilvl="1" w:tplc="2466D4DC">
      <w:start w:val="1"/>
      <w:numFmt w:val="lowerLetter"/>
      <w:lvlText w:val="(%2)"/>
      <w:lvlJc w:val="left"/>
      <w:pPr>
        <w:tabs>
          <w:tab w:val="num" w:pos="1800"/>
        </w:tabs>
        <w:ind w:left="1800" w:hanging="360"/>
      </w:pPr>
      <w:rPr>
        <w:rFonts w:hint="default"/>
      </w:rPr>
    </w:lvl>
    <w:lvl w:ilvl="2" w:tplc="04090005">
      <w:start w:val="432"/>
      <w:numFmt w:val="decimal"/>
      <w:lvlText w:val="%3."/>
      <w:lvlJc w:val="left"/>
      <w:pPr>
        <w:tabs>
          <w:tab w:val="num" w:pos="2805"/>
        </w:tabs>
        <w:ind w:left="2805" w:hanging="465"/>
      </w:pPr>
      <w:rPr>
        <w:rFonts w:hint="default"/>
      </w:r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6">
    <w:nsid w:val="39D90235"/>
    <w:multiLevelType w:val="singleLevel"/>
    <w:tmpl w:val="FE361496"/>
    <w:lvl w:ilvl="0">
      <w:start w:val="1"/>
      <w:numFmt w:val="bullet"/>
      <w:pStyle w:val="a"/>
      <w:lvlText w:val=""/>
      <w:lvlJc w:val="left"/>
      <w:pPr>
        <w:tabs>
          <w:tab w:val="num" w:pos="510"/>
        </w:tabs>
        <w:ind w:left="510" w:hanging="510"/>
      </w:pPr>
      <w:rPr>
        <w:rFonts w:ascii="Symbol" w:hAnsi="Symbol" w:hint="default"/>
      </w:rPr>
    </w:lvl>
  </w:abstractNum>
  <w:abstractNum w:abstractNumId="7">
    <w:nsid w:val="3CB061AB"/>
    <w:multiLevelType w:val="singleLevel"/>
    <w:tmpl w:val="36CA50DC"/>
    <w:lvl w:ilvl="0">
      <w:start w:val="1"/>
      <w:numFmt w:val="decimal"/>
      <w:pStyle w:val="ParaNo"/>
      <w:lvlText w:val="%1."/>
      <w:lvlJc w:val="left"/>
      <w:pPr>
        <w:tabs>
          <w:tab w:val="num" w:pos="360"/>
        </w:tabs>
        <w:ind w:left="-1" w:firstLine="1"/>
      </w:pPr>
      <w:rPr>
        <w:rFonts w:hint="default"/>
      </w:rPr>
    </w:lvl>
  </w:abstractNum>
  <w:abstractNum w:abstractNumId="8">
    <w:nsid w:val="49934753"/>
    <w:multiLevelType w:val="hybridMultilevel"/>
    <w:tmpl w:val="E8801554"/>
    <w:lvl w:ilvl="0" w:tplc="1B526FAE">
      <w:start w:val="1"/>
      <w:numFmt w:val="bullet"/>
      <w:lvlText w:val=""/>
      <w:lvlJc w:val="left"/>
      <w:pPr>
        <w:tabs>
          <w:tab w:val="num" w:pos="927"/>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E444017"/>
    <w:multiLevelType w:val="multilevel"/>
    <w:tmpl w:val="68B8F5E4"/>
    <w:lvl w:ilvl="0">
      <w:start w:val="1"/>
      <w:numFmt w:val="bullet"/>
      <w:lvlText w:val=""/>
      <w:lvlJc w:val="left"/>
      <w:pPr>
        <w:tabs>
          <w:tab w:val="num" w:pos="927"/>
        </w:tabs>
        <w:ind w:left="851" w:hanging="284"/>
      </w:pPr>
      <w:rPr>
        <w:rFonts w:ascii="Wingdings" w:hAnsi="Wingdings" w:hint="default"/>
      </w:rPr>
    </w:lvl>
    <w:lvl w:ilvl="1">
      <w:start w:val="1"/>
      <w:numFmt w:val="bullet"/>
      <w:lvlText w:val=""/>
      <w:lvlJc w:val="left"/>
      <w:pPr>
        <w:tabs>
          <w:tab w:val="num" w:pos="1211"/>
        </w:tabs>
        <w:ind w:left="1134" w:hanging="283"/>
      </w:pPr>
      <w:rPr>
        <w:rFonts w:ascii="Wingdings" w:hAnsi="Wingdings"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10">
    <w:nsid w:val="507317FD"/>
    <w:multiLevelType w:val="singleLevel"/>
    <w:tmpl w:val="34588E14"/>
    <w:lvl w:ilvl="0">
      <w:start w:val="1"/>
      <w:numFmt w:val="bullet"/>
      <w:pStyle w:val="a0"/>
      <w:lvlText w:val=""/>
      <w:lvlJc w:val="left"/>
      <w:pPr>
        <w:tabs>
          <w:tab w:val="num" w:pos="510"/>
        </w:tabs>
        <w:ind w:left="510" w:hanging="510"/>
      </w:pPr>
      <w:rPr>
        <w:rFonts w:ascii="Symbol" w:hAnsi="Symbol" w:hint="default"/>
        <w:sz w:val="24"/>
      </w:rPr>
    </w:lvl>
  </w:abstractNum>
  <w:abstractNum w:abstractNumId="11">
    <w:nsid w:val="509E7FC7"/>
    <w:multiLevelType w:val="hybridMultilevel"/>
    <w:tmpl w:val="7668F5BA"/>
    <w:lvl w:ilvl="0" w:tplc="D85E15A6">
      <w:start w:val="1"/>
      <w:numFmt w:val="bullet"/>
      <w:lvlText w:val=""/>
      <w:lvlJc w:val="left"/>
      <w:pPr>
        <w:tabs>
          <w:tab w:val="num" w:pos="1494"/>
        </w:tabs>
        <w:ind w:left="1418" w:hanging="284"/>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2">
    <w:nsid w:val="57D37EBB"/>
    <w:multiLevelType w:val="hybridMultilevel"/>
    <w:tmpl w:val="E7566B52"/>
    <w:lvl w:ilvl="0" w:tplc="985A4B7E">
      <w:start w:val="1"/>
      <w:numFmt w:val="bullet"/>
      <w:lvlText w:val=""/>
      <w:lvlJc w:val="left"/>
      <w:pPr>
        <w:tabs>
          <w:tab w:val="num" w:pos="720"/>
        </w:tabs>
        <w:ind w:left="720" w:hanging="360"/>
      </w:pPr>
      <w:rPr>
        <w:rFonts w:ascii="Wingdings" w:hAnsi="Wingdings" w:hint="default"/>
        <w:b w:val="0"/>
        <w:i w:val="0"/>
        <w:sz w:val="24"/>
        <w:szCs w:val="24"/>
      </w:rPr>
    </w:lvl>
    <w:lvl w:ilvl="1" w:tplc="DE4E0DB6">
      <w:start w:val="1"/>
      <w:numFmt w:val="lowerLetter"/>
      <w:lvlText w:val="(%2)"/>
      <w:lvlJc w:val="left"/>
      <w:pPr>
        <w:tabs>
          <w:tab w:val="num" w:pos="1440"/>
        </w:tabs>
        <w:ind w:left="1440" w:hanging="360"/>
      </w:pPr>
      <w:rPr>
        <w:rFonts w:hint="default"/>
      </w:rPr>
    </w:lvl>
    <w:lvl w:ilvl="2" w:tplc="A81258C8">
      <w:start w:val="428"/>
      <w:numFmt w:val="decimal"/>
      <w:lvlText w:val="%3."/>
      <w:lvlJc w:val="left"/>
      <w:pPr>
        <w:tabs>
          <w:tab w:val="num" w:pos="2445"/>
        </w:tabs>
        <w:ind w:left="2445" w:hanging="465"/>
      </w:pPr>
      <w:rPr>
        <w:rFonts w:hint="default"/>
      </w:r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BE612C4"/>
    <w:multiLevelType w:val="hybridMultilevel"/>
    <w:tmpl w:val="CE9CB070"/>
    <w:lvl w:ilvl="0" w:tplc="D85E15A6">
      <w:start w:val="1"/>
      <w:numFmt w:val="bullet"/>
      <w:lvlText w:val=""/>
      <w:lvlJc w:val="left"/>
      <w:pPr>
        <w:tabs>
          <w:tab w:val="num" w:pos="927"/>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7C260F80"/>
    <w:multiLevelType w:val="hybridMultilevel"/>
    <w:tmpl w:val="AD868FA0"/>
    <w:lvl w:ilvl="0" w:tplc="FA30C4E4">
      <w:start w:val="1"/>
      <w:numFmt w:val="bullet"/>
      <w:lvlText w:val=""/>
      <w:lvlJc w:val="left"/>
      <w:pPr>
        <w:tabs>
          <w:tab w:val="num" w:pos="927"/>
        </w:tabs>
        <w:ind w:left="851" w:hanging="284"/>
      </w:pPr>
      <w:rPr>
        <w:rFonts w:ascii="Wingdings" w:hAnsi="Wingdings" w:hint="default"/>
        <w:sz w:val="24"/>
        <w:szCs w:val="24"/>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5">
    <w:nsid w:val="7C7E3B48"/>
    <w:multiLevelType w:val="hybridMultilevel"/>
    <w:tmpl w:val="F70070BC"/>
    <w:lvl w:ilvl="0" w:tplc="D85E15A6">
      <w:start w:val="1"/>
      <w:numFmt w:val="bullet"/>
      <w:lvlText w:val=""/>
      <w:lvlJc w:val="left"/>
      <w:pPr>
        <w:tabs>
          <w:tab w:val="num" w:pos="1494"/>
        </w:tabs>
        <w:ind w:left="1418" w:hanging="284"/>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6">
    <w:nsid w:val="7CF349BD"/>
    <w:multiLevelType w:val="singleLevel"/>
    <w:tmpl w:val="6026F4D0"/>
    <w:lvl w:ilvl="0">
      <w:start w:val="1"/>
      <w:numFmt w:val="lowerRoman"/>
      <w:pStyle w:val="Rom1"/>
      <w:lvlText w:val="(%1)"/>
      <w:lvlJc w:val="right"/>
      <w:pPr>
        <w:tabs>
          <w:tab w:val="num" w:pos="1440"/>
        </w:tabs>
        <w:ind w:left="1440" w:hanging="589"/>
      </w:pPr>
      <w:rPr>
        <w:rFonts w:hint="default"/>
      </w:rPr>
    </w:lvl>
  </w:abstractNum>
  <w:num w:numId="1">
    <w:abstractNumId w:val="10"/>
  </w:num>
  <w:num w:numId="2">
    <w:abstractNumId w:val="6"/>
  </w:num>
  <w:num w:numId="3">
    <w:abstractNumId w:val="16"/>
  </w:num>
  <w:num w:numId="4">
    <w:abstractNumId w:val="1"/>
  </w:num>
  <w:num w:numId="5">
    <w:abstractNumId w:val="7"/>
  </w:num>
  <w:num w:numId="6">
    <w:abstractNumId w:val="9"/>
  </w:num>
  <w:num w:numId="7">
    <w:abstractNumId w:val="8"/>
  </w:num>
  <w:num w:numId="8">
    <w:abstractNumId w:val="13"/>
  </w:num>
  <w:num w:numId="9">
    <w:abstractNumId w:val="0"/>
  </w:num>
  <w:num w:numId="10">
    <w:abstractNumId w:val="4"/>
  </w:num>
  <w:num w:numId="11">
    <w:abstractNumId w:val="2"/>
  </w:num>
  <w:num w:numId="12">
    <w:abstractNumId w:val="15"/>
  </w:num>
  <w:num w:numId="13">
    <w:abstractNumId w:val="3"/>
  </w:num>
  <w:num w:numId="14">
    <w:abstractNumId w:val="11"/>
  </w:num>
  <w:num w:numId="15">
    <w:abstractNumId w:val="5"/>
  </w:num>
  <w:num w:numId="16">
    <w:abstractNumId w:val="12"/>
  </w:num>
  <w:num w:numId="17">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510"/>
  <w:evenAndOddHeaders/>
  <w:drawingGridHorizontalSpacing w:val="130"/>
  <w:displayHorizontalDrawingGridEvery w:val="0"/>
  <w:displayVerticalDrawingGridEvery w:val="2"/>
  <w:characterSpacingControl w:val="compressPunctuation"/>
  <w:hdrShapeDefaults>
    <o:shapedefaults v:ext="edit" spidmax="3074"/>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67F62"/>
    <w:rsid w:val="000B124C"/>
    <w:rsid w:val="0039243A"/>
    <w:rsid w:val="00692915"/>
    <w:rsid w:val="006A151D"/>
    <w:rsid w:val="00960864"/>
    <w:rsid w:val="009A1C1B"/>
    <w:rsid w:val="00B67F62"/>
    <w:rsid w:val="00F12984"/>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0"/>
        <o:entry new="25" old="0"/>
        <o:entry new="26"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fr-CH" w:eastAsia="fr-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djustRightInd w:val="0"/>
      <w:snapToGrid w:val="0"/>
      <w:spacing w:line="336" w:lineRule="auto"/>
      <w:ind w:firstLineChars="200" w:firstLine="200"/>
      <w:jc w:val="both"/>
    </w:pPr>
    <w:rPr>
      <w:rFonts w:eastAsia="SimSun"/>
      <w:snapToGrid w:val="0"/>
      <w:spacing w:val="10"/>
      <w:sz w:val="24"/>
      <w:lang w:val="en-US" w:eastAsia="zh-CN"/>
    </w:rPr>
  </w:style>
  <w:style w:type="paragraph" w:styleId="Heading1">
    <w:name w:val="heading 1"/>
    <w:basedOn w:val="Normal"/>
    <w:next w:val="Normal"/>
    <w:qFormat/>
    <w:pPr>
      <w:keepNext/>
      <w:keepLines/>
      <w:spacing w:after="320" w:line="288" w:lineRule="auto"/>
      <w:jc w:val="center"/>
      <w:outlineLvl w:val="0"/>
    </w:pPr>
    <w:rPr>
      <w:b/>
      <w:kern w:val="32"/>
      <w:sz w:val="30"/>
    </w:rPr>
  </w:style>
  <w:style w:type="paragraph" w:styleId="Heading2">
    <w:name w:val="heading 2"/>
    <w:basedOn w:val="Normal"/>
    <w:next w:val="Normal"/>
    <w:qFormat/>
    <w:pPr>
      <w:keepNext/>
      <w:keepLines/>
      <w:spacing w:after="240"/>
      <w:ind w:firstLineChars="0" w:firstLine="0"/>
      <w:jc w:val="center"/>
      <w:outlineLvl w:val="1"/>
    </w:pPr>
    <w:rPr>
      <w:kern w:val="28"/>
      <w:sz w:val="28"/>
    </w:rPr>
  </w:style>
  <w:style w:type="paragraph" w:styleId="Heading3">
    <w:name w:val="heading 3"/>
    <w:basedOn w:val="Normal"/>
    <w:next w:val="Normal"/>
    <w:qFormat/>
    <w:pPr>
      <w:keepNext/>
      <w:keepLines/>
      <w:spacing w:after="240"/>
      <w:ind w:firstLineChars="0" w:firstLine="0"/>
      <w:jc w:val="center"/>
      <w:outlineLvl w:val="2"/>
    </w:pPr>
    <w:rPr>
      <w:kern w:val="28"/>
      <w:u w:val="single"/>
    </w:rPr>
  </w:style>
  <w:style w:type="paragraph" w:styleId="Heading4">
    <w:name w:val="heading 4"/>
    <w:basedOn w:val="Normal"/>
    <w:next w:val="Normal"/>
    <w:qFormat/>
    <w:pPr>
      <w:keepNext/>
      <w:keepLines/>
      <w:spacing w:after="240"/>
      <w:outlineLvl w:val="3"/>
    </w:pPr>
    <w:rPr>
      <w:u w:val="single"/>
    </w:rPr>
  </w:style>
  <w:style w:type="paragraph" w:styleId="Heading5">
    <w:name w:val="heading 5"/>
    <w:basedOn w:val="Normal"/>
    <w:next w:val="Normal"/>
    <w:qFormat/>
    <w:pPr>
      <w:keepNext/>
      <w:overflowPunct/>
      <w:adjustRightInd/>
      <w:snapToGrid/>
      <w:spacing w:after="240" w:line="240" w:lineRule="auto"/>
      <w:jc w:val="left"/>
      <w:outlineLvl w:val="4"/>
    </w:pPr>
    <w:rPr>
      <w:b/>
      <w:i/>
      <w:snapToGrid/>
      <w:spacing w:val="0"/>
      <w:lang w:val="en-GB" w:eastAsia="en-US"/>
    </w:rPr>
  </w:style>
  <w:style w:type="paragraph" w:styleId="Heading6">
    <w:name w:val="heading 6"/>
    <w:basedOn w:val="Normal"/>
    <w:next w:val="Normal"/>
    <w:qFormat/>
    <w:pPr>
      <w:keepNext/>
      <w:overflowPunct/>
      <w:adjustRightInd/>
      <w:snapToGrid/>
      <w:spacing w:after="240" w:line="240" w:lineRule="auto"/>
      <w:jc w:val="left"/>
      <w:outlineLvl w:val="5"/>
    </w:pPr>
    <w:rPr>
      <w:b/>
      <w:caps/>
      <w:snapToGrid/>
      <w:spacing w:val="0"/>
      <w:lang w:val="en-GB"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12cm">
    <w:name w:val="12cm落款"/>
    <w:basedOn w:val="Normal"/>
    <w:pPr>
      <w:keepLines/>
      <w:tabs>
        <w:tab w:val="left" w:pos="510"/>
      </w:tabs>
      <w:spacing w:before="160" w:after="280" w:line="288" w:lineRule="auto"/>
      <w:ind w:left="6804"/>
    </w:pPr>
  </w:style>
  <w:style w:type="paragraph" w:customStyle="1" w:styleId="9cm">
    <w:name w:val="9cm落款"/>
    <w:basedOn w:val="Normal"/>
    <w:pPr>
      <w:keepLines/>
      <w:tabs>
        <w:tab w:val="left" w:pos="510"/>
      </w:tabs>
      <w:spacing w:before="160" w:after="280" w:line="288" w:lineRule="auto"/>
      <w:ind w:left="5103"/>
    </w:pPr>
  </w:style>
  <w:style w:type="paragraph" w:customStyle="1" w:styleId="a1">
    <w:name w:val="表决"/>
    <w:basedOn w:val="Normal"/>
    <w:pPr>
      <w:ind w:left="2042" w:hanging="1021"/>
    </w:pPr>
  </w:style>
  <w:style w:type="paragraph" w:customStyle="1" w:styleId="a2">
    <w:name w:val="表中文字"/>
    <w:basedOn w:val="Normal"/>
    <w:pPr>
      <w:spacing w:line="320" w:lineRule="exact"/>
    </w:pPr>
    <w:rPr>
      <w:sz w:val="21"/>
    </w:rPr>
  </w:style>
  <w:style w:type="paragraph" w:customStyle="1" w:styleId="a3">
    <w:name w:val="黑体标题"/>
    <w:next w:val="Normal"/>
    <w:pPr>
      <w:keepNext/>
      <w:keepLines/>
      <w:widowControl w:val="0"/>
      <w:adjustRightInd w:val="0"/>
      <w:spacing w:after="320" w:line="336" w:lineRule="auto"/>
      <w:jc w:val="center"/>
      <w:textAlignment w:val="baseline"/>
    </w:pPr>
    <w:rPr>
      <w:rFonts w:ascii="Univers (WN)" w:eastAsia="SimHei" w:hAnsi="Univers (WN)"/>
      <w:spacing w:val="10"/>
      <w:kern w:val="24"/>
      <w:sz w:val="24"/>
      <w:lang w:val="en-US" w:eastAsia="zh-CN"/>
    </w:rPr>
  </w:style>
  <w:style w:type="paragraph" w:styleId="Header">
    <w:name w:val="header"/>
    <w:basedOn w:val="Normal"/>
    <w:pPr>
      <w:tabs>
        <w:tab w:val="left" w:pos="992"/>
        <w:tab w:val="left" w:pos="5772"/>
        <w:tab w:val="left" w:pos="6634"/>
        <w:tab w:val="left" w:pos="7144"/>
        <w:tab w:val="left" w:pos="7655"/>
        <w:tab w:val="left" w:pos="8165"/>
      </w:tabs>
      <w:overflowPunct/>
      <w:spacing w:line="240" w:lineRule="auto"/>
      <w:jc w:val="left"/>
    </w:pPr>
    <w:rPr>
      <w:rFonts w:eastAsia="KaiTi_GB2312"/>
      <w:spacing w:val="0"/>
      <w:lang w:val="en-GB" w:eastAsia="en-US"/>
    </w:rPr>
  </w:style>
  <w:style w:type="paragraph" w:customStyle="1" w:styleId="a4">
    <w:name w:val="横眉"/>
    <w:basedOn w:val="Header"/>
    <w:autoRedefine/>
    <w:pPr>
      <w:tabs>
        <w:tab w:val="left" w:pos="1202"/>
      </w:tabs>
      <w:snapToGrid/>
      <w:spacing w:line="160" w:lineRule="exact"/>
    </w:pPr>
    <w:rPr>
      <w:snapToGrid/>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textAlignment w:val="baseline"/>
    </w:pPr>
    <w:rPr>
      <w:rFonts w:eastAsia="SimSun"/>
      <w:kern w:val="24"/>
      <w:sz w:val="24"/>
      <w:lang w:val="en-US" w:eastAsia="zh-CN"/>
    </w:rPr>
  </w:style>
  <w:style w:type="paragraph" w:styleId="FootnoteText">
    <w:name w:val="footnote text"/>
    <w:basedOn w:val="Normal"/>
    <w:semiHidden/>
    <w:pPr>
      <w:keepLines/>
      <w:widowControl w:val="0"/>
      <w:spacing w:line="288" w:lineRule="auto"/>
      <w:ind w:firstLine="510"/>
    </w:pPr>
    <w:rPr>
      <w:rFonts w:eastAsia="KaiTi_GB2312"/>
      <w:snapToGrid/>
      <w:spacing w:val="0"/>
      <w:sz w:val="22"/>
    </w:rPr>
  </w:style>
  <w:style w:type="character" w:styleId="FootnoteReference">
    <w:name w:val="footnote reference"/>
    <w:semiHidden/>
    <w:rPr>
      <w:rFonts w:ascii="Times New Roman" w:eastAsia="KaiTi_GB2312" w:hAnsi="Times New Roman"/>
      <w:color w:val="0000FF"/>
      <w:spacing w:val="0"/>
      <w:sz w:val="24"/>
      <w:vertAlign w:val="superscript"/>
    </w:rPr>
  </w:style>
  <w:style w:type="paragraph" w:customStyle="1" w:styleId="a5">
    <w:name w:val="居中页眉"/>
    <w:basedOn w:val="Header"/>
    <w:pPr>
      <w:tabs>
        <w:tab w:val="left" w:pos="1202"/>
      </w:tabs>
      <w:snapToGrid/>
      <w:spacing w:line="288" w:lineRule="auto"/>
    </w:pPr>
    <w:rPr>
      <w:snapToGrid/>
    </w:rPr>
  </w:style>
  <w:style w:type="paragraph" w:customStyle="1" w:styleId="a6">
    <w:name w:val="楷体"/>
    <w:basedOn w:val="Normal"/>
    <w:rPr>
      <w:rFonts w:eastAsia="KaiTi_GB2312"/>
    </w:rPr>
  </w:style>
  <w:style w:type="paragraph" w:customStyle="1" w:styleId="a7">
    <w:name w:val="目录"/>
    <w:basedOn w:val="Normal"/>
    <w:pPr>
      <w:tabs>
        <w:tab w:val="left" w:pos="510"/>
        <w:tab w:val="left" w:pos="7201"/>
        <w:tab w:val="left" w:pos="7711"/>
        <w:tab w:val="left" w:pos="8618"/>
        <w:tab w:val="right" w:pos="9356"/>
      </w:tabs>
      <w:spacing w:line="360" w:lineRule="auto"/>
    </w:pPr>
    <w:rPr>
      <w:rFonts w:eastAsia="KaiTi_GB2312"/>
      <w:noProof/>
    </w:rPr>
  </w:style>
  <w:style w:type="paragraph" w:customStyle="1" w:styleId="a8">
    <w:name w:val="目录段次"/>
    <w:basedOn w:val="Normal"/>
    <w:pPr>
      <w:tabs>
        <w:tab w:val="left" w:pos="510"/>
        <w:tab w:val="left" w:pos="1021"/>
        <w:tab w:val="left" w:pos="1531"/>
        <w:tab w:val="left" w:pos="2041"/>
        <w:tab w:val="right" w:leader="dot" w:pos="7677"/>
        <w:tab w:val="right" w:pos="8335"/>
        <w:tab w:val="center" w:pos="8505"/>
        <w:tab w:val="left" w:pos="8675"/>
      </w:tabs>
      <w:spacing w:line="288" w:lineRule="auto"/>
      <w:ind w:left="510" w:right="2552" w:hanging="510"/>
    </w:pPr>
  </w:style>
  <w:style w:type="paragraph" w:customStyle="1" w:styleId="a9">
    <w:name w:val="目录段页次"/>
    <w:basedOn w:val="Normal"/>
    <w:pPr>
      <w:tabs>
        <w:tab w:val="left" w:pos="510"/>
        <w:tab w:val="left" w:pos="1021"/>
        <w:tab w:val="left" w:pos="1531"/>
        <w:tab w:val="left" w:pos="2041"/>
        <w:tab w:val="right" w:leader="dot" w:pos="6804"/>
        <w:tab w:val="right" w:pos="7371"/>
        <w:tab w:val="center" w:pos="7541"/>
        <w:tab w:val="left" w:pos="7711"/>
        <w:tab w:val="right" w:pos="9185"/>
      </w:tabs>
      <w:ind w:left="510" w:right="3402" w:hanging="510"/>
    </w:pPr>
  </w:style>
  <w:style w:type="paragraph" w:customStyle="1" w:styleId="aa">
    <w:name w:val="目录页次"/>
    <w:basedOn w:val="Normal"/>
    <w:pPr>
      <w:tabs>
        <w:tab w:val="left" w:pos="510"/>
        <w:tab w:val="left" w:pos="1021"/>
        <w:tab w:val="left" w:pos="1531"/>
        <w:tab w:val="left" w:pos="2041"/>
        <w:tab w:val="right" w:leader="dot" w:pos="8392"/>
        <w:tab w:val="right" w:pos="9185"/>
      </w:tabs>
      <w:ind w:left="510" w:right="1701" w:hanging="510"/>
    </w:pPr>
  </w:style>
  <w:style w:type="paragraph" w:customStyle="1" w:styleId="ab">
    <w:name w:val="首页页眉"/>
    <w:basedOn w:val="Normal"/>
    <w:pPr>
      <w:tabs>
        <w:tab w:val="left" w:pos="510"/>
      </w:tabs>
      <w:suppressAutoHyphens/>
      <w:spacing w:line="288" w:lineRule="auto"/>
    </w:pPr>
    <w:rPr>
      <w:rFonts w:ascii="Univers Bold" w:hAnsi="Univers Bold"/>
    </w:rPr>
  </w:style>
  <w:style w:type="paragraph" w:styleId="EndnoteText">
    <w:name w:val="endnote text"/>
    <w:basedOn w:val="FootnoteText"/>
    <w:semiHidden/>
    <w:rPr>
      <w:snapToGrid w:val="0"/>
    </w:rPr>
  </w:style>
  <w:style w:type="character" w:styleId="EndnoteReference">
    <w:name w:val="endnote reference"/>
    <w:semiHidden/>
    <w:rPr>
      <w:rFonts w:ascii="Times New Roman" w:eastAsia="KaiTi_GB2312" w:hAnsi="Times New Roman"/>
      <w:color w:val="0000FF"/>
      <w:spacing w:val="0"/>
      <w:sz w:val="24"/>
      <w:vertAlign w:val="superscript"/>
    </w:rPr>
  </w:style>
  <w:style w:type="paragraph" w:customStyle="1" w:styleId="ac">
    <w:name w:val="悬挂"/>
    <w:basedOn w:val="Normal"/>
    <w:pPr>
      <w:ind w:left="1531" w:hanging="510"/>
    </w:pPr>
  </w:style>
  <w:style w:type="paragraph" w:customStyle="1" w:styleId="x">
    <w:name w:val="悬挂[(x)"/>
    <w:basedOn w:val="Normal"/>
    <w:pPr>
      <w:ind w:left="1531" w:hanging="595"/>
    </w:pPr>
  </w:style>
  <w:style w:type="paragraph" w:customStyle="1" w:styleId="x0">
    <w:name w:val="悬挂“(x)"/>
    <w:basedOn w:val="Normal"/>
    <w:pPr>
      <w:ind w:left="1531" w:hanging="794"/>
    </w:pPr>
  </w:style>
  <w:style w:type="paragraph" w:customStyle="1" w:styleId="a0">
    <w:name w:val="悬挂符号－"/>
    <w:basedOn w:val="ac"/>
    <w:pPr>
      <w:numPr>
        <w:numId w:val="1"/>
      </w:numPr>
      <w:tabs>
        <w:tab w:val="clear" w:pos="510"/>
      </w:tabs>
    </w:pPr>
  </w:style>
  <w:style w:type="paragraph" w:customStyle="1" w:styleId="a">
    <w:name w:val="悬挂符号●"/>
    <w:basedOn w:val="Normal"/>
    <w:pPr>
      <w:numPr>
        <w:numId w:val="2"/>
      </w:numPr>
      <w:tabs>
        <w:tab w:val="clear" w:pos="510"/>
      </w:tabs>
    </w:pPr>
  </w:style>
  <w:style w:type="paragraph" w:styleId="Footer">
    <w:name w:val="footer"/>
    <w:basedOn w:val="Normal"/>
    <w:pPr>
      <w:overflowPunct/>
      <w:spacing w:line="240" w:lineRule="auto"/>
      <w:jc w:val="left"/>
    </w:pPr>
    <w:rPr>
      <w:rFonts w:eastAsia="KaiTi_GB2312"/>
      <w:spacing w:val="0"/>
      <w:lang w:val="en-GB" w:eastAsia="en-US"/>
    </w:rPr>
  </w:style>
  <w:style w:type="character" w:styleId="PageNumber">
    <w:name w:val="page number"/>
    <w:rPr>
      <w:rFonts w:ascii="Times New Roman" w:hAnsi="Times New Roman"/>
      <w:spacing w:val="0"/>
      <w:kern w:val="0"/>
      <w:sz w:val="24"/>
    </w:rPr>
  </w:style>
  <w:style w:type="paragraph" w:customStyle="1" w:styleId="1L">
    <w:name w:val="页眉1L"/>
    <w:basedOn w:val="Normal"/>
    <w:autoRedefine/>
    <w:pPr>
      <w:framePr w:w="1542" w:h="627" w:hSpace="180" w:wrap="around" w:vAnchor="page" w:hAnchor="page" w:x="1469" w:y="1390"/>
      <w:spacing w:line="240" w:lineRule="auto"/>
    </w:pPr>
    <w:rPr>
      <w:rFonts w:ascii="SimHei" w:eastAsia="SimHei"/>
      <w:spacing w:val="60"/>
      <w:sz w:val="32"/>
    </w:rPr>
  </w:style>
  <w:style w:type="paragraph" w:customStyle="1" w:styleId="1R1">
    <w:name w:val="页眉1R1"/>
    <w:basedOn w:val="Normal"/>
    <w:pPr>
      <w:suppressAutoHyphens/>
      <w:spacing w:line="240" w:lineRule="auto"/>
    </w:pPr>
    <w:rPr>
      <w:rFonts w:ascii="Univers (WN)" w:hAnsi="Univers (WN)"/>
      <w:b/>
      <w:sz w:val="60"/>
    </w:rPr>
  </w:style>
  <w:style w:type="paragraph" w:customStyle="1" w:styleId="ad">
    <w:name w:val="英文本"/>
    <w:basedOn w:val="EndnoteText"/>
    <w:pPr>
      <w:keepLines w:val="0"/>
      <w:overflowPunct/>
      <w:spacing w:after="120" w:line="240" w:lineRule="auto"/>
      <w:ind w:firstLine="0"/>
      <w:jc w:val="left"/>
    </w:pPr>
    <w:rPr>
      <w:lang w:val="en-GB" w:eastAsia="en-US"/>
    </w:rPr>
  </w:style>
  <w:style w:type="paragraph" w:customStyle="1" w:styleId="1m1">
    <w:name w:val="页眉1m1"/>
    <w:basedOn w:val="Normal"/>
    <w:pPr>
      <w:suppressAutoHyphens/>
      <w:spacing w:line="360" w:lineRule="auto"/>
    </w:pPr>
    <w:rPr>
      <w:rFonts w:ascii="SimHei" w:eastAsia="SimHei"/>
      <w:spacing w:val="40"/>
      <w:sz w:val="40"/>
    </w:rPr>
  </w:style>
  <w:style w:type="paragraph" w:customStyle="1" w:styleId="1m2">
    <w:name w:val="页眉1m2"/>
    <w:basedOn w:val="Normal"/>
    <w:pPr>
      <w:widowControl w:val="0"/>
      <w:tabs>
        <w:tab w:val="left" w:pos="1021"/>
        <w:tab w:val="left" w:pos="1531"/>
      </w:tabs>
      <w:suppressAutoHyphens/>
      <w:spacing w:line="360" w:lineRule="auto"/>
    </w:pPr>
    <w:rPr>
      <w:rFonts w:ascii="SimHei" w:eastAsia="SimHei"/>
      <w:snapToGrid/>
      <w:spacing w:val="60"/>
      <w:sz w:val="40"/>
    </w:rPr>
  </w:style>
  <w:style w:type="paragraph" w:customStyle="1" w:styleId="ae">
    <w:name w:val="正文缩进"/>
    <w:basedOn w:val="Normal"/>
    <w:pPr>
      <w:ind w:left="1021" w:firstLine="510"/>
    </w:pPr>
  </w:style>
  <w:style w:type="paragraph" w:customStyle="1" w:styleId="Rom1">
    <w:name w:val="Rom1"/>
    <w:basedOn w:val="Normal"/>
    <w:pPr>
      <w:numPr>
        <w:numId w:val="3"/>
      </w:numPr>
      <w:tabs>
        <w:tab w:val="clear" w:pos="1440"/>
      </w:tabs>
      <w:overflowPunct/>
      <w:adjustRightInd/>
      <w:snapToGrid/>
      <w:spacing w:after="240" w:line="240" w:lineRule="auto"/>
      <w:ind w:left="1135" w:hanging="284"/>
      <w:jc w:val="left"/>
    </w:pPr>
    <w:rPr>
      <w:snapToGrid/>
      <w:spacing w:val="0"/>
      <w:lang w:val="en-GB" w:eastAsia="en-US"/>
    </w:rPr>
  </w:style>
  <w:style w:type="paragraph" w:customStyle="1" w:styleId="Rom2">
    <w:name w:val="Rom2"/>
    <w:basedOn w:val="Normal"/>
    <w:pPr>
      <w:numPr>
        <w:numId w:val="4"/>
      </w:numPr>
      <w:overflowPunct/>
      <w:adjustRightInd/>
      <w:snapToGrid/>
      <w:spacing w:after="240" w:line="240" w:lineRule="auto"/>
      <w:ind w:firstLineChars="0"/>
      <w:jc w:val="left"/>
    </w:pPr>
    <w:rPr>
      <w:snapToGrid/>
      <w:spacing w:val="0"/>
      <w:lang w:val="en-GB" w:eastAsia="en-US"/>
    </w:rPr>
  </w:style>
  <w:style w:type="paragraph" w:customStyle="1" w:styleId="ParaNo">
    <w:name w:val="ParaNo."/>
    <w:basedOn w:val="Normal"/>
    <w:pPr>
      <w:numPr>
        <w:numId w:val="5"/>
      </w:numPr>
      <w:tabs>
        <w:tab w:val="clear" w:pos="360"/>
      </w:tabs>
      <w:overflowPunct/>
      <w:adjustRightInd/>
      <w:snapToGrid/>
      <w:spacing w:after="240" w:line="240" w:lineRule="auto"/>
      <w:ind w:left="0" w:firstLine="0"/>
      <w:jc w:val="left"/>
    </w:pPr>
    <w:rPr>
      <w:snapToGrid/>
      <w:spacing w:val="0"/>
      <w:lang w:val="en-GB" w:eastAsia="en-US"/>
    </w:rPr>
  </w:style>
  <w:style w:type="paragraph" w:styleId="BodyTextIndent2">
    <w:name w:val="Body Text Indent 2"/>
    <w:basedOn w:val="Normal"/>
    <w:pPr>
      <w:overflowPunct/>
      <w:adjustRightInd/>
      <w:snapToGrid/>
      <w:spacing w:after="240" w:line="240" w:lineRule="auto"/>
      <w:ind w:left="567"/>
      <w:jc w:val="left"/>
    </w:pPr>
    <w:rPr>
      <w:snapToGrid/>
      <w:spacing w:val="0"/>
      <w:lang w:val="en-GB" w:eastAsia="en-US"/>
    </w:rPr>
  </w:style>
  <w:style w:type="paragraph" w:styleId="BodyText3">
    <w:name w:val="Body Text 3"/>
    <w:basedOn w:val="Normal"/>
    <w:pPr>
      <w:overflowPunct/>
      <w:adjustRightInd/>
      <w:snapToGrid/>
      <w:spacing w:after="240" w:line="240" w:lineRule="auto"/>
      <w:jc w:val="left"/>
    </w:pPr>
    <w:rPr>
      <w:bCs/>
      <w:snapToGrid/>
      <w:color w:val="0000FF"/>
      <w:spacing w:val="0"/>
      <w:lang w:val="en-GB" w:eastAsia="en-US"/>
    </w:rPr>
  </w:style>
  <w:style w:type="paragraph" w:styleId="BodyText2">
    <w:name w:val="Body Text 2"/>
    <w:basedOn w:val="Normal"/>
    <w:pPr>
      <w:overflowPunct/>
      <w:adjustRightInd/>
      <w:snapToGrid/>
      <w:spacing w:after="240" w:line="240" w:lineRule="auto"/>
      <w:jc w:val="left"/>
    </w:pPr>
    <w:rPr>
      <w:rFonts w:ascii="Arial" w:hAnsi="Arial" w:cs="Arial"/>
      <w:b/>
      <w:bCs/>
      <w:snapToGrid/>
      <w:color w:val="000000"/>
      <w:spacing w:val="0"/>
      <w:sz w:val="14"/>
      <w:szCs w:val="12"/>
      <w:lang w:val="en-GB" w:eastAsia="en-US"/>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pPr>
      <w:spacing w:after="240"/>
      <w:ind w:firstLine="520"/>
    </w:pPr>
    <w:rPr>
      <w:bCs/>
    </w:rPr>
  </w:style>
  <w:style w:type="paragraph" w:styleId="BodyTextIndent3">
    <w:name w:val="Body Text Indent 3"/>
    <w:basedOn w:val="Normal"/>
    <w:pPr>
      <w:ind w:firstLine="321"/>
    </w:pPr>
    <w:rPr>
      <w:rFonts w:ascii="Arial" w:hAnsi="Arial" w:cs="Arial"/>
      <w:b/>
      <w:bCs/>
      <w:color w:val="000000"/>
      <w:sz w:val="14"/>
      <w:szCs w:val="12"/>
    </w:rPr>
  </w:style>
  <w:style w:type="paragraph" w:styleId="BodyText">
    <w:name w:val="Body Text"/>
    <w:basedOn w:val="Normal"/>
    <w:pPr>
      <w:spacing w:line="160" w:lineRule="exact"/>
      <w:ind w:firstLineChars="0" w:firstLine="0"/>
      <w:jc w:val="left"/>
    </w:pPr>
    <w:rPr>
      <w:sz w:val="1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6.wmf"/><Relationship Id="rId42" Type="http://schemas.openxmlformats.org/officeDocument/2006/relationships/image" Target="media/image20.wmf"/><Relationship Id="rId47" Type="http://schemas.openxmlformats.org/officeDocument/2006/relationships/oleObject" Target="embeddings/oleObject19.bin"/><Relationship Id="rId50" Type="http://schemas.openxmlformats.org/officeDocument/2006/relationships/image" Target="media/image24.wmf"/><Relationship Id="rId55" Type="http://schemas.openxmlformats.org/officeDocument/2006/relationships/oleObject" Target="embeddings/oleObject23.bin"/><Relationship Id="rId63" Type="http://schemas.openxmlformats.org/officeDocument/2006/relationships/oleObject" Target="embeddings/oleObject27.bin"/><Relationship Id="rId68" Type="http://schemas.openxmlformats.org/officeDocument/2006/relationships/image" Target="media/image33.wmf"/><Relationship Id="rId76" Type="http://schemas.openxmlformats.org/officeDocument/2006/relationships/header" Target="header4.xml"/><Relationship Id="rId84" Type="http://schemas.openxmlformats.org/officeDocument/2006/relationships/fontTable" Target="fontTable.xml"/><Relationship Id="rId7" Type="http://schemas.openxmlformats.org/officeDocument/2006/relationships/image" Target="media/image1.wmf"/><Relationship Id="rId71"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wmf"/><Relationship Id="rId29" Type="http://schemas.openxmlformats.org/officeDocument/2006/relationships/oleObject" Target="embeddings/oleObject10.bin"/><Relationship Id="rId11" Type="http://schemas.openxmlformats.org/officeDocument/2006/relationships/image" Target="media/image3.png"/><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14.bin"/><Relationship Id="rId40" Type="http://schemas.openxmlformats.org/officeDocument/2006/relationships/image" Target="media/image19.w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image" Target="media/image28.wmf"/><Relationship Id="rId66" Type="http://schemas.openxmlformats.org/officeDocument/2006/relationships/image" Target="media/image32.wmf"/><Relationship Id="rId74" Type="http://schemas.openxmlformats.org/officeDocument/2006/relationships/header" Target="header3.xml"/><Relationship Id="rId79" Type="http://schemas.openxmlformats.org/officeDocument/2006/relationships/footer" Target="footer5.xml"/><Relationship Id="rId5" Type="http://schemas.openxmlformats.org/officeDocument/2006/relationships/footnotes" Target="footnotes.xml"/><Relationship Id="rId61" Type="http://schemas.openxmlformats.org/officeDocument/2006/relationships/oleObject" Target="embeddings/oleObject26.bin"/><Relationship Id="rId82" Type="http://schemas.openxmlformats.org/officeDocument/2006/relationships/footer" Target="footer6.xml"/><Relationship Id="rId19"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9.bin"/><Relationship Id="rId30" Type="http://schemas.openxmlformats.org/officeDocument/2006/relationships/image" Target="media/image14.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3.wmf"/><Relationship Id="rId56" Type="http://schemas.openxmlformats.org/officeDocument/2006/relationships/image" Target="media/image27.wmf"/><Relationship Id="rId64" Type="http://schemas.openxmlformats.org/officeDocument/2006/relationships/image" Target="media/image31.wmf"/><Relationship Id="rId69" Type="http://schemas.openxmlformats.org/officeDocument/2006/relationships/oleObject" Target="embeddings/oleObject30.bin"/><Relationship Id="rId77" Type="http://schemas.openxmlformats.org/officeDocument/2006/relationships/header" Target="header5.xml"/><Relationship Id="rId8" Type="http://schemas.openxmlformats.org/officeDocument/2006/relationships/oleObject" Target="embeddings/oleObject1.bin"/><Relationship Id="rId51" Type="http://schemas.openxmlformats.org/officeDocument/2006/relationships/oleObject" Target="embeddings/oleObject21.bin"/><Relationship Id="rId72" Type="http://schemas.openxmlformats.org/officeDocument/2006/relationships/footer" Target="footer1.xml"/><Relationship Id="rId80" Type="http://schemas.openxmlformats.org/officeDocument/2006/relationships/header" Target="header6.xm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8.wmf"/><Relationship Id="rId46" Type="http://schemas.openxmlformats.org/officeDocument/2006/relationships/image" Target="media/image22.wmf"/><Relationship Id="rId59" Type="http://schemas.openxmlformats.org/officeDocument/2006/relationships/oleObject" Target="embeddings/oleObject25.bin"/><Relationship Id="rId67" Type="http://schemas.openxmlformats.org/officeDocument/2006/relationships/oleObject" Target="embeddings/oleObject29.bin"/><Relationship Id="rId20" Type="http://schemas.openxmlformats.org/officeDocument/2006/relationships/image" Target="media/image9.wmf"/><Relationship Id="rId41" Type="http://schemas.openxmlformats.org/officeDocument/2006/relationships/oleObject" Target="embeddings/oleObject16.bin"/><Relationship Id="rId54" Type="http://schemas.openxmlformats.org/officeDocument/2006/relationships/image" Target="media/image26.wmf"/><Relationship Id="rId62" Type="http://schemas.openxmlformats.org/officeDocument/2006/relationships/image" Target="media/image30.wmf"/><Relationship Id="rId70" Type="http://schemas.openxmlformats.org/officeDocument/2006/relationships/header" Target="header1.xml"/><Relationship Id="rId75" Type="http://schemas.openxmlformats.org/officeDocument/2006/relationships/footer" Target="footer3.xml"/><Relationship Id="rId83"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20.bin"/><Relationship Id="rId57" Type="http://schemas.openxmlformats.org/officeDocument/2006/relationships/oleObject" Target="embeddings/oleObject24.bin"/><Relationship Id="rId10" Type="http://schemas.openxmlformats.org/officeDocument/2006/relationships/oleObject" Target="embeddings/oleObject2.bin"/><Relationship Id="rId31" Type="http://schemas.openxmlformats.org/officeDocument/2006/relationships/oleObject" Target="embeddings/oleObject11.bin"/><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oleObject" Target="embeddings/oleObject28.bin"/><Relationship Id="rId73" Type="http://schemas.openxmlformats.org/officeDocument/2006/relationships/footer" Target="footer2.xml"/><Relationship Id="rId78" Type="http://schemas.openxmlformats.org/officeDocument/2006/relationships/footer" Target="footer4.xml"/><Relationship Id="rId81" Type="http://schemas.openxmlformats.org/officeDocument/2006/relationships/header" Target="header7.xml"/></Relationships>
</file>

<file path=word/_rels/footnotes.xml.rels><?xml version="1.0" encoding="UTF-8" standalone="yes"?>
<Relationships xmlns="http://schemas.openxmlformats.org/package/2006/relationships"><Relationship Id="rId2" Type="http://schemas.openxmlformats.org/officeDocument/2006/relationships/hyperlink" Target="http://en.wikipedia.org/wiki/List_of_countries_by_population_density" TargetMode="External"/><Relationship Id="rId1" Type="http://schemas.openxmlformats.org/officeDocument/2006/relationships/hyperlink" Target="http://ctf-ri-tl.org" TargetMode="External"/></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31.bin"/><Relationship Id="rId1" Type="http://schemas.openxmlformats.org/officeDocument/2006/relationships/image" Target="media/image34.wmf"/></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T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TD</Template>
  <TotalTime>3</TotalTime>
  <Pages>1</Pages>
  <Words>21120</Words>
  <Characters>120388</Characters>
  <Application>Microsoft Office Word</Application>
  <DocSecurity>4</DocSecurity>
  <Lines>1003</Lines>
  <Paragraphs>282</Paragraphs>
  <ScaleCrop>false</ScaleCrop>
  <HeadingPairs>
    <vt:vector size="4" baseType="variant">
      <vt:variant>
        <vt:lpstr>Title</vt:lpstr>
      </vt:variant>
      <vt:variant>
        <vt:i4>1</vt:i4>
      </vt:variant>
      <vt:variant>
        <vt:lpstr>Headings</vt:lpstr>
      </vt:variant>
      <vt:variant>
        <vt:i4>89</vt:i4>
      </vt:variant>
    </vt:vector>
  </HeadingPairs>
  <TitlesOfParts>
    <vt:vector size="90" baseType="lpstr">
      <vt:lpstr> </vt:lpstr>
      <vt:lpstr>作为缔约国报告组成部分的核心文件</vt:lpstr>
      <vt:lpstr>东帝汶*</vt:lpstr>
      <vt:lpstr>附 件</vt:lpstr>
      <vt:lpstr>    缩略语</vt:lpstr>
      <vt:lpstr>一、有关东帝汶的一般事实及统计资料</vt:lpstr>
      <vt:lpstr>    A.	人口、经济、社会和文化特征</vt:lpstr>
      <vt:lpstr>    1.  人口概况</vt:lpstr>
      <vt:lpstr>    2.  数据整理</vt:lpstr>
      <vt:lpstr>    B.  总体宪法、政治和法律体系</vt:lpstr>
      <vt:lpstr>    1.  政治史</vt:lpstr>
      <vt:lpstr>        葡萄牙殖民统治</vt:lpstr>
      <vt:lpstr>        解除殖民统治</vt:lpstr>
      <vt:lpstr>        印度尼西亚入侵与占领</vt:lpstr>
      <vt:lpstr>        为独立而斗争</vt:lpstr>
      <vt:lpstr>        政治转变</vt:lpstr>
      <vt:lpstr>        联合国行政当局——向完全独立过渡</vt:lpstr>
      <vt:lpstr>    2.  总体的宪法体系 </vt:lpstr>
      <vt:lpstr>    3.  政治体系</vt:lpstr>
      <vt:lpstr>        议会</vt:lpstr>
      <vt:lpstr>        政府 </vt:lpstr>
      <vt:lpstr>        管理体制与地方政府</vt:lpstr>
      <vt:lpstr>    4.  法律体系</vt:lpstr>
      <vt:lpstr>        法庭</vt:lpstr>
      <vt:lpstr>        最高司法理事会</vt:lpstr>
      <vt:lpstr>        检察长办公室</vt:lpstr>
      <vt:lpstr>        公设辩护服务处</vt:lpstr>
      <vt:lpstr>        司法培训中心</vt:lpstr>
      <vt:lpstr>        重罪诉讼程序</vt:lpstr>
      <vt:lpstr>        接纳、真相与和解委员会</vt:lpstr>
      <vt:lpstr>        真相与友谊委员会 </vt:lpstr>
      <vt:lpstr>二、保护和促进人权的总体法律体系</vt:lpstr>
      <vt:lpstr>    A.  接受人权规范</vt:lpstr>
      <vt:lpstr>    B. 保护人权的总体法律体系</vt:lpstr>
      <vt:lpstr>    1.  国内适用的权利 </vt:lpstr>
      <vt:lpstr>    2.  权利限制</vt:lpstr>
      <vt:lpstr>        （a）限制外国人拥有土地的权利</vt:lpstr>
      <vt:lpstr>        （b）限制外国人参与政治事务的权利</vt:lpstr>
      <vt:lpstr>        （c）限制自由进行和平集会和示威的权利</vt:lpstr>
      <vt:lpstr>    3. 《刑法典》</vt:lpstr>
      <vt:lpstr>    4. 紧急状态</vt:lpstr>
      <vt:lpstr>    C.  促进人权的总体框架</vt:lpstr>
      <vt:lpstr>    1.	促进与保护人权的国家机构</vt:lpstr>
      <vt:lpstr>        人权与正义监察员办公室 </vt:lpstr>
      <vt:lpstr>        最高上诉法院</vt:lpstr>
      <vt:lpstr>    2. 	政府专门机构的任务 </vt:lpstr>
      <vt:lpstr>        人权事务总理顾问办公室</vt:lpstr>
      <vt:lpstr>        儿童权利全国委员会</vt:lpstr>
      <vt:lpstr>    3.  政府部委</vt:lpstr>
      <vt:lpstr>        教育与文化部</vt:lpstr>
      <vt:lpstr>        卫生部</vt:lpstr>
      <vt:lpstr>        司法部</vt:lpstr>
      <vt:lpstr>        劳动与社会安置部</vt:lpstr>
      <vt:lpstr>        青年及体育国务秘书处</vt:lpstr>
      <vt:lpstr>        人权和性别事务联络员</vt:lpstr>
      <vt:lpstr>        退伍军人委员会</vt:lpstr>
      <vt:lpstr>    4. 	议会中的人权</vt:lpstr>
      <vt:lpstr>    5. 	人权文书的公布</vt:lpstr>
      <vt:lpstr>    6. 	人权培训与教育</vt:lpstr>
      <vt:lpstr>    7. 	媒体与公共信息宣传</vt:lpstr>
      <vt:lpstr>        独立媒体</vt:lpstr>
      <vt:lpstr>    8.  人权与发展</vt:lpstr>
      <vt:lpstr>        基于权利的发展指标</vt:lpstr>
      <vt:lpstr>    D.	报告程序在促进国家一级人权方面的作用</vt:lpstr>
      <vt:lpstr>    E.	《国家人权行动计划》和其他相关的人权信息</vt:lpstr>
      <vt:lpstr>三、内容一致的实质性条款</vt:lpstr>
      <vt:lpstr>    A.  非歧视与平等 </vt:lpstr>
      <vt:lpstr>    2. 加速争取平等的特别措施 、 </vt:lpstr>
      <vt:lpstr>        退伍战斗人员</vt:lpstr>
      <vt:lpstr>        对弱势人群的紧急援助</vt:lpstr>
      <vt:lpstr>        有关残疾人的战略</vt:lpstr>
      <vt:lpstr>    B. 程序保障措施  </vt:lpstr>
      <vt:lpstr>    1.	逮捕与拘留</vt:lpstr>
      <vt:lpstr>    2.  刑事诉讼</vt:lpstr>
      <vt:lpstr>    3.	传统司法</vt:lpstr>
      <vt:lpstr>    C. 参与公共生活</vt:lpstr>
      <vt:lpstr>    1.	国籍权 </vt:lpstr>
      <vt:lpstr>        公民权的平等</vt:lpstr>
      <vt:lpstr>    2. 	参政权与获取公共服务的权利 </vt:lpstr>
      <vt:lpstr>        妇女与参政</vt:lpstr>
      <vt:lpstr>        妇女参与公共生活的障碍</vt:lpstr>
      <vt:lpstr>        政府支持妇女参政的举措</vt:lpstr>
      <vt:lpstr>        移民参政</vt:lpstr>
      <vt:lpstr>    D. 社会经济事务 </vt:lpstr>
      <vt:lpstr>    1.  适当的生活水平</vt:lpstr>
      <vt:lpstr>    2. 	住房 </vt:lpstr>
      <vt:lpstr>        水与卫生</vt:lpstr>
      <vt:lpstr>    3.  卫生状况 </vt:lpstr>
      <vt:lpstr>    4.  生殖健康</vt:lpstr>
      <vt:lpstr>    5.  艾滋病毒/艾滋病 </vt:lpstr>
    </vt:vector>
  </TitlesOfParts>
  <Company>Chinese Unit - GE</Company>
  <LinksUpToDate>false</LinksUpToDate>
  <CharactersWithSpaces>141226</CharactersWithSpaces>
  <SharedDoc>false</SharedDoc>
  <HLinks>
    <vt:vector size="18" baseType="variant">
      <vt:variant>
        <vt:i4>7274623</vt:i4>
      </vt:variant>
      <vt:variant>
        <vt:i4>6</vt:i4>
      </vt:variant>
      <vt:variant>
        <vt:i4>0</vt:i4>
      </vt:variant>
      <vt:variant>
        <vt:i4>5</vt:i4>
      </vt:variant>
      <vt:variant>
        <vt:lpwstr>http://www.ipu.org/wmn-e/arc/classif280206.htm</vt:lpwstr>
      </vt:variant>
      <vt:variant>
        <vt:lpwstr/>
      </vt:variant>
      <vt:variant>
        <vt:i4>1704034</vt:i4>
      </vt:variant>
      <vt:variant>
        <vt:i4>3</vt:i4>
      </vt:variant>
      <vt:variant>
        <vt:i4>0</vt:i4>
      </vt:variant>
      <vt:variant>
        <vt:i4>5</vt:i4>
      </vt:variant>
      <vt:variant>
        <vt:lpwstr>http://en.wikipedia.org/wiki/List_of_countries_by_population_density</vt:lpwstr>
      </vt:variant>
      <vt:variant>
        <vt:lpwstr/>
      </vt:variant>
      <vt:variant>
        <vt:i4>1376273</vt:i4>
      </vt:variant>
      <vt:variant>
        <vt:i4>0</vt:i4>
      </vt:variant>
      <vt:variant>
        <vt:i4>0</vt:i4>
      </vt:variant>
      <vt:variant>
        <vt:i4>5</vt:i4>
      </vt:variant>
      <vt:variant>
        <vt:lpwstr>http://ctf-ri-tl.org/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CTPC</dc:creator>
  <cp:keywords/>
  <dc:description>贸易和发展会议</dc:description>
  <cp:lastModifiedBy>CSD</cp:lastModifiedBy>
  <cp:revision>3</cp:revision>
  <cp:lastPrinted>2008-01-22T15:10:00Z</cp:lastPrinted>
  <dcterms:created xsi:type="dcterms:W3CDTF">2008-01-23T08:15:00Z</dcterms:created>
  <dcterms:modified xsi:type="dcterms:W3CDTF">2008-01-23T08:17:00Z</dcterms:modified>
  <cp:category> </cp:category>
</cp:coreProperties>
</file>