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92444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9C6" w:rsidRPr="00924443" w:rsidRDefault="005709C6" w:rsidP="00924443">
            <w:pPr>
              <w:spacing w:before="40" w:after="80" w:line="300" w:lineRule="exact"/>
              <w:rPr>
                <w:sz w:val="28"/>
              </w:rPr>
            </w:pPr>
            <w:r w:rsidRPr="00924443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9C6" w:rsidRPr="00553754" w:rsidRDefault="005709C6" w:rsidP="00924443">
            <w:pPr>
              <w:spacing w:before="40" w:after="40"/>
              <w:jc w:val="right"/>
            </w:pPr>
            <w:r w:rsidRPr="00924443">
              <w:rPr>
                <w:sz w:val="40"/>
                <w:szCs w:val="40"/>
                <w:lang w:val="en-US"/>
              </w:rPr>
              <w:t>HRI</w:t>
            </w:r>
            <w:r w:rsidRPr="00553754">
              <w:t>/</w:t>
            </w:r>
            <w:r w:rsidR="00C361BB" w:rsidRPr="00924443">
              <w:rPr>
                <w:lang w:val="en-US"/>
              </w:rPr>
              <w:t>CORE/CYP/2014</w:t>
            </w:r>
            <w:r w:rsidR="00C361BB" w:rsidRPr="00553754">
              <w:t xml:space="preserve"> </w:t>
            </w:r>
          </w:p>
        </w:tc>
      </w:tr>
      <w:tr w:rsidR="005709C6" w:rsidRPr="00767C58" w:rsidTr="0092444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09C6" w:rsidRPr="00924443" w:rsidRDefault="00924443" w:rsidP="00924443">
            <w:pPr>
              <w:spacing w:before="120" w:after="40"/>
              <w:jc w:val="center"/>
              <w:rPr>
                <w:sz w:val="18"/>
              </w:rPr>
            </w:pPr>
            <w:r w:rsidRPr="00924443">
              <w:rPr>
                <w:noProof/>
                <w:sz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09C6" w:rsidRPr="00924443" w:rsidRDefault="005709C6" w:rsidP="00924443">
            <w:pPr>
              <w:spacing w:before="120" w:after="4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924443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924443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09C6" w:rsidRPr="00924443" w:rsidRDefault="005709C6" w:rsidP="00924443">
            <w:pPr>
              <w:spacing w:before="240"/>
              <w:rPr>
                <w:lang w:val="en-US"/>
              </w:rPr>
            </w:pPr>
            <w:r w:rsidRPr="00924443">
              <w:rPr>
                <w:lang w:val="en-US"/>
              </w:rPr>
              <w:t>Distr</w:t>
            </w:r>
            <w:r w:rsidRPr="00553754">
              <w:t>.:</w:t>
            </w:r>
            <w:r w:rsidRPr="00924443">
              <w:rPr>
                <w:lang w:val="en-US"/>
              </w:rPr>
              <w:t xml:space="preserve"> </w:t>
            </w:r>
            <w:bookmarkStart w:id="0" w:name="ПолеСоСписком1"/>
            <w:r w:rsidRPr="00924443">
              <w:rPr>
                <w:sz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924443">
              <w:rPr>
                <w:lang w:val="en-US"/>
              </w:rPr>
              <w:instrText xml:space="preserve"> FORMDROPDOWN </w:instrText>
            </w:r>
            <w:r w:rsidR="00C361BB" w:rsidRPr="00924443">
              <w:rPr>
                <w:sz w:val="18"/>
              </w:rPr>
            </w:r>
            <w:r w:rsidR="00C361BB" w:rsidRPr="00924443">
              <w:rPr>
                <w:sz w:val="18"/>
              </w:rPr>
              <w:fldChar w:fldCharType="separate"/>
            </w:r>
            <w:r w:rsidRPr="00924443">
              <w:rPr>
                <w:sz w:val="18"/>
              </w:rPr>
              <w:fldChar w:fldCharType="end"/>
            </w:r>
            <w:bookmarkEnd w:id="0"/>
          </w:p>
          <w:p w:rsidR="005709C6" w:rsidRPr="00924443" w:rsidRDefault="005709C6" w:rsidP="00924443">
            <w:pPr>
              <w:rPr>
                <w:lang w:val="en-US"/>
              </w:rPr>
            </w:pPr>
            <w:fldSimple w:instr=" FILLIN  &quot;Введите дату документа&quot; \* MERGEFORMAT ">
              <w:r w:rsidR="005928A8" w:rsidRPr="00924443">
                <w:rPr>
                  <w:lang w:val="en-US"/>
                </w:rPr>
                <w:t>3 February 2015</w:t>
              </w:r>
            </w:fldSimple>
          </w:p>
          <w:p w:rsidR="005709C6" w:rsidRPr="00553754" w:rsidRDefault="005709C6" w:rsidP="00924443">
            <w:r w:rsidRPr="00924443">
              <w:rPr>
                <w:lang w:val="en-US"/>
              </w:rPr>
              <w:t>Russian</w:t>
            </w:r>
          </w:p>
          <w:p w:rsidR="005709C6" w:rsidRPr="00553754" w:rsidRDefault="005709C6" w:rsidP="00924443">
            <w:r w:rsidRPr="00924443">
              <w:rPr>
                <w:lang w:val="en-US"/>
              </w:rPr>
              <w:t>Original</w:t>
            </w:r>
            <w:r w:rsidRPr="00553754">
              <w:t xml:space="preserve">:  </w:t>
            </w:r>
            <w:bookmarkStart w:id="1" w:name="ПолеСоСписком2"/>
            <w:r w:rsidRPr="00924443">
              <w:rPr>
                <w:sz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924443">
              <w:rPr>
                <w:lang w:val="en-US"/>
              </w:rPr>
              <w:instrText xml:space="preserve"> FORMDROPDOWN </w:instrText>
            </w:r>
            <w:r w:rsidR="00C361BB" w:rsidRPr="00924443">
              <w:rPr>
                <w:sz w:val="18"/>
              </w:rPr>
            </w:r>
            <w:r w:rsidR="00C361BB" w:rsidRPr="00924443">
              <w:rPr>
                <w:sz w:val="18"/>
              </w:rPr>
              <w:fldChar w:fldCharType="separate"/>
            </w:r>
            <w:r w:rsidRPr="00924443">
              <w:rPr>
                <w:sz w:val="18"/>
              </w:rPr>
              <w:fldChar w:fldCharType="end"/>
            </w:r>
            <w:bookmarkEnd w:id="1"/>
          </w:p>
          <w:p w:rsidR="005709C6" w:rsidRPr="00553754" w:rsidRDefault="005709C6" w:rsidP="00924443">
            <w:pPr>
              <w:spacing w:before="40" w:after="40"/>
            </w:pPr>
          </w:p>
        </w:tc>
      </w:tr>
    </w:tbl>
    <w:p w:rsidR="00861BFA" w:rsidRPr="00861BFA" w:rsidRDefault="00861BFA" w:rsidP="0020401C">
      <w:pPr>
        <w:pStyle w:val="HMGR"/>
      </w:pPr>
      <w:r w:rsidRPr="00FF2DB4">
        <w:tab/>
      </w:r>
      <w:r w:rsidRPr="00FF2DB4">
        <w:tab/>
      </w:r>
      <w:r w:rsidRPr="00861BFA">
        <w:t>Общий базовый документ, являющийся составной частью докладов государств-участников</w:t>
      </w:r>
    </w:p>
    <w:p w:rsidR="00861BFA" w:rsidRPr="00861BFA" w:rsidRDefault="00861BFA" w:rsidP="0020401C">
      <w:pPr>
        <w:pStyle w:val="HMGR"/>
      </w:pPr>
      <w:r w:rsidRPr="00861BFA">
        <w:tab/>
      </w:r>
      <w:r w:rsidRPr="00861BFA">
        <w:tab/>
        <w:t>Кипр</w:t>
      </w:r>
      <w:r w:rsidRPr="00FF2DB4">
        <w:rPr>
          <w:b w:val="0"/>
          <w:sz w:val="20"/>
        </w:rPr>
        <w:footnoteReference w:customMarkFollows="1" w:id="1"/>
        <w:t>*</w:t>
      </w:r>
    </w:p>
    <w:p w:rsidR="00861BFA" w:rsidRPr="00861BFA" w:rsidRDefault="00861BFA" w:rsidP="0020401C">
      <w:pPr>
        <w:pStyle w:val="SingleTxtGR"/>
        <w:jc w:val="right"/>
      </w:pPr>
      <w:r w:rsidRPr="00861BFA">
        <w:t>[Дата получения: 1 июля 2014 года]</w:t>
      </w:r>
    </w:p>
    <w:p w:rsidR="0020401C" w:rsidRDefault="00861BFA" w:rsidP="0020401C">
      <w:pPr>
        <w:suppressAutoHyphens/>
        <w:spacing w:after="120"/>
        <w:rPr>
          <w:sz w:val="28"/>
        </w:rPr>
      </w:pPr>
      <w:r w:rsidRPr="00861BFA">
        <w:br w:type="page"/>
      </w:r>
      <w:r w:rsidR="0020401C">
        <w:rPr>
          <w:sz w:val="28"/>
        </w:rPr>
        <w:t>Содержание</w:t>
      </w:r>
    </w:p>
    <w:p w:rsidR="0020401C" w:rsidRDefault="0020401C" w:rsidP="0020401C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861BFA" w:rsidRPr="00956732" w:rsidRDefault="00861BFA" w:rsidP="002040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61BFA">
        <w:tab/>
        <w:t xml:space="preserve">I. </w:t>
      </w:r>
      <w:r w:rsidR="00627938" w:rsidRPr="00956732">
        <w:tab/>
      </w:r>
      <w:r w:rsidRPr="00861BFA">
        <w:t>Введение</w:t>
      </w:r>
      <w:r w:rsidR="00956732">
        <w:tab/>
      </w:r>
      <w:r w:rsidR="00956732">
        <w:tab/>
      </w:r>
      <w:r w:rsidRPr="00861BFA">
        <w:t>1</w:t>
      </w:r>
      <w:r w:rsidR="00956732">
        <w:t>−</w:t>
      </w:r>
      <w:r w:rsidRPr="00861BFA">
        <w:t xml:space="preserve">6 </w:t>
      </w:r>
      <w:r w:rsidR="00956732">
        <w:tab/>
      </w:r>
      <w:r w:rsidRPr="00861BFA">
        <w:t>3</w:t>
      </w:r>
    </w:p>
    <w:p w:rsidR="00956732" w:rsidRDefault="00861BFA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61BFA">
        <w:tab/>
      </w:r>
      <w:r w:rsidRPr="0020401C">
        <w:t>II.</w:t>
      </w:r>
      <w:r w:rsidRPr="0020401C">
        <w:tab/>
      </w:r>
      <w:r w:rsidR="00956732">
        <w:t>Общая информация</w:t>
      </w:r>
      <w:r w:rsidR="00956732">
        <w:tab/>
      </w:r>
      <w:r w:rsidR="00956732">
        <w:tab/>
      </w:r>
      <w:r w:rsidR="00956732" w:rsidRPr="00FF2DB4">
        <w:t>7–84</w:t>
      </w:r>
      <w:r w:rsidR="00956732" w:rsidRPr="00FF2DB4">
        <w:tab/>
        <w:t>3</w:t>
      </w:r>
    </w:p>
    <w:p w:rsidR="00CA3B79" w:rsidRDefault="00956732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 xml:space="preserve">A. </w:t>
      </w:r>
      <w:r>
        <w:tab/>
        <w:t xml:space="preserve">Демографические, экономические, социальные и культурные </w:t>
      </w:r>
      <w:r>
        <w:br/>
      </w:r>
      <w:r>
        <w:tab/>
      </w:r>
      <w:r>
        <w:tab/>
      </w:r>
      <w:r>
        <w:tab/>
        <w:t>характеристики</w:t>
      </w:r>
      <w:r>
        <w:tab/>
      </w:r>
      <w:r>
        <w:tab/>
      </w:r>
      <w:r w:rsidR="00CA3B79" w:rsidRPr="00956732">
        <w:t>7–43</w:t>
      </w:r>
      <w:r w:rsidR="00CA3B79" w:rsidRPr="00956732">
        <w:tab/>
        <w:t>3</w:t>
      </w:r>
    </w:p>
    <w:p w:rsidR="00956732" w:rsidRPr="00956732" w:rsidRDefault="00CA3B79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627938">
        <w:t>Β.</w:t>
      </w:r>
      <w:r w:rsidRPr="00627938">
        <w:tab/>
        <w:t>Конституционная, политическая и правовая структура</w:t>
      </w:r>
      <w:r>
        <w:tab/>
      </w:r>
      <w:r>
        <w:tab/>
      </w:r>
      <w:r w:rsidRPr="00956732">
        <w:t>44–8</w:t>
      </w:r>
      <w:r w:rsidR="006E546C">
        <w:t>4</w:t>
      </w:r>
      <w:r w:rsidR="006E546C">
        <w:tab/>
        <w:t>15</w:t>
      </w:r>
    </w:p>
    <w:p w:rsidR="004A4858" w:rsidRPr="004A4858" w:rsidRDefault="00956732" w:rsidP="004A4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4A4858" w:rsidRPr="004A4858">
        <w:t>ΙΙI.</w:t>
      </w:r>
      <w:r w:rsidR="004A4858" w:rsidRPr="004A4858">
        <w:tab/>
        <w:t>Общие рамки защиты и поощрения прав человека</w:t>
      </w:r>
      <w:r w:rsidR="004A4858">
        <w:tab/>
      </w:r>
      <w:r w:rsidR="004A4858">
        <w:tab/>
      </w:r>
      <w:r w:rsidR="004A4858" w:rsidRPr="0020401C">
        <w:t>85–131</w:t>
      </w:r>
      <w:r w:rsidR="004A4858" w:rsidRPr="0020401C">
        <w:tab/>
        <w:t>2</w:t>
      </w:r>
      <w:r w:rsidR="00FD02EC">
        <w:t>7</w:t>
      </w:r>
    </w:p>
    <w:p w:rsidR="004A4858" w:rsidRPr="004A4858" w:rsidRDefault="004A4858" w:rsidP="004A4858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A4858">
        <w:tab/>
      </w:r>
      <w:r>
        <w:tab/>
      </w:r>
      <w:r w:rsidRPr="004A4858">
        <w:t xml:space="preserve">A. </w:t>
      </w:r>
      <w:r w:rsidRPr="004A4858">
        <w:tab/>
        <w:t>Принятие международных норм в области прав человека</w:t>
      </w:r>
      <w:r>
        <w:tab/>
      </w:r>
      <w:r>
        <w:tab/>
      </w:r>
      <w:r w:rsidRPr="0020401C">
        <w:t>85–89</w:t>
      </w:r>
      <w:r w:rsidRPr="0020401C">
        <w:tab/>
        <w:t>2</w:t>
      </w:r>
      <w:r w:rsidR="00FD02EC">
        <w:t>7</w:t>
      </w:r>
    </w:p>
    <w:p w:rsidR="00CA3B79" w:rsidRDefault="004A4858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Pr="00627938">
        <w:t xml:space="preserve">B. </w:t>
      </w:r>
      <w:r>
        <w:tab/>
      </w:r>
      <w:r w:rsidRPr="00627938">
        <w:t xml:space="preserve">Правовые рамки защиты прав человека на национальном </w:t>
      </w:r>
      <w:r w:rsidR="00C361BB" w:rsidRPr="00C361BB">
        <w:br/>
      </w:r>
      <w:r w:rsidR="00C361BB" w:rsidRPr="00C361BB">
        <w:tab/>
      </w:r>
      <w:r w:rsidR="00C361BB" w:rsidRPr="00C361BB">
        <w:tab/>
      </w:r>
      <w:r w:rsidR="00C361BB" w:rsidRPr="00C361BB">
        <w:tab/>
      </w:r>
      <w:r w:rsidRPr="00627938">
        <w:t>уровне</w:t>
      </w:r>
      <w:r>
        <w:tab/>
      </w:r>
      <w:r>
        <w:tab/>
      </w:r>
      <w:r w:rsidRPr="0020401C">
        <w:t>90–99</w:t>
      </w:r>
      <w:r w:rsidRPr="0020401C">
        <w:tab/>
      </w:r>
      <w:r w:rsidR="00473B01">
        <w:t>27</w:t>
      </w:r>
    </w:p>
    <w:p w:rsidR="00956732" w:rsidRDefault="004A4858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956732">
        <w:t xml:space="preserve">C. </w:t>
      </w:r>
      <w:r w:rsidR="00956732">
        <w:tab/>
        <w:t xml:space="preserve">Правовые рамки поощрения прав человека на национальном </w:t>
      </w:r>
      <w:r w:rsidR="00956732">
        <w:br/>
      </w:r>
      <w:r w:rsidR="00956732">
        <w:tab/>
      </w:r>
      <w:r w:rsidR="00956732">
        <w:tab/>
      </w:r>
      <w:r w:rsidR="00956732">
        <w:tab/>
        <w:t>уровне</w:t>
      </w:r>
      <w:r w:rsidR="00956732">
        <w:tab/>
      </w:r>
      <w:r w:rsidR="00956732">
        <w:tab/>
      </w:r>
      <w:r w:rsidRPr="0020401C">
        <w:t>100–125</w:t>
      </w:r>
      <w:r w:rsidRPr="0020401C">
        <w:tab/>
      </w:r>
      <w:r w:rsidR="00FD02EC">
        <w:t>3</w:t>
      </w:r>
      <w:r w:rsidR="008E358B">
        <w:t>1</w:t>
      </w:r>
    </w:p>
    <w:p w:rsidR="00956732" w:rsidRDefault="00956732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D.</w:t>
      </w:r>
      <w:r>
        <w:tab/>
        <w:t>Процесс подготовки докладов на национальном уровне</w:t>
      </w:r>
      <w:r>
        <w:tab/>
      </w:r>
      <w:r>
        <w:tab/>
      </w:r>
      <w:r w:rsidR="004A4858" w:rsidRPr="0020401C">
        <w:t>126–130</w:t>
      </w:r>
      <w:r w:rsidR="004A4858" w:rsidRPr="0020401C">
        <w:tab/>
        <w:t>3</w:t>
      </w:r>
      <w:r w:rsidR="008E358B">
        <w:t>6</w:t>
      </w:r>
    </w:p>
    <w:p w:rsidR="00956732" w:rsidRDefault="00956732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E.</w:t>
      </w:r>
      <w:r>
        <w:tab/>
        <w:t>Прочие сведения о правах человека</w:t>
      </w:r>
      <w:r>
        <w:tab/>
      </w:r>
      <w:r>
        <w:tab/>
      </w:r>
      <w:r w:rsidR="004A4858" w:rsidRPr="0020401C">
        <w:t>131</w:t>
      </w:r>
      <w:r w:rsidR="004A4858" w:rsidRPr="0020401C">
        <w:tab/>
        <w:t>3</w:t>
      </w:r>
      <w:r w:rsidR="00FD02EC">
        <w:t>7</w:t>
      </w:r>
    </w:p>
    <w:p w:rsidR="00956732" w:rsidRDefault="00956732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IV.</w:t>
      </w:r>
      <w:r>
        <w:tab/>
        <w:t xml:space="preserve">Сведения о недискриминации и равенстве, а также об эффективных </w:t>
      </w:r>
      <w:r w:rsidR="00C361BB" w:rsidRPr="00C361BB">
        <w:br/>
      </w:r>
      <w:r w:rsidR="00C361BB" w:rsidRPr="00C361BB">
        <w:tab/>
      </w:r>
      <w:r w:rsidR="00C361BB" w:rsidRPr="00C361BB">
        <w:tab/>
      </w:r>
      <w:r>
        <w:t>средствах правовой защиты</w:t>
      </w:r>
      <w:r>
        <w:tab/>
      </w:r>
      <w:r>
        <w:tab/>
      </w:r>
      <w:r w:rsidR="004A4858" w:rsidRPr="0020401C">
        <w:t>132–142</w:t>
      </w:r>
      <w:r w:rsidR="004A4858" w:rsidRPr="0020401C">
        <w:tab/>
        <w:t>3</w:t>
      </w:r>
      <w:r w:rsidR="008E358B">
        <w:t>7</w:t>
      </w:r>
    </w:p>
    <w:p w:rsidR="00956732" w:rsidRPr="00956732" w:rsidRDefault="00956732" w:rsidP="009567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Pr="00956732">
        <w:rPr>
          <w:lang w:val="en-US"/>
        </w:rPr>
        <w:t>V</w:t>
      </w:r>
      <w:r w:rsidRPr="00956732">
        <w:t>.</w:t>
      </w:r>
      <w:r w:rsidRPr="00956732">
        <w:tab/>
      </w:r>
      <w:r>
        <w:t>Последние</w:t>
      </w:r>
      <w:r w:rsidRPr="00956732">
        <w:t xml:space="preserve"> </w:t>
      </w:r>
      <w:r>
        <w:t>события</w:t>
      </w:r>
      <w:r w:rsidRPr="00956732">
        <w:t xml:space="preserve">, </w:t>
      </w:r>
      <w:r>
        <w:t>касающиеся</w:t>
      </w:r>
      <w:r w:rsidRPr="00956732">
        <w:t xml:space="preserve"> </w:t>
      </w:r>
      <w:r>
        <w:t>кипрского</w:t>
      </w:r>
      <w:r w:rsidRPr="00956732">
        <w:t xml:space="preserve"> </w:t>
      </w:r>
      <w:r>
        <w:t>вопроса</w:t>
      </w:r>
      <w:r w:rsidRPr="00956732">
        <w:tab/>
        <w:t xml:space="preserve"> </w:t>
      </w:r>
      <w:r>
        <w:tab/>
      </w:r>
      <w:r w:rsidR="004A4858" w:rsidRPr="0020401C">
        <w:t>143–146</w:t>
      </w:r>
      <w:r w:rsidR="004A4858" w:rsidRPr="0020401C">
        <w:tab/>
        <w:t>3</w:t>
      </w:r>
      <w:r w:rsidR="008E358B">
        <w:t>9</w:t>
      </w:r>
    </w:p>
    <w:p w:rsidR="00861BFA" w:rsidRPr="00FF2DB4" w:rsidRDefault="00861BFA" w:rsidP="002040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F2DB4">
        <w:rPr>
          <w:lang w:val="en-US"/>
        </w:rPr>
        <w:t>Annexes I, II, III, IV, V</w:t>
      </w:r>
      <w:r w:rsidRPr="00FF2DB4">
        <w:rPr>
          <w:lang w:val="en-US"/>
        </w:rPr>
        <w:footnoteReference w:customMarkFollows="1" w:id="2"/>
        <w:t>**</w:t>
      </w:r>
    </w:p>
    <w:p w:rsidR="00861BFA" w:rsidRPr="00861BFA" w:rsidRDefault="00861BFA" w:rsidP="00627938">
      <w:pPr>
        <w:pStyle w:val="HChGR"/>
      </w:pPr>
      <w:r w:rsidRPr="00C361BB">
        <w:br w:type="page"/>
      </w:r>
      <w:r w:rsidRPr="00C361BB">
        <w:tab/>
      </w:r>
      <w:r w:rsidRPr="00861BFA">
        <w:t xml:space="preserve">I. </w:t>
      </w:r>
      <w:r w:rsidR="00627938" w:rsidRPr="00627938">
        <w:tab/>
      </w:r>
      <w:r w:rsidRPr="00861BFA">
        <w:t>Введение</w:t>
      </w:r>
    </w:p>
    <w:p w:rsidR="00861BFA" w:rsidRPr="00861BFA" w:rsidRDefault="00861BFA" w:rsidP="0020401C">
      <w:pPr>
        <w:pStyle w:val="SingleTxtGR"/>
      </w:pPr>
      <w:r w:rsidRPr="00861BFA">
        <w:t>1.</w:t>
      </w:r>
      <w:r w:rsidRPr="00861BFA">
        <w:tab/>
        <w:t>Общий базовый документ является неотъемлемой частью докладов, представляемых правительством Республики Кипр договорным органам по пр</w:t>
      </w:r>
      <w:r w:rsidRPr="00861BFA">
        <w:t>а</w:t>
      </w:r>
      <w:r w:rsidRPr="00861BFA">
        <w:t>вам человека Организации Объединенных Наций во исполнение своих обяз</w:t>
      </w:r>
      <w:r w:rsidRPr="00861BFA">
        <w:t>а</w:t>
      </w:r>
      <w:r w:rsidRPr="00861BFA">
        <w:t>тельств по представлению отчетности в качестве г</w:t>
      </w:r>
      <w:r w:rsidR="00627938">
        <w:t>осударства</w:t>
      </w:r>
      <w:r w:rsidR="00627938" w:rsidRPr="00627938">
        <w:t xml:space="preserve"> − </w:t>
      </w:r>
      <w:r w:rsidRPr="00861BFA">
        <w:t>участника ме</w:t>
      </w:r>
      <w:r w:rsidRPr="00861BFA">
        <w:t>ж</w:t>
      </w:r>
      <w:r w:rsidRPr="00861BFA">
        <w:t>дународных договоров по правам человека.</w:t>
      </w:r>
    </w:p>
    <w:p w:rsidR="00861BFA" w:rsidRPr="00861BFA" w:rsidRDefault="00861BFA" w:rsidP="0020401C">
      <w:pPr>
        <w:pStyle w:val="SingleTxtGR"/>
      </w:pPr>
      <w:r w:rsidRPr="00861BFA">
        <w:t>2.</w:t>
      </w:r>
      <w:r w:rsidRPr="00861BFA">
        <w:tab/>
        <w:t>Настоящий общий базовый документ содержит пересмотр предыдущих документов, представленных правительством Республики Кипр, и разработан в соответствии с пересмотренными Руководящими принципами Организации Объединенных Наций (HRI/GEN/2/Rev.6).</w:t>
      </w:r>
    </w:p>
    <w:p w:rsidR="00861BFA" w:rsidRPr="00861BFA" w:rsidRDefault="00861BFA" w:rsidP="0020401C">
      <w:pPr>
        <w:pStyle w:val="SingleTxtGR"/>
      </w:pPr>
      <w:r w:rsidRPr="00861BFA">
        <w:t>3.</w:t>
      </w:r>
      <w:r w:rsidRPr="00861BFA">
        <w:tab/>
        <w:t>В нем содержится общая фактическая и статистическая информация, к</w:t>
      </w:r>
      <w:r w:rsidRPr="00861BFA">
        <w:t>о</w:t>
      </w:r>
      <w:r w:rsidRPr="00861BFA">
        <w:t>торая поможет комитетам по правам человека Организации Объединенных Наций понять политический, правовой, социальный, экономический и культу</w:t>
      </w:r>
      <w:r w:rsidRPr="00861BFA">
        <w:t>р</w:t>
      </w:r>
      <w:r w:rsidRPr="00861BFA">
        <w:t>ный контекст осуществления прав человека на Кипре.</w:t>
      </w:r>
    </w:p>
    <w:p w:rsidR="00861BFA" w:rsidRPr="00861BFA" w:rsidRDefault="00861BFA" w:rsidP="0020401C">
      <w:pPr>
        <w:pStyle w:val="SingleTxtGR"/>
      </w:pPr>
      <w:r w:rsidRPr="00861BFA">
        <w:t>4.</w:t>
      </w:r>
      <w:r w:rsidRPr="00861BFA">
        <w:tab/>
        <w:t>Вся статистическая информация, содержащаяся (в таблицах и ином виде) в настоящем общем базовом документе</w:t>
      </w:r>
      <w:r w:rsidR="00671DC6">
        <w:t>,</w:t>
      </w:r>
      <w:r w:rsidRPr="00861BFA">
        <w:t xml:space="preserve"> была предоставлена Статистической службой и компетентными министерствами Республики Кипр. </w:t>
      </w:r>
    </w:p>
    <w:p w:rsidR="00861BFA" w:rsidRPr="00861BFA" w:rsidRDefault="00861BFA" w:rsidP="0020401C">
      <w:pPr>
        <w:pStyle w:val="SingleTxtGR"/>
      </w:pPr>
      <w:r w:rsidRPr="00861BFA">
        <w:t>5.</w:t>
      </w:r>
      <w:r w:rsidRPr="00861BFA">
        <w:tab/>
        <w:t>В связи с тем, что с 1974 года турецкие вооруженные силы продолжают незаконно оккупировать 36,2</w:t>
      </w:r>
      <w:r w:rsidR="00627938">
        <w:t>%</w:t>
      </w:r>
      <w:r w:rsidRPr="00861BFA">
        <w:t xml:space="preserve"> территории Республики Кипр, правительство фактически не контролирует всю территорию страны. В силу этого вся инфо</w:t>
      </w:r>
      <w:r w:rsidRPr="00861BFA">
        <w:t>р</w:t>
      </w:r>
      <w:r w:rsidRPr="00861BFA">
        <w:t>мация и сведения, приведенные в настоящем общем базовом документе, кас</w:t>
      </w:r>
      <w:r w:rsidRPr="00861BFA">
        <w:t>а</w:t>
      </w:r>
      <w:r w:rsidRPr="00861BFA">
        <w:t>ются районов, находящихся под контролем правительства.</w:t>
      </w:r>
    </w:p>
    <w:p w:rsidR="00861BFA" w:rsidRPr="00861BFA" w:rsidRDefault="00861BFA" w:rsidP="0020401C">
      <w:pPr>
        <w:pStyle w:val="SingleTxtGR"/>
      </w:pPr>
      <w:r w:rsidRPr="00861BFA">
        <w:t>6.</w:t>
      </w:r>
      <w:r w:rsidRPr="00861BFA">
        <w:tab/>
        <w:t>Подготовка пересмотренного общего базового документа координиров</w:t>
      </w:r>
      <w:r w:rsidRPr="00861BFA">
        <w:t>а</w:t>
      </w:r>
      <w:r w:rsidRPr="00861BFA">
        <w:t>лась Министерством иностранных дел в сотрудничестве с другими министе</w:t>
      </w:r>
      <w:r w:rsidRPr="00861BFA">
        <w:t>р</w:t>
      </w:r>
      <w:r w:rsidRPr="00861BFA">
        <w:t xml:space="preserve">ствами, департаментами и службами правительства, а также с независимыми учреждениями Кипра. </w:t>
      </w:r>
    </w:p>
    <w:p w:rsidR="00861BFA" w:rsidRPr="00861BFA" w:rsidRDefault="00861BFA" w:rsidP="00627938">
      <w:pPr>
        <w:pStyle w:val="HChGR"/>
      </w:pPr>
      <w:r w:rsidRPr="00861BFA">
        <w:tab/>
        <w:t>ΙI.</w:t>
      </w:r>
      <w:r w:rsidRPr="00861BFA">
        <w:tab/>
        <w:t>Общая информация</w:t>
      </w:r>
    </w:p>
    <w:p w:rsidR="00861BFA" w:rsidRPr="00861BFA" w:rsidRDefault="00861BFA" w:rsidP="00627938">
      <w:pPr>
        <w:pStyle w:val="H1GR"/>
        <w:rPr>
          <w:u w:val="single"/>
        </w:rPr>
      </w:pPr>
      <w:r w:rsidRPr="00861BFA">
        <w:tab/>
        <w:t xml:space="preserve">A. </w:t>
      </w:r>
      <w:r w:rsidR="00101135">
        <w:tab/>
      </w:r>
      <w:r w:rsidRPr="00861BFA">
        <w:t>Демографические, экономические, социальные и культурные характеристики</w:t>
      </w:r>
    </w:p>
    <w:p w:rsidR="00861BFA" w:rsidRPr="00861BFA" w:rsidRDefault="00861BFA" w:rsidP="0020401C">
      <w:pPr>
        <w:pStyle w:val="SingleTxtGR"/>
      </w:pPr>
      <w:r w:rsidRPr="00861BFA">
        <w:t>7.</w:t>
      </w:r>
      <w:r w:rsidRPr="00861BFA">
        <w:tab/>
        <w:t>Кипр является третьим по величине островом в Средиземном море, пл</w:t>
      </w:r>
      <w:r w:rsidRPr="00861BFA">
        <w:t>о</w:t>
      </w:r>
      <w:r w:rsidRPr="00861BFA">
        <w:t>щадь которого составляет 9</w:t>
      </w:r>
      <w:r w:rsidR="00101135">
        <w:t xml:space="preserve"> </w:t>
      </w:r>
      <w:r w:rsidRPr="00861BFA">
        <w:t>251 кв. км и который имеет координаты 33º восто</w:t>
      </w:r>
      <w:r w:rsidRPr="00861BFA">
        <w:t>ч</w:t>
      </w:r>
      <w:r w:rsidRPr="00861BFA">
        <w:t>ной долготы и 35º северной широты.</w:t>
      </w:r>
    </w:p>
    <w:p w:rsidR="00861BFA" w:rsidRPr="00861BFA" w:rsidRDefault="00861BFA" w:rsidP="0020401C">
      <w:pPr>
        <w:pStyle w:val="SingleTxtGR"/>
      </w:pPr>
      <w:r w:rsidRPr="00861BFA">
        <w:t>8.</w:t>
      </w:r>
      <w:r w:rsidRPr="00861BFA">
        <w:tab/>
        <w:t>Кипр расположен в северо-восточной части Средиземноморского бассе</w:t>
      </w:r>
      <w:r w:rsidRPr="00861BFA">
        <w:t>й</w:t>
      </w:r>
      <w:r w:rsidRPr="00861BFA">
        <w:t xml:space="preserve">на на расстоянии примерно 360 км к востоку от Греции, 300 км к северу от Египта, 105 км к западу от Сирии и 75 км к югу от Турции. </w:t>
      </w:r>
    </w:p>
    <w:p w:rsidR="00861BFA" w:rsidRPr="00861BFA" w:rsidRDefault="00861BFA" w:rsidP="0020401C">
      <w:pPr>
        <w:pStyle w:val="SingleTxtGR"/>
      </w:pPr>
      <w:r w:rsidRPr="00861BFA">
        <w:t>9.</w:t>
      </w:r>
      <w:r w:rsidRPr="00861BFA">
        <w:tab/>
        <w:t>Кипр</w:t>
      </w:r>
      <w:r w:rsidR="00101135">
        <w:t xml:space="preserve"> − </w:t>
      </w:r>
      <w:r w:rsidRPr="00861BFA">
        <w:t>преимущественно горная страна: на севере протянулась горная цепь Пентадактилос, а на юго-западе</w:t>
      </w:r>
      <w:r w:rsidR="00101135">
        <w:t xml:space="preserve"> − </w:t>
      </w:r>
      <w:r w:rsidRPr="00861BFA">
        <w:t>Троодо</w:t>
      </w:r>
      <w:r w:rsidR="00101135">
        <w:t>с. Самая высокая точка на Ки</w:t>
      </w:r>
      <w:r w:rsidR="00101135">
        <w:t>п</w:t>
      </w:r>
      <w:r w:rsidR="00101135">
        <w:t>ре −</w:t>
      </w:r>
      <w:r w:rsidRPr="00861BFA">
        <w:t xml:space="preserve"> гора Олимбос (1 952 м) в горной цепи Троодос. Между двумя горными ц</w:t>
      </w:r>
      <w:r w:rsidRPr="00861BFA">
        <w:t>е</w:t>
      </w:r>
      <w:r w:rsidRPr="00861BFA">
        <w:t>пями лежит крупнейшая долина Месаория.</w:t>
      </w:r>
    </w:p>
    <w:p w:rsidR="00861BFA" w:rsidRPr="00861BFA" w:rsidRDefault="00861BFA" w:rsidP="0020401C">
      <w:pPr>
        <w:pStyle w:val="SingleTxtGR"/>
      </w:pPr>
      <w:r w:rsidRPr="00861BFA">
        <w:t>10.</w:t>
      </w:r>
      <w:r w:rsidRPr="00861BFA">
        <w:tab/>
        <w:t>Климат средиземноморский (умеренный). Жаркое и сухое лето продолж</w:t>
      </w:r>
      <w:r w:rsidRPr="00861BFA">
        <w:t>а</w:t>
      </w:r>
      <w:r w:rsidRPr="00861BFA">
        <w:t>ется с середины мая до середины октября, а умеренная, дождливая и отлича</w:t>
      </w:r>
      <w:r w:rsidRPr="00861BFA">
        <w:t>ю</w:t>
      </w:r>
      <w:r w:rsidRPr="00861BFA">
        <w:t>щаяся неустойчивой погодой зима</w:t>
      </w:r>
      <w:r w:rsidR="00101135">
        <w:t xml:space="preserve"> − </w:t>
      </w:r>
      <w:r w:rsidRPr="00861BFA">
        <w:t>с ноября до середины марта. Короткая осень и весна отмечены быстрым изменением погодных условий. Среднегод</w:t>
      </w:r>
      <w:r w:rsidRPr="00861BFA">
        <w:t>о</w:t>
      </w:r>
      <w:r w:rsidRPr="00861BFA">
        <w:t xml:space="preserve">вое количество осадков составляет 503 мм (данные за период с 1961 по </w:t>
      </w:r>
      <w:r w:rsidR="00101135">
        <w:br/>
      </w:r>
      <w:r w:rsidRPr="00861BFA">
        <w:t>1990 год), причем на декабрь</w:t>
      </w:r>
      <w:r w:rsidR="00671DC6">
        <w:t>−</w:t>
      </w:r>
      <w:r w:rsidRPr="00861BFA">
        <w:t>февраль приходится две трети от их годового объема. Наиболее низкий показатель среднегодового уровня осадков наблюда</w:t>
      </w:r>
      <w:r w:rsidRPr="00861BFA">
        <w:t>л</w:t>
      </w:r>
      <w:r w:rsidRPr="00861BFA">
        <w:t>ся на Кипре в 1972</w:t>
      </w:r>
      <w:r w:rsidR="00101135">
        <w:t>−</w:t>
      </w:r>
      <w:r w:rsidRPr="00861BFA">
        <w:t>1973 годах и составил 213 мм, а самый высокий</w:t>
      </w:r>
      <w:r w:rsidR="00101135">
        <w:t xml:space="preserve"> − </w:t>
      </w:r>
      <w:r w:rsidR="00027872">
        <w:br/>
      </w:r>
      <w:r w:rsidRPr="00861BFA">
        <w:t>в 1968</w:t>
      </w:r>
      <w:r w:rsidR="00101135">
        <w:t>−1969 </w:t>
      </w:r>
      <w:r w:rsidRPr="00861BFA">
        <w:t>годах и составил 800 мм. Время от времени страна страдает от з</w:t>
      </w:r>
      <w:r w:rsidRPr="00861BFA">
        <w:t>а</w:t>
      </w:r>
      <w:r w:rsidRPr="00861BFA">
        <w:t>сухи.</w:t>
      </w:r>
    </w:p>
    <w:p w:rsidR="00861BFA" w:rsidRPr="00861BFA" w:rsidRDefault="00861BFA" w:rsidP="00101135">
      <w:pPr>
        <w:pStyle w:val="H23GR"/>
      </w:pPr>
      <w:r w:rsidRPr="00861BFA">
        <w:tab/>
        <w:t>1.</w:t>
      </w:r>
      <w:r w:rsidRPr="00861BFA">
        <w:tab/>
        <w:t>Краткий исторический очерк</w:t>
      </w:r>
    </w:p>
    <w:p w:rsidR="00861BFA" w:rsidRPr="00861BFA" w:rsidRDefault="00861BFA" w:rsidP="0020401C">
      <w:pPr>
        <w:pStyle w:val="SingleTxtGR"/>
      </w:pPr>
      <w:r w:rsidRPr="00861BFA">
        <w:t>11.</w:t>
      </w:r>
      <w:r w:rsidRPr="00861BFA">
        <w:tab/>
        <w:t>История Кипра насчитывает девять тысячелетий. Во втором тысячелетии до новой эры ахейские греки создали на острове города-королевства по типу Микен, принеся греческий язык и культуру, которые, несмотря на катаклизмы истории</w:t>
      </w:r>
      <w:r w:rsidR="00671DC6">
        <w:t>,</w:t>
      </w:r>
      <w:r w:rsidRPr="00861BFA">
        <w:t xml:space="preserve"> сохраняются до наших дней. </w:t>
      </w:r>
    </w:p>
    <w:p w:rsidR="00861BFA" w:rsidRPr="00861BFA" w:rsidRDefault="00861BFA" w:rsidP="0020401C">
      <w:pPr>
        <w:pStyle w:val="SingleTxtGR"/>
      </w:pPr>
      <w:r w:rsidRPr="00861BFA">
        <w:t>12.</w:t>
      </w:r>
      <w:r w:rsidRPr="00861BFA">
        <w:tab/>
        <w:t xml:space="preserve">С древних времен Кипр был широко известен своими месторождениями меди и лесами. Вследствие его геостратегического положения на пересечении путей между тремя континентами, а также его богатств остров неоднократно завоевывали, в частности ассирийцы (673–669 годы до н.э.), египтяне </w:t>
      </w:r>
      <w:r w:rsidR="00027872">
        <w:br/>
      </w:r>
      <w:r w:rsidRPr="00861BFA">
        <w:t>(560–545 годы до н.э.) и персы (545−332 годы до н.э.).</w:t>
      </w:r>
    </w:p>
    <w:p w:rsidR="00861BFA" w:rsidRPr="00861BFA" w:rsidRDefault="00861BFA" w:rsidP="0020401C">
      <w:pPr>
        <w:pStyle w:val="SingleTxtGR"/>
      </w:pPr>
      <w:r w:rsidRPr="00861BFA">
        <w:t>13.</w:t>
      </w:r>
      <w:r w:rsidRPr="00861BFA">
        <w:tab/>
        <w:t>В V веке до н</w:t>
      </w:r>
      <w:r w:rsidR="00671DC6">
        <w:t>.</w:t>
      </w:r>
      <w:r w:rsidRPr="00861BFA">
        <w:t>э</w:t>
      </w:r>
      <w:r w:rsidR="00671DC6">
        <w:t>.</w:t>
      </w:r>
      <w:r w:rsidRPr="00861BFA">
        <w:t xml:space="preserve"> существовали тесные связи между Афинами и кипрскими городами-государствами, в частности Саламисом.</w:t>
      </w:r>
    </w:p>
    <w:p w:rsidR="00861BFA" w:rsidRPr="00861BFA" w:rsidRDefault="00861BFA" w:rsidP="0020401C">
      <w:pPr>
        <w:pStyle w:val="SingleTxtGR"/>
      </w:pPr>
      <w:r w:rsidRPr="00861BFA">
        <w:t>14.</w:t>
      </w:r>
      <w:r w:rsidRPr="00861BFA">
        <w:tab/>
        <w:t>После распада империи Александра Македонского Кипр вошел в состав египетской империи Птолемеев. Эллинистический период закончился в 58 году до н.э. с приходом римлян.</w:t>
      </w:r>
    </w:p>
    <w:p w:rsidR="00861BFA" w:rsidRPr="00861BFA" w:rsidRDefault="00861BFA" w:rsidP="0020401C">
      <w:pPr>
        <w:pStyle w:val="SingleTxtGR"/>
      </w:pPr>
      <w:r w:rsidRPr="00861BFA">
        <w:t>15.</w:t>
      </w:r>
      <w:r w:rsidRPr="00861BFA">
        <w:tab/>
        <w:t>В 45 году н.э. на острове было введено христианство апостолами Павлом и Варнавой, последний из которых был киприотом.</w:t>
      </w:r>
    </w:p>
    <w:p w:rsidR="00861BFA" w:rsidRPr="00861BFA" w:rsidRDefault="00861BFA" w:rsidP="0020401C">
      <w:pPr>
        <w:pStyle w:val="SingleTxtGR"/>
      </w:pPr>
      <w:r w:rsidRPr="00861BFA">
        <w:t>16.</w:t>
      </w:r>
      <w:r w:rsidRPr="00861BFA">
        <w:tab/>
        <w:t>В 330 году н.э. Кипр стал частью восточной Римской империи, а позднее (в 395 году н.э.) перешел к Византийской империи и принадлежал ей до XII в</w:t>
      </w:r>
      <w:r w:rsidRPr="00861BFA">
        <w:t>е</w:t>
      </w:r>
      <w:r w:rsidRPr="00861BFA">
        <w:t>ка н.э.</w:t>
      </w:r>
    </w:p>
    <w:p w:rsidR="00861BFA" w:rsidRPr="00861BFA" w:rsidRDefault="00861BFA" w:rsidP="0020401C">
      <w:pPr>
        <w:pStyle w:val="SingleTxtGR"/>
      </w:pPr>
      <w:r w:rsidRPr="00861BFA">
        <w:t>17.</w:t>
      </w:r>
      <w:r w:rsidRPr="00861BFA">
        <w:tab/>
        <w:t>Во времена крестовых походов Кипр был завоеван английским королем Ричардом Львиное Сердце (в 1191 году), который затем продал остров Ордену тамплиеров. В период между 1192 и 1489 годами на острове располагалось к</w:t>
      </w:r>
      <w:r w:rsidRPr="00861BFA">
        <w:t>о</w:t>
      </w:r>
      <w:r w:rsidRPr="00861BFA">
        <w:t>ролевство, основанное французским династическим орденом Лузиньянов по з</w:t>
      </w:r>
      <w:r w:rsidRPr="00861BFA">
        <w:t>а</w:t>
      </w:r>
      <w:r w:rsidRPr="00861BFA">
        <w:t>падному феодальному типу. Затем Кипр управлялся Венецианской Республикой вплоть до 1571 года, когда остров был завоеван турками. Османское правление длил</w:t>
      </w:r>
      <w:r w:rsidR="00671DC6">
        <w:t>о</w:t>
      </w:r>
      <w:r w:rsidRPr="00861BFA">
        <w:t>сь до 1878 года, когда Кипр был передан Великобритании. В 1923 году в соответствии с Лозаннским договором Турция отказалась от своих прав на Кипр и признала его аннексию Великобританией, провозглашенную брита</w:t>
      </w:r>
      <w:r w:rsidRPr="00861BFA">
        <w:t>н</w:t>
      </w:r>
      <w:r w:rsidRPr="00861BFA">
        <w:t>ским правительством еще в 1914 году.</w:t>
      </w:r>
    </w:p>
    <w:p w:rsidR="00861BFA" w:rsidRPr="00861BFA" w:rsidRDefault="00861BFA" w:rsidP="0020401C">
      <w:pPr>
        <w:pStyle w:val="SingleTxtGR"/>
      </w:pPr>
      <w:r w:rsidRPr="00861BFA">
        <w:t>18.</w:t>
      </w:r>
      <w:r w:rsidRPr="00861BFA">
        <w:tab/>
        <w:t>После долгих, но безуспешных мирных политических и дипломатических усилий, включая проведение в 1950 году референдума по вопросу о самоопр</w:t>
      </w:r>
      <w:r w:rsidRPr="00861BFA">
        <w:t>е</w:t>
      </w:r>
      <w:r w:rsidRPr="00861BFA">
        <w:t>делении, киприоты-греки начали в 1955 году вооруженную борьбу против к</w:t>
      </w:r>
      <w:r w:rsidRPr="00861BFA">
        <w:t>о</w:t>
      </w:r>
      <w:r w:rsidRPr="00861BFA">
        <w:t>лониального господства.</w:t>
      </w:r>
    </w:p>
    <w:p w:rsidR="00861BFA" w:rsidRPr="00861BFA" w:rsidRDefault="00861BFA" w:rsidP="0020401C">
      <w:pPr>
        <w:pStyle w:val="SingleTxtGR"/>
      </w:pPr>
      <w:r w:rsidRPr="00861BFA">
        <w:t>19.</w:t>
      </w:r>
      <w:r w:rsidRPr="00861BFA">
        <w:tab/>
        <w:t>16 августа 1960 года в соответствии с Цюрихско-лондонскими соглаш</w:t>
      </w:r>
      <w:r w:rsidRPr="00861BFA">
        <w:t>е</w:t>
      </w:r>
      <w:r w:rsidRPr="00861BFA">
        <w:t>ниями Кипр стал независимой республикой.</w:t>
      </w:r>
    </w:p>
    <w:p w:rsidR="00861BFA" w:rsidRPr="00861BFA" w:rsidRDefault="00861BFA" w:rsidP="0020401C">
      <w:pPr>
        <w:pStyle w:val="SingleTxtGR"/>
      </w:pPr>
      <w:r w:rsidRPr="00861BFA">
        <w:t>20.</w:t>
      </w:r>
      <w:r w:rsidRPr="00861BFA">
        <w:tab/>
        <w:t>15 июля 1974 года находившаяся у власти военная хунта, вступив в сг</w:t>
      </w:r>
      <w:r w:rsidRPr="00861BFA">
        <w:t>о</w:t>
      </w:r>
      <w:r w:rsidRPr="00861BFA">
        <w:t>вор с коллаборационистами из числа киприотов-греков, совершила переворот с целью свержения демократически избранного правительства Кипра. 20 июля 1974 года Турция, используя этот переворот в качестве предлога, в нарушение международных кодексов поведения, установленных договорами, участником которых она является, вторглась в Кипр якобы с целью восстановления конст</w:t>
      </w:r>
      <w:r w:rsidRPr="00861BFA">
        <w:t>и</w:t>
      </w:r>
      <w:r w:rsidRPr="00861BFA">
        <w:t>туционного порядка. Вместо этого она захватила 36,2% суверенной территории Республики в нарушение Устава Организации Объединенных Наций и основ</w:t>
      </w:r>
      <w:r w:rsidRPr="00861BFA">
        <w:t>о</w:t>
      </w:r>
      <w:r w:rsidRPr="00861BFA">
        <w:t>полагающих принципов международного права. Несмотря на резолюции Орг</w:t>
      </w:r>
      <w:r w:rsidRPr="00861BFA">
        <w:t>а</w:t>
      </w:r>
      <w:r w:rsidRPr="00861BFA">
        <w:t>низации Объединенных Наций с призывом к выводу иностранных войск с Ки</w:t>
      </w:r>
      <w:r w:rsidRPr="00861BFA">
        <w:t>п</w:t>
      </w:r>
      <w:r w:rsidRPr="00861BFA">
        <w:t>ра, турецкая военная агрессия против Кипра неослабно продолжается на пр</w:t>
      </w:r>
      <w:r w:rsidRPr="00861BFA">
        <w:t>о</w:t>
      </w:r>
      <w:r w:rsidRPr="00861BFA">
        <w:t xml:space="preserve">тяжении четырех десятилетий. </w:t>
      </w:r>
    </w:p>
    <w:p w:rsidR="00861BFA" w:rsidRPr="00861BFA" w:rsidRDefault="00861BFA" w:rsidP="0020401C">
      <w:pPr>
        <w:pStyle w:val="SingleTxtGR"/>
      </w:pPr>
      <w:r w:rsidRPr="00861BFA">
        <w:t>21.</w:t>
      </w:r>
      <w:r w:rsidRPr="00861BFA">
        <w:tab/>
        <w:t>1 мая 2004 года Республика Кипр стала государством − членом Европе</w:t>
      </w:r>
      <w:r w:rsidRPr="00861BFA">
        <w:t>й</w:t>
      </w:r>
      <w:r w:rsidRPr="00861BFA">
        <w:t>ского союза.</w:t>
      </w:r>
    </w:p>
    <w:p w:rsidR="00861BFA" w:rsidRPr="00861BFA" w:rsidRDefault="00861BFA" w:rsidP="00101135">
      <w:pPr>
        <w:pStyle w:val="H23GR"/>
      </w:pPr>
      <w:r w:rsidRPr="00861BFA">
        <w:tab/>
        <w:t>2.</w:t>
      </w:r>
      <w:r w:rsidRPr="00861BFA">
        <w:tab/>
        <w:t>Население</w:t>
      </w:r>
    </w:p>
    <w:p w:rsidR="00861BFA" w:rsidRPr="00861BFA" w:rsidRDefault="00861BFA" w:rsidP="0020401C">
      <w:pPr>
        <w:pStyle w:val="SingleTxtGR"/>
      </w:pPr>
      <w:r w:rsidRPr="00861BFA">
        <w:t>22.</w:t>
      </w:r>
      <w:r w:rsidRPr="00861BFA">
        <w:tab/>
        <w:t xml:space="preserve">Общая численность населения Кипра (на конец 2012 года) составляла </w:t>
      </w:r>
      <w:r w:rsidR="00027872">
        <w:br/>
      </w:r>
      <w:r w:rsidRPr="00861BFA">
        <w:t>865 900 человек.</w:t>
      </w:r>
    </w:p>
    <w:p w:rsidR="00861BFA" w:rsidRPr="00861BFA" w:rsidRDefault="00861BFA" w:rsidP="0020401C">
      <w:pPr>
        <w:pStyle w:val="SingleTxtGR"/>
      </w:pPr>
      <w:r w:rsidRPr="00861BFA">
        <w:t>23.</w:t>
      </w:r>
      <w:r w:rsidRPr="00861BFA">
        <w:tab/>
        <w:t>По этническому признаку население распределяется следующим образом: 71,9% − киприоты-греки (из них 0,4% − армяне; 0,7% − марониты, 0,1% − пре</w:t>
      </w:r>
      <w:r w:rsidRPr="00861BFA">
        <w:t>д</w:t>
      </w:r>
      <w:r w:rsidRPr="00861BFA">
        <w:t>ставители романской языковой группы); 9,5% − киприоты-турки и 18,6% − пр</w:t>
      </w:r>
      <w:r w:rsidRPr="00861BFA">
        <w:t>о</w:t>
      </w:r>
      <w:r w:rsidRPr="00861BFA">
        <w:t>чие, т.е. проживающие на острове иностранцы. Примечание: эти цифровые данные не включают переселенцев, которые составляют приблизительно 160</w:t>
      </w:r>
      <w:r w:rsidR="00671DC6">
        <w:t> 000</w:t>
      </w:r>
      <w:r w:rsidRPr="00861BFA">
        <w:t xml:space="preserve">−170 </w:t>
      </w:r>
      <w:r w:rsidR="00453AB4">
        <w:t>000</w:t>
      </w:r>
      <w:r w:rsidRPr="00861BFA">
        <w:t xml:space="preserve"> человек, нелегально переселенных из Турции за период после турецкого вторжения 1974 года с целью изменения демографической структуры Кипра в нарушение международного права, а также военнослужащих турецких оккупационных сил (приблизительно 40 000 человек). Согласно оценкам, с </w:t>
      </w:r>
      <w:r w:rsidR="00027872">
        <w:br/>
      </w:r>
      <w:r w:rsidRPr="00861BFA">
        <w:t>1974 года эмигрировали 57 000 киприотов-турок.</w:t>
      </w:r>
    </w:p>
    <w:p w:rsidR="00861BFA" w:rsidRPr="00861BFA" w:rsidRDefault="00861BFA" w:rsidP="0020401C">
      <w:pPr>
        <w:pStyle w:val="SingleTxtGR"/>
      </w:pPr>
      <w:r w:rsidRPr="00861BFA">
        <w:t>24.</w:t>
      </w:r>
      <w:r w:rsidRPr="00861BFA">
        <w:tab/>
        <w:t>До турецкого вторжения две общины жили вместе примерно в одинак</w:t>
      </w:r>
      <w:r w:rsidRPr="00861BFA">
        <w:t>о</w:t>
      </w:r>
      <w:r w:rsidRPr="00861BFA">
        <w:t>вом соотношении − четыре грека на одного турка − во всех шести администр</w:t>
      </w:r>
      <w:r w:rsidRPr="00861BFA">
        <w:t>а</w:t>
      </w:r>
      <w:r w:rsidRPr="00861BFA">
        <w:t>тивных округах. В результате турецкого вторжения и продолжающейся оккуп</w:t>
      </w:r>
      <w:r w:rsidRPr="00861BFA">
        <w:t>а</w:t>
      </w:r>
      <w:r w:rsidRPr="00861BFA">
        <w:t>ции 36,2% территории Республики Кипр киприоты-греки были насильственно изгнаны оккупантами из северо-восточной части острова, которую они насел</w:t>
      </w:r>
      <w:r w:rsidRPr="00861BFA">
        <w:t>я</w:t>
      </w:r>
      <w:r w:rsidRPr="00861BFA">
        <w:t>ли, и сейчас они живут на территории, фактически контролируемой правител</w:t>
      </w:r>
      <w:r w:rsidRPr="00861BFA">
        <w:t>ь</w:t>
      </w:r>
      <w:r w:rsidRPr="00861BFA">
        <w:t>ством Республики Кипр. Почти все киприоты-турки на юго-востоке острова были вынуждены под давлением своих лидеров переселиться в район, оккуп</w:t>
      </w:r>
      <w:r w:rsidRPr="00861BFA">
        <w:t>и</w:t>
      </w:r>
      <w:r w:rsidRPr="00861BFA">
        <w:t>рованный турецкими войсками. Подавляющее большинство из 22 000 кипри</w:t>
      </w:r>
      <w:r w:rsidRPr="00861BFA">
        <w:t>о</w:t>
      </w:r>
      <w:r w:rsidRPr="00861BFA">
        <w:t>тов-греков и киприотов-маронитов, которые оказались изолированы в районе, оккупированном турецкой армией, были впоследствии выселены. Вопреки тр</w:t>
      </w:r>
      <w:r w:rsidRPr="00861BFA">
        <w:t>е</w:t>
      </w:r>
      <w:r w:rsidRPr="00861BFA">
        <w:t>тьему Венскому договору от 2 августа 1975 года, который предусматривает, что "киприоты-греки, проживающие в настоящее время на севере острова, могут там оставаться и что им будет предоставлена всесторонняя помощь для но</w:t>
      </w:r>
      <w:r w:rsidRPr="00861BFA">
        <w:t>р</w:t>
      </w:r>
      <w:r w:rsidRPr="00861BFA">
        <w:t>мальной жизни…", оккупационный режим так и не выполнил своих собстве</w:t>
      </w:r>
      <w:r w:rsidRPr="00861BFA">
        <w:t>н</w:t>
      </w:r>
      <w:r w:rsidRPr="00861BFA">
        <w:t>ных гуманитарных обязательств, проводя взамен политику принудительной в</w:t>
      </w:r>
      <w:r w:rsidRPr="00861BFA">
        <w:t>ы</w:t>
      </w:r>
      <w:r w:rsidRPr="00861BFA">
        <w:t xml:space="preserve">сылки. К январю 2014 года численность живущих в изоляции киприотов-греков сократилась до всего лишь 441 человека, большинство из которых составляют престарелые киприоты-греки (336) и киприоты-марониты (105). </w:t>
      </w:r>
    </w:p>
    <w:p w:rsidR="00861BFA" w:rsidRPr="00861BFA" w:rsidRDefault="00861BFA" w:rsidP="0020401C">
      <w:pPr>
        <w:pStyle w:val="SingleTxtGR"/>
      </w:pPr>
      <w:r w:rsidRPr="00861BFA">
        <w:t>25.</w:t>
      </w:r>
      <w:r w:rsidRPr="00861BFA">
        <w:tab/>
        <w:t>Политика и деятельность, осуществляемые Турцией на оккупированной территории после вторжения на Кипр, стали одним из первых примеров "этн</w:t>
      </w:r>
      <w:r w:rsidRPr="00861BFA">
        <w:t>и</w:t>
      </w:r>
      <w:r w:rsidRPr="00861BFA">
        <w:t>ческой чистки" в Европе со времени окончания Второй мировой войны.</w:t>
      </w:r>
    </w:p>
    <w:p w:rsidR="00861BFA" w:rsidRPr="00861BFA" w:rsidRDefault="00861BFA" w:rsidP="0020401C">
      <w:pPr>
        <w:pStyle w:val="SingleTxtGR"/>
      </w:pPr>
      <w:r w:rsidRPr="00861BFA">
        <w:t>26.</w:t>
      </w:r>
      <w:r w:rsidRPr="00861BFA">
        <w:tab/>
        <w:t>Официальными языками в стране являются греческий и турецкий. Почти все киприоты-греки исповедуют православие; киприоты-турки являются м</w:t>
      </w:r>
      <w:r w:rsidRPr="00861BFA">
        <w:t>у</w:t>
      </w:r>
      <w:r w:rsidRPr="00861BFA">
        <w:t>сульманами; армяне, марониты и представители романской языковой группы придерживаются своей собственной христианской веры и в соответствии с ч</w:t>
      </w:r>
      <w:r w:rsidRPr="00861BFA">
        <w:t>а</w:t>
      </w:r>
      <w:r w:rsidRPr="00861BFA">
        <w:t>стью 3 статьи 2 Конституции выбрали греческую общину Кипра.</w:t>
      </w:r>
    </w:p>
    <w:p w:rsidR="00861BFA" w:rsidRPr="00861BFA" w:rsidRDefault="00861BFA" w:rsidP="00101135">
      <w:pPr>
        <w:pStyle w:val="H23GR"/>
      </w:pPr>
      <w:r w:rsidRPr="00861BFA">
        <w:tab/>
      </w:r>
      <w:r w:rsidRPr="00861BFA">
        <w:tab/>
        <w:t>Сельское и городское население в разбивке по родному языку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2438"/>
        <w:gridCol w:w="1276"/>
        <w:gridCol w:w="1843"/>
        <w:gridCol w:w="1813"/>
      </w:tblGrid>
      <w:tr w:rsidR="00861BFA" w:rsidRPr="00027872" w:rsidTr="00924443">
        <w:trPr>
          <w:trHeight w:val="246"/>
          <w:tblHeader/>
        </w:trPr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Язык*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Среди городского </w:t>
            </w:r>
            <w:r w:rsidR="00251062" w:rsidRPr="00924443">
              <w:rPr>
                <w:i/>
                <w:sz w:val="16"/>
              </w:rPr>
              <w:br/>
            </w:r>
            <w:r w:rsidRPr="00924443">
              <w:rPr>
                <w:i/>
                <w:sz w:val="16"/>
              </w:rPr>
              <w:t>населения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Среди сельского </w:t>
            </w:r>
            <w:r w:rsidR="00251062" w:rsidRPr="00924443">
              <w:rPr>
                <w:i/>
                <w:sz w:val="16"/>
              </w:rPr>
              <w:br/>
            </w:r>
            <w:r w:rsidRPr="00924443">
              <w:rPr>
                <w:i/>
                <w:sz w:val="16"/>
              </w:rPr>
              <w:t>населения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027872" w:rsidP="00924443">
            <w:pPr>
              <w:tabs>
                <w:tab w:val="left" w:pos="306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840 407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566 191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274 216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Греческий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679 833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453 532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226 301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34 814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17 767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17 047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Румынский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24 270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17 004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7 266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Русский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20 984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17 777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3 207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Болгарский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18 388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12 880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5 508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Арабский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9 762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7 807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1 955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Филиппинский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9 109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7 612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1 497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Шриланкийские языки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7 157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5 410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1 747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Вьетнамский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6 979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4 029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2 950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Хинди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3 160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2 108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1 052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Польский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2 805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2 055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750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Украинский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1 866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1 485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381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Армянский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1 316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93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Турецкий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1 405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968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437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Немецкий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1 294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782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512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Китайский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1 218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996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222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Французский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1 139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970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169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Словацкий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594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298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Венгерский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438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155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Испанский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406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116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Языки бывшей Югославии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401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82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Шведский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231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164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Финский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259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102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Португальский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242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104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Голландский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193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150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Итальянский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265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78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Чешский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196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73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Датский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85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72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861BFA" w:rsidRPr="00924443" w:rsidRDefault="0029430D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Другое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4 817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4 204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613</w:t>
            </w:r>
          </w:p>
        </w:tc>
      </w:tr>
      <w:tr w:rsidR="00861BFA" w:rsidRPr="00027872" w:rsidTr="00924443">
        <w:trPr>
          <w:trHeight w:val="246"/>
        </w:trPr>
        <w:tc>
          <w:tcPr>
            <w:tcW w:w="2438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Не указан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5 294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4 179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1 115</w:t>
            </w:r>
          </w:p>
        </w:tc>
      </w:tr>
    </w:tbl>
    <w:p w:rsidR="00861BFA" w:rsidRPr="00E2776F" w:rsidRDefault="00861BFA" w:rsidP="00E2776F">
      <w:pPr>
        <w:pStyle w:val="SingleTxtGR"/>
        <w:spacing w:before="120" w:after="0" w:line="220" w:lineRule="exact"/>
        <w:ind w:firstLine="142"/>
        <w:jc w:val="left"/>
        <w:rPr>
          <w:iCs/>
          <w:sz w:val="18"/>
          <w:szCs w:val="18"/>
        </w:rPr>
      </w:pPr>
      <w:r w:rsidRPr="00E2776F">
        <w:rPr>
          <w:i/>
          <w:sz w:val="18"/>
          <w:szCs w:val="18"/>
        </w:rPr>
        <w:t>Источник</w:t>
      </w:r>
      <w:r w:rsidRPr="00E2776F">
        <w:rPr>
          <w:sz w:val="18"/>
          <w:szCs w:val="18"/>
        </w:rPr>
        <w:t>: Перепись населения, 2011 год.</w:t>
      </w:r>
    </w:p>
    <w:p w:rsidR="00861BFA" w:rsidRPr="00E2776F" w:rsidRDefault="00861BFA" w:rsidP="00E2776F">
      <w:pPr>
        <w:pStyle w:val="SingleTxtGR"/>
        <w:spacing w:after="0" w:line="220" w:lineRule="exact"/>
        <w:ind w:firstLine="142"/>
        <w:jc w:val="left"/>
        <w:rPr>
          <w:iCs/>
          <w:sz w:val="18"/>
          <w:szCs w:val="18"/>
        </w:rPr>
      </w:pPr>
      <w:r w:rsidRPr="00E2776F">
        <w:rPr>
          <w:sz w:val="18"/>
          <w:szCs w:val="18"/>
        </w:rPr>
        <w:t xml:space="preserve">* </w:t>
      </w:r>
      <w:r w:rsidR="00251062">
        <w:rPr>
          <w:sz w:val="18"/>
          <w:szCs w:val="18"/>
        </w:rPr>
        <w:t xml:space="preserve"> </w:t>
      </w:r>
      <w:r w:rsidRPr="00E2776F">
        <w:rPr>
          <w:sz w:val="18"/>
          <w:szCs w:val="18"/>
        </w:rPr>
        <w:t>Регистрировался тот язык, на котором говорил респондент.</w:t>
      </w:r>
    </w:p>
    <w:p w:rsidR="00861BFA" w:rsidRPr="00E2776F" w:rsidRDefault="00C361BB" w:rsidP="00E2776F">
      <w:pPr>
        <w:pStyle w:val="SingleTxtGR"/>
        <w:spacing w:before="120"/>
      </w:pPr>
      <w:hyperlink r:id="rId8" w:history="1">
        <w:r w:rsidR="00861BFA" w:rsidRPr="00E2776F">
          <w:rPr>
            <w:rStyle w:val="Hyperlink"/>
            <w:u w:val="none"/>
          </w:rPr>
          <w:t xml:space="preserve">Возрастной </w:t>
        </w:r>
        <w:bookmarkStart w:id="4" w:name="_Hlt390334612"/>
        <w:bookmarkStart w:id="5" w:name="_Hlt390334613"/>
        <w:bookmarkStart w:id="6" w:name="_Hlt390333893"/>
        <w:bookmarkStart w:id="7" w:name="_Hlt407093827"/>
        <w:bookmarkStart w:id="8" w:name="_Hlt390333874"/>
        <w:bookmarkStart w:id="9" w:name="_Hlt407093831"/>
        <w:bookmarkStart w:id="10" w:name="_Hlt390757136"/>
        <w:bookmarkStart w:id="11" w:name="_Hlt390757137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="00861BFA" w:rsidRPr="00E2776F">
          <w:rPr>
            <w:rStyle w:val="Hyperlink"/>
            <w:u w:val="none"/>
          </w:rPr>
          <w:t xml:space="preserve">состав: </w:t>
        </w:r>
      </w:hyperlink>
      <w:r w:rsidR="00861BFA" w:rsidRPr="00E2776F">
        <w:t xml:space="preserve"> см. соответствующую таблицу в приложении I. 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 xml:space="preserve">Доля лиц, находящихся на иждивении (лица моложе 15 и старше 65 лет, </w:t>
      </w:r>
      <w:r w:rsidR="00E2776F">
        <w:br/>
      </w:r>
      <w:r w:rsidRPr="00467B93">
        <w:t>в процентах от общей численности населения)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0952E9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43,1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42,3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41,9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41,5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42,0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Средний размер домашнего хозяйства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0952E9" w:rsidTr="00924443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0952E9" w:rsidP="00924443">
            <w:pPr>
              <w:tabs>
                <w:tab w:val="left" w:pos="284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 xml:space="preserve">Итого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2,79</w:t>
            </w:r>
          </w:p>
        </w:tc>
      </w:tr>
      <w:tr w:rsidR="00861BFA" w:rsidRPr="000952E9" w:rsidTr="0092444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Среди 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2,73</w:t>
            </w:r>
          </w:p>
        </w:tc>
      </w:tr>
      <w:tr w:rsidR="00861BFA" w:rsidRPr="000952E9" w:rsidTr="00924443">
        <w:tc>
          <w:tcPr>
            <w:tcW w:w="3685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Среди сельского населения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2,90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Темпы роста численности населения (%)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0952E9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2,6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2,8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2,6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2,6</w:t>
            </w:r>
          </w:p>
        </w:tc>
      </w:tr>
      <w:tr w:rsidR="00861BFA" w:rsidRPr="000952E9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0,5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Плотность населения (чел./кв. км)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0952E9" w:rsidTr="00924443">
        <w:trPr>
          <w:trHeight w:val="240"/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Плотность населения на км</w:t>
            </w:r>
            <w:r w:rsidRPr="00924443">
              <w:rPr>
                <w:i/>
                <w:sz w:val="16"/>
                <w:vertAlign w:val="superscript"/>
              </w:rPr>
              <w:t>2</w:t>
            </w:r>
          </w:p>
        </w:tc>
      </w:tr>
      <w:tr w:rsidR="00861BFA" w:rsidRPr="000952E9" w:rsidTr="00924443">
        <w:trPr>
          <w:trHeight w:val="240"/>
        </w:trPr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96</w:t>
            </w:r>
          </w:p>
        </w:tc>
      </w:tr>
      <w:tr w:rsidR="00861BFA" w:rsidRPr="000952E9" w:rsidTr="00924443">
        <w:trPr>
          <w:trHeight w:val="240"/>
        </w:trPr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98</w:t>
            </w:r>
          </w:p>
        </w:tc>
      </w:tr>
      <w:tr w:rsidR="00861BFA" w:rsidRPr="000952E9" w:rsidTr="00924443">
        <w:trPr>
          <w:trHeight w:val="240"/>
        </w:trPr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  <w:tr w:rsidR="00861BFA" w:rsidRPr="000952E9" w:rsidTr="00924443">
        <w:trPr>
          <w:trHeight w:val="240"/>
        </w:trPr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103</w:t>
            </w:r>
          </w:p>
        </w:tc>
      </w:tr>
      <w:tr w:rsidR="00861BFA" w:rsidRPr="000952E9" w:rsidTr="00924443">
        <w:trPr>
          <w:trHeight w:val="240"/>
        </w:trPr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103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Число живорождений в разбивке по полу и коэффициенты рождаемости, 2008–2012 годы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616"/>
        <w:gridCol w:w="756"/>
        <w:gridCol w:w="812"/>
        <w:gridCol w:w="798"/>
        <w:gridCol w:w="812"/>
        <w:gridCol w:w="1217"/>
        <w:gridCol w:w="1148"/>
        <w:gridCol w:w="1211"/>
      </w:tblGrid>
      <w:tr w:rsidR="00861BFA" w:rsidRPr="000952E9" w:rsidTr="00924443">
        <w:trPr>
          <w:trHeight w:val="241"/>
          <w:tblHeader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Лица мужского пола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Лица женского пола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Коэфф</w:t>
            </w:r>
            <w:r w:rsidRPr="00924443">
              <w:rPr>
                <w:i/>
                <w:sz w:val="16"/>
              </w:rPr>
              <w:t>и</w:t>
            </w:r>
            <w:r w:rsidRPr="00924443">
              <w:rPr>
                <w:i/>
                <w:sz w:val="16"/>
              </w:rPr>
              <w:t>циент рожда</w:t>
            </w:r>
            <w:r w:rsidRPr="00924443">
              <w:rPr>
                <w:i/>
                <w:sz w:val="16"/>
              </w:rPr>
              <w:t>е</w:t>
            </w:r>
            <w:r w:rsidRPr="00924443">
              <w:rPr>
                <w:i/>
                <w:sz w:val="16"/>
              </w:rPr>
              <w:t>мости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29430D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Изменение по сравнению с предыдущим годом в %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Соотношение полов при рождении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Процент лиц мужского пола при рождении</w:t>
            </w:r>
          </w:p>
        </w:tc>
      </w:tr>
      <w:tr w:rsidR="00861BFA" w:rsidRPr="000952E9" w:rsidTr="00924443">
        <w:trPr>
          <w:trHeight w:val="241"/>
        </w:trPr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9 205 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4 727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4 478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11,7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7,3 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1 056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51,4</w:t>
            </w:r>
          </w:p>
        </w:tc>
      </w:tr>
      <w:tr w:rsidR="00861BFA" w:rsidRPr="000952E9" w:rsidTr="00924443">
        <w:trPr>
          <w:trHeight w:val="241"/>
        </w:trPr>
        <w:tc>
          <w:tcPr>
            <w:tcW w:w="61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9 608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4 904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4 704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4,4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1 043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51,0</w:t>
            </w:r>
          </w:p>
        </w:tc>
      </w:tr>
      <w:tr w:rsidR="00861BFA" w:rsidRPr="000952E9" w:rsidTr="00924443">
        <w:trPr>
          <w:trHeight w:val="241"/>
        </w:trPr>
        <w:tc>
          <w:tcPr>
            <w:tcW w:w="61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9 801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4 994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4 807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2,0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1 039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51,0</w:t>
            </w:r>
          </w:p>
        </w:tc>
      </w:tr>
      <w:tr w:rsidR="00861BFA" w:rsidRPr="000952E9" w:rsidTr="00924443">
        <w:trPr>
          <w:trHeight w:val="241"/>
        </w:trPr>
        <w:tc>
          <w:tcPr>
            <w:tcW w:w="61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9 622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4 891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4 731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-1,8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1 034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50,8</w:t>
            </w:r>
          </w:p>
        </w:tc>
      </w:tr>
      <w:tr w:rsidR="00861BFA" w:rsidRPr="000952E9" w:rsidTr="00924443">
        <w:trPr>
          <w:trHeight w:val="241"/>
        </w:trPr>
        <w:tc>
          <w:tcPr>
            <w:tcW w:w="61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10 161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5 304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4 857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5,6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1 092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52,2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Ожидаемая продолжительность жизни при рождении в разбивке по полу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2834"/>
        <w:gridCol w:w="2268"/>
        <w:gridCol w:w="2268"/>
      </w:tblGrid>
      <w:tr w:rsidR="00861BFA" w:rsidRPr="000952E9" w:rsidTr="00924443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Лица мужского пола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Лица женского пола</w:t>
            </w:r>
          </w:p>
        </w:tc>
      </w:tr>
      <w:tr w:rsidR="00861BFA" w:rsidRPr="000952E9" w:rsidTr="00924443">
        <w:trPr>
          <w:trHeight w:val="252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2000</w:t>
            </w:r>
            <w:r w:rsidR="00251062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2001 годы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76,1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81,0</w:t>
            </w:r>
          </w:p>
        </w:tc>
      </w:tr>
      <w:tr w:rsidR="00861BFA" w:rsidRPr="000952E9" w:rsidTr="00924443">
        <w:trPr>
          <w:trHeight w:val="252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2002</w:t>
            </w:r>
            <w:r w:rsidR="00251062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2003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77,0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81,4</w:t>
            </w:r>
          </w:p>
        </w:tc>
      </w:tr>
      <w:tr w:rsidR="00861BFA" w:rsidRPr="000952E9" w:rsidTr="00924443">
        <w:trPr>
          <w:trHeight w:val="252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2004</w:t>
            </w:r>
            <w:r w:rsidR="00251062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2005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77,0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81,7</w:t>
            </w:r>
          </w:p>
        </w:tc>
      </w:tr>
      <w:tr w:rsidR="00861BFA" w:rsidRPr="000952E9" w:rsidTr="00924443">
        <w:trPr>
          <w:trHeight w:val="252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2006</w:t>
            </w:r>
            <w:r w:rsidR="00251062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2007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78,3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81,9</w:t>
            </w:r>
          </w:p>
        </w:tc>
      </w:tr>
      <w:tr w:rsidR="00861BFA" w:rsidRPr="000952E9" w:rsidTr="00924443">
        <w:trPr>
          <w:trHeight w:val="252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</w:t>
            </w:r>
            <w:r w:rsidR="00251062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2009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77,9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82,4</w:t>
            </w:r>
          </w:p>
        </w:tc>
      </w:tr>
      <w:tr w:rsidR="00861BFA" w:rsidRPr="000952E9" w:rsidTr="00924443">
        <w:trPr>
          <w:trHeight w:val="252"/>
        </w:trPr>
        <w:tc>
          <w:tcPr>
            <w:tcW w:w="2835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</w:t>
            </w:r>
            <w:r w:rsidR="00251062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2011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79,0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82,9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Общий коэффициент рождаемости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251062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1,48</w:t>
            </w:r>
          </w:p>
        </w:tc>
      </w:tr>
      <w:tr w:rsidR="00861BFA" w:rsidRPr="00251062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1,48</w:t>
            </w:r>
          </w:p>
        </w:tc>
      </w:tr>
      <w:tr w:rsidR="00861BFA" w:rsidRPr="00251062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1,44</w:t>
            </w:r>
          </w:p>
        </w:tc>
      </w:tr>
      <w:tr w:rsidR="00861BFA" w:rsidRPr="00251062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1,35</w:t>
            </w:r>
          </w:p>
        </w:tc>
      </w:tr>
      <w:tr w:rsidR="00861BFA" w:rsidRPr="00251062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1,39</w:t>
            </w:r>
          </w:p>
        </w:tc>
      </w:tr>
    </w:tbl>
    <w:p w:rsidR="00861BFA" w:rsidRPr="00861BFA" w:rsidRDefault="00861BFA" w:rsidP="00251062">
      <w:pPr>
        <w:pStyle w:val="SingleTxtGR"/>
        <w:spacing w:before="120"/>
      </w:pPr>
      <w:r w:rsidRPr="00861BFA">
        <w:t>27.</w:t>
      </w:r>
      <w:r w:rsidRPr="00861BFA">
        <w:tab/>
        <w:t>Доля домашних хозяйств с одним родителем и домашних хозяйств, во</w:t>
      </w:r>
      <w:r w:rsidRPr="00861BFA">
        <w:t>з</w:t>
      </w:r>
      <w:r w:rsidRPr="00861BFA">
        <w:t>главляемых женщинами: 7%.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Доля расходов домашних хозяйств на потребление – на питание, жилье, медицинские услуги и образование (2009 год)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4564"/>
        <w:gridCol w:w="2806"/>
      </w:tblGrid>
      <w:tr w:rsidR="00861BFA" w:rsidRPr="00251062" w:rsidTr="0092444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Продукты питания и безалкогольные напитки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12,3%</w:t>
            </w:r>
          </w:p>
        </w:tc>
      </w:tr>
      <w:tr w:rsidR="00861BFA" w:rsidRPr="00251062" w:rsidTr="00924443">
        <w:tc>
          <w:tcPr>
            <w:tcW w:w="45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Жилье, электроэнергия, водоснабжение и топливо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26,6%</w:t>
            </w:r>
          </w:p>
        </w:tc>
      </w:tr>
      <w:tr w:rsidR="00861BFA" w:rsidRPr="00251062" w:rsidTr="00924443">
        <w:tc>
          <w:tcPr>
            <w:tcW w:w="45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Медицинские услуги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5,4%</w:t>
            </w:r>
          </w:p>
        </w:tc>
      </w:tr>
      <w:tr w:rsidR="00861BFA" w:rsidRPr="00251062" w:rsidTr="00924443">
        <w:tc>
          <w:tcPr>
            <w:tcW w:w="4564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Образование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3,4%</w:t>
            </w:r>
          </w:p>
        </w:tc>
      </w:tr>
    </w:tbl>
    <w:p w:rsidR="00861BFA" w:rsidRPr="00861BFA" w:rsidRDefault="00861BFA" w:rsidP="00251062">
      <w:pPr>
        <w:pStyle w:val="SingleTxtGR"/>
        <w:spacing w:before="120"/>
      </w:pPr>
      <w:r w:rsidRPr="00861BFA">
        <w:t>28.</w:t>
      </w:r>
      <w:r w:rsidRPr="00861BFA">
        <w:tab/>
        <w:t>Процентная доля населения, живущего ниже национальной черты бедн</w:t>
      </w:r>
      <w:r w:rsidRPr="00861BFA">
        <w:t>о</w:t>
      </w:r>
      <w:r w:rsidRPr="00861BFA">
        <w:t xml:space="preserve">сти (2012 год): 14,7%, или 126 716 человек. 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Половозрастное распределение населения, живущего ниже черты бедности (в</w:t>
      </w:r>
      <w:r w:rsidR="00F76C35">
        <w:t xml:space="preserve"> </w:t>
      </w:r>
      <w:r w:rsidR="00627938" w:rsidRPr="00467B93">
        <w:t>%</w:t>
      </w:r>
      <w:r w:rsidRPr="00467B93">
        <w:t>) (2012 год)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2267"/>
        <w:gridCol w:w="1701"/>
        <w:gridCol w:w="1701"/>
        <w:gridCol w:w="1701"/>
      </w:tblGrid>
      <w:tr w:rsidR="00861BFA" w:rsidRPr="00251062" w:rsidTr="00924443">
        <w:trPr>
          <w:tblHeader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Возраст (годы)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Лица мужского пола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Лица женского пола</w:t>
            </w:r>
          </w:p>
        </w:tc>
      </w:tr>
      <w:tr w:rsidR="00861BFA" w:rsidRPr="00251062" w:rsidTr="00924443"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  <w:r w:rsidR="005565E4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13,9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13,2</w:t>
            </w:r>
          </w:p>
        </w:tc>
      </w:tr>
      <w:tr w:rsidR="00861BFA" w:rsidRPr="00251062" w:rsidTr="00924443"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18</w:t>
            </w:r>
            <w:r w:rsidR="005565E4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12,7</w:t>
            </w:r>
          </w:p>
        </w:tc>
      </w:tr>
      <w:tr w:rsidR="00861BFA" w:rsidRPr="00251062" w:rsidTr="00924443"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25</w:t>
            </w:r>
            <w:r w:rsidR="005565E4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13,9</w:t>
            </w:r>
          </w:p>
        </w:tc>
      </w:tr>
      <w:tr w:rsidR="00861BFA" w:rsidRPr="00251062" w:rsidTr="00924443"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50</w:t>
            </w:r>
            <w:r w:rsidR="005565E4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14,6</w:t>
            </w:r>
          </w:p>
        </w:tc>
      </w:tr>
      <w:tr w:rsidR="00861BFA" w:rsidRPr="00251062" w:rsidTr="00924443"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65+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33,6</w:t>
            </w:r>
          </w:p>
        </w:tc>
      </w:tr>
      <w:tr w:rsidR="00861BFA" w:rsidRPr="00251062" w:rsidTr="00924443">
        <w:tc>
          <w:tcPr>
            <w:tcW w:w="2268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18</w:t>
            </w:r>
            <w:r w:rsidR="005565E4" w:rsidRPr="00924443">
              <w:rPr>
                <w:sz w:val="18"/>
              </w:rPr>
              <w:t>−</w:t>
            </w:r>
            <w:r w:rsidRPr="00924443">
              <w:rPr>
                <w:sz w:val="18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13,9</w:t>
            </w:r>
          </w:p>
        </w:tc>
      </w:tr>
    </w:tbl>
    <w:p w:rsidR="00861BFA" w:rsidRPr="00861BFA" w:rsidRDefault="00861BFA" w:rsidP="005565E4">
      <w:pPr>
        <w:pStyle w:val="SingleTxtGR"/>
        <w:spacing w:before="120"/>
        <w:rPr>
          <w:bCs/>
        </w:rPr>
      </w:pPr>
      <w:r w:rsidRPr="00861BFA">
        <w:rPr>
          <w:bCs/>
        </w:rPr>
        <w:t>29.</w:t>
      </w:r>
      <w:r w:rsidRPr="00861BFA">
        <w:rPr>
          <w:bCs/>
        </w:rPr>
        <w:tab/>
      </w:r>
      <w:r w:rsidRPr="00861BFA">
        <w:t>Коэффициент Джини (характеризующий распределение доходов или п</w:t>
      </w:r>
      <w:r w:rsidRPr="00861BFA">
        <w:t>о</w:t>
      </w:r>
      <w:r w:rsidRPr="00861BFA">
        <w:t xml:space="preserve">требительских расходов домохозяйств) (2012 год): 31,0% 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 xml:space="preserve">Валовой коэффициент охвата начальным и средним образованием </w:t>
      </w:r>
      <w:r w:rsidR="005565E4">
        <w:br/>
      </w:r>
      <w:r w:rsidRPr="00467B93">
        <w:t>(2011 год)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5565E4" w:rsidTr="0092444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Начальное образование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100%</w:t>
            </w:r>
          </w:p>
        </w:tc>
      </w:tr>
      <w:tr w:rsidR="00861BFA" w:rsidRPr="005565E4" w:rsidTr="00924443">
        <w:tc>
          <w:tcPr>
            <w:tcW w:w="3685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Среднее образование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97%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Коэффициенты посещаемости и отсева в начальной и средней школе</w:t>
      </w:r>
      <w:r w:rsidRPr="00467B93">
        <w:br/>
        <w:t>Лица, имеющие незаконченное среднее и профессионально-техническое образование (2013 год)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5565E4" w:rsidTr="00924443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5565E4" w:rsidP="00924443">
            <w:pPr>
              <w:tabs>
                <w:tab w:val="left" w:pos="306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9,1%</w:t>
            </w:r>
          </w:p>
        </w:tc>
      </w:tr>
      <w:tr w:rsidR="00861BFA" w:rsidRPr="005565E4" w:rsidTr="0092444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14,8%</w:t>
            </w:r>
          </w:p>
        </w:tc>
      </w:tr>
      <w:tr w:rsidR="00861BFA" w:rsidRPr="005565E4" w:rsidTr="00924443">
        <w:tc>
          <w:tcPr>
            <w:tcW w:w="3685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4,2%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 xml:space="preserve">Соотношение учащихся и преподавателей (всего, государственные </w:t>
      </w:r>
      <w:r w:rsidR="005565E4">
        <w:br/>
      </w:r>
      <w:r w:rsidRPr="00467B93">
        <w:t>и частные школы) 20</w:t>
      </w:r>
      <w:r w:rsidR="00BE7B2E">
        <w:t>11/</w:t>
      </w:r>
      <w:r w:rsidRPr="00467B93">
        <w:t>12 учебный год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5565E4" w:rsidTr="0092444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Дошкольные учреждения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14,2%</w:t>
            </w:r>
          </w:p>
        </w:tc>
      </w:tr>
      <w:tr w:rsidR="00861BFA" w:rsidRPr="005565E4" w:rsidTr="00924443">
        <w:tc>
          <w:tcPr>
            <w:tcW w:w="368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Начальное образование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11,5%</w:t>
            </w:r>
          </w:p>
        </w:tc>
      </w:tr>
      <w:tr w:rsidR="00861BFA" w:rsidRPr="005565E4" w:rsidTr="00924443">
        <w:tc>
          <w:tcPr>
            <w:tcW w:w="368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Среднее образование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8,2%</w:t>
            </w:r>
          </w:p>
        </w:tc>
      </w:tr>
      <w:tr w:rsidR="00861BFA" w:rsidRPr="005565E4" w:rsidTr="00924443">
        <w:tc>
          <w:tcPr>
            <w:tcW w:w="3685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Высшее образование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15,7%</w:t>
            </w:r>
          </w:p>
        </w:tc>
      </w:tr>
    </w:tbl>
    <w:p w:rsidR="00861BFA" w:rsidRPr="00F76C35" w:rsidRDefault="00861BFA" w:rsidP="00467B93">
      <w:pPr>
        <w:pStyle w:val="H23GR"/>
        <w:rPr>
          <w:b w:val="0"/>
          <w:sz w:val="16"/>
          <w:szCs w:val="16"/>
        </w:rPr>
      </w:pPr>
      <w:r w:rsidRPr="00467B93">
        <w:tab/>
      </w:r>
      <w:r w:rsidRPr="00467B93">
        <w:tab/>
        <w:t xml:space="preserve">Доход на душу населения </w:t>
      </w:r>
      <w:r w:rsidR="00F76C35">
        <w:br/>
      </w:r>
      <w:r w:rsidRPr="00F76C35">
        <w:rPr>
          <w:b w:val="0"/>
          <w:sz w:val="16"/>
          <w:szCs w:val="16"/>
        </w:rPr>
        <w:t>(евро)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5565E4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21 546,4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19 974,4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20 310,8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21 383,5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19 828,2</w:t>
            </w:r>
          </w:p>
        </w:tc>
      </w:tr>
    </w:tbl>
    <w:p w:rsidR="00861BFA" w:rsidRPr="00F76C35" w:rsidRDefault="00861BFA" w:rsidP="00467B93">
      <w:pPr>
        <w:pStyle w:val="H23GR"/>
        <w:rPr>
          <w:b w:val="0"/>
          <w:sz w:val="16"/>
          <w:szCs w:val="16"/>
        </w:rPr>
      </w:pPr>
      <w:r w:rsidRPr="00467B93">
        <w:tab/>
      </w:r>
      <w:r w:rsidRPr="00467B93">
        <w:tab/>
        <w:t xml:space="preserve">Валовый внутренний продукт (ВВП) </w:t>
      </w:r>
      <w:r w:rsidR="00F76C35">
        <w:br/>
      </w:r>
      <w:r w:rsidRPr="00F76C35">
        <w:rPr>
          <w:b w:val="0"/>
          <w:sz w:val="16"/>
          <w:szCs w:val="16"/>
        </w:rPr>
        <w:t xml:space="preserve">(млн. евро)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5565E4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17 157,1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16 853,5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17 406,0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17 878,0</w:t>
            </w:r>
          </w:p>
        </w:tc>
      </w:tr>
      <w:tr w:rsidR="00861BFA" w:rsidRPr="005565E4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17 720,2</w:t>
            </w:r>
          </w:p>
        </w:tc>
      </w:tr>
    </w:tbl>
    <w:p w:rsidR="00861BFA" w:rsidRPr="00F76C35" w:rsidRDefault="00861BFA" w:rsidP="00467B93">
      <w:pPr>
        <w:pStyle w:val="H23GR"/>
        <w:rPr>
          <w:b w:val="0"/>
          <w:sz w:val="16"/>
          <w:szCs w:val="16"/>
        </w:rPr>
      </w:pPr>
      <w:r w:rsidRPr="00467B93">
        <w:tab/>
      </w:r>
      <w:r w:rsidRPr="00467B93">
        <w:tab/>
        <w:t xml:space="preserve">Ежегодный прирост </w:t>
      </w:r>
      <w:r w:rsidR="00F76C35">
        <w:br/>
      </w:r>
      <w:r w:rsidR="00F76C35" w:rsidRPr="00F76C35">
        <w:rPr>
          <w:b w:val="0"/>
          <w:sz w:val="16"/>
          <w:szCs w:val="16"/>
        </w:rPr>
        <w:t>(</w:t>
      </w:r>
      <w:r w:rsidRPr="00F76C35">
        <w:rPr>
          <w:b w:val="0"/>
          <w:sz w:val="16"/>
          <w:szCs w:val="16"/>
        </w:rPr>
        <w:t>%)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CE39A9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3,6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-1,9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1,3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0,4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-2,4</w:t>
            </w:r>
          </w:p>
        </w:tc>
      </w:tr>
    </w:tbl>
    <w:p w:rsidR="00861BFA" w:rsidRPr="00F76C35" w:rsidRDefault="00861BFA" w:rsidP="00467B93">
      <w:pPr>
        <w:pStyle w:val="H23GR"/>
        <w:rPr>
          <w:b w:val="0"/>
          <w:sz w:val="16"/>
          <w:szCs w:val="16"/>
        </w:rPr>
      </w:pPr>
      <w:r w:rsidRPr="00467B93">
        <w:tab/>
      </w:r>
      <w:r w:rsidRPr="00467B93">
        <w:tab/>
        <w:t xml:space="preserve">Валовый национальный доход (ВНД) </w:t>
      </w:r>
      <w:r w:rsidR="00F76C35">
        <w:br/>
      </w:r>
      <w:r w:rsidRPr="00F76C35">
        <w:rPr>
          <w:b w:val="0"/>
          <w:sz w:val="16"/>
          <w:szCs w:val="16"/>
        </w:rPr>
        <w:t>(млн. евро)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CE39A9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16 984,4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16 139,3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16 845,8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18 195,2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17 129,6</w:t>
            </w:r>
          </w:p>
        </w:tc>
      </w:tr>
    </w:tbl>
    <w:p w:rsidR="00861BFA" w:rsidRPr="00F76C35" w:rsidRDefault="00861BFA" w:rsidP="00467B93">
      <w:pPr>
        <w:pStyle w:val="H23GR"/>
        <w:rPr>
          <w:b w:val="0"/>
          <w:sz w:val="16"/>
          <w:szCs w:val="16"/>
        </w:rPr>
      </w:pPr>
      <w:r w:rsidRPr="00467B93">
        <w:tab/>
      </w:r>
      <w:r w:rsidRPr="00467B93">
        <w:tab/>
        <w:t xml:space="preserve">Внешняя и внутренняя государственная задолженность </w:t>
      </w:r>
      <w:r w:rsidR="00F76C35">
        <w:br/>
      </w:r>
      <w:r w:rsidRPr="00F76C35">
        <w:rPr>
          <w:b w:val="0"/>
          <w:sz w:val="16"/>
          <w:szCs w:val="16"/>
        </w:rPr>
        <w:t>(млн. евро)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CE39A9" w:rsidTr="0092444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8 388,2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9 864,5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10 674,5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12 778,4</w:t>
            </w:r>
          </w:p>
        </w:tc>
      </w:tr>
      <w:tr w:rsidR="00861BFA" w:rsidRPr="00CE39A9" w:rsidTr="00924443">
        <w:tc>
          <w:tcPr>
            <w:tcW w:w="3686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15 349,5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Индекс потребительских цен (ИПЦ) 2009–2013 годы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1700"/>
        <w:gridCol w:w="2835"/>
        <w:gridCol w:w="2835"/>
      </w:tblGrid>
      <w:tr w:rsidR="00861BFA" w:rsidRPr="00CE39A9" w:rsidTr="00924443">
        <w:trPr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Среднее значение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Инфляция (%)</w:t>
            </w:r>
          </w:p>
        </w:tc>
      </w:tr>
      <w:tr w:rsidR="00861BFA" w:rsidRPr="00CE39A9" w:rsidTr="00924443"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110,18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</w:t>
            </w:r>
          </w:p>
        </w:tc>
      </w:tr>
      <w:tr w:rsidR="00861BFA" w:rsidRPr="00CE39A9" w:rsidTr="00924443">
        <w:tc>
          <w:tcPr>
            <w:tcW w:w="17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112,86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2,4</w:t>
            </w:r>
          </w:p>
        </w:tc>
      </w:tr>
      <w:tr w:rsidR="00861BFA" w:rsidRPr="00CE39A9" w:rsidTr="00924443">
        <w:tc>
          <w:tcPr>
            <w:tcW w:w="17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116,57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3,3</w:t>
            </w:r>
          </w:p>
        </w:tc>
      </w:tr>
      <w:tr w:rsidR="00861BFA" w:rsidRPr="00CE39A9" w:rsidTr="00924443">
        <w:tc>
          <w:tcPr>
            <w:tcW w:w="17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119,36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2,4</w:t>
            </w:r>
          </w:p>
        </w:tc>
      </w:tr>
      <w:tr w:rsidR="00861BFA" w:rsidRPr="00CE39A9" w:rsidTr="00924443">
        <w:tc>
          <w:tcPr>
            <w:tcW w:w="170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118,88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-0,4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Социальные расходы (на питание, жилье, здравоохранение, образование, социальную защиту и т.д.) в процентах от общего объема государственных расходов и ВВП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2606"/>
        <w:gridCol w:w="794"/>
        <w:gridCol w:w="794"/>
        <w:gridCol w:w="794"/>
        <w:gridCol w:w="794"/>
        <w:gridCol w:w="794"/>
        <w:gridCol w:w="794"/>
      </w:tblGrid>
      <w:tr w:rsidR="00861BFA" w:rsidRPr="00CE39A9" w:rsidTr="00924443">
        <w:trPr>
          <w:tblHeader/>
        </w:trPr>
        <w:tc>
          <w:tcPr>
            <w:tcW w:w="26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2007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2008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2009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2010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2011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2012 год</w:t>
            </w:r>
          </w:p>
        </w:tc>
      </w:tr>
      <w:tr w:rsidR="00861BFA" w:rsidRPr="00CE39A9" w:rsidTr="00924443">
        <w:tc>
          <w:tcPr>
            <w:tcW w:w="2608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Расходы на жилье 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Pr="00924443">
              <w:rPr>
                <w:sz w:val="18"/>
              </w:rPr>
              <w:t xml:space="preserve"> от о</w:t>
            </w:r>
            <w:r w:rsidRPr="00924443">
              <w:rPr>
                <w:sz w:val="18"/>
              </w:rPr>
              <w:t>б</w:t>
            </w:r>
            <w:r w:rsidRPr="00924443">
              <w:rPr>
                <w:sz w:val="18"/>
              </w:rPr>
              <w:t xml:space="preserve">щего объема расходов 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7,0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5,0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BE7B2E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="00861BFA" w:rsidRPr="00924443">
              <w:rPr>
                <w:sz w:val="18"/>
              </w:rPr>
              <w:t xml:space="preserve"> от ВВП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2,3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Расходы на здравоохранение 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Pr="00924443">
              <w:rPr>
                <w:sz w:val="18"/>
              </w:rPr>
              <w:t xml:space="preserve"> от общего объема расходов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7,1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BE7B2E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="00861BFA" w:rsidRPr="00924443">
              <w:rPr>
                <w:sz w:val="18"/>
              </w:rPr>
              <w:t xml:space="preserve"> от ВВП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3,3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Расходы на образование 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Pr="00924443">
              <w:rPr>
                <w:sz w:val="18"/>
              </w:rPr>
              <w:t xml:space="preserve"> от общего объема расходов 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14,6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BE7B2E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="00861BFA" w:rsidRPr="00924443">
              <w:rPr>
                <w:sz w:val="18"/>
              </w:rPr>
              <w:t xml:space="preserve"> от ВВП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6,7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Расходы на социальную защ</w:t>
            </w:r>
            <w:r w:rsidRPr="00924443">
              <w:rPr>
                <w:sz w:val="18"/>
              </w:rPr>
              <w:t>и</w:t>
            </w:r>
            <w:r w:rsidRPr="00924443">
              <w:rPr>
                <w:sz w:val="18"/>
              </w:rPr>
              <w:t>ту 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Pr="00924443">
              <w:rPr>
                <w:sz w:val="18"/>
              </w:rPr>
              <w:t xml:space="preserve"> от общего объема ра</w:t>
            </w:r>
            <w:r w:rsidRPr="00924443">
              <w:rPr>
                <w:sz w:val="18"/>
              </w:rPr>
              <w:t>с</w:t>
            </w:r>
            <w:r w:rsidRPr="00924443">
              <w:rPr>
                <w:sz w:val="18"/>
              </w:rPr>
              <w:t xml:space="preserve">ходов 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25,3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26,1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27,2</w:t>
            </w:r>
          </w:p>
        </w:tc>
      </w:tr>
      <w:tr w:rsidR="00861BFA" w:rsidRPr="00CE39A9" w:rsidTr="00924443">
        <w:tc>
          <w:tcPr>
            <w:tcW w:w="2608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BE7B2E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В</w:t>
            </w:r>
            <w:r w:rsidR="00CE39A9" w:rsidRPr="00924443">
              <w:rPr>
                <w:sz w:val="18"/>
              </w:rPr>
              <w:t xml:space="preserve"> </w:t>
            </w:r>
            <w:r w:rsidR="00627938" w:rsidRPr="00924443">
              <w:rPr>
                <w:sz w:val="18"/>
              </w:rPr>
              <w:t>%</w:t>
            </w:r>
            <w:r w:rsidR="00861BFA" w:rsidRPr="00924443">
              <w:rPr>
                <w:sz w:val="18"/>
              </w:rPr>
              <w:t xml:space="preserve"> от ВВП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12,4</w:t>
            </w:r>
          </w:p>
        </w:tc>
      </w:tr>
    </w:tbl>
    <w:p w:rsidR="00861BFA" w:rsidRPr="00861BFA" w:rsidRDefault="00861BFA" w:rsidP="00CE39A9">
      <w:pPr>
        <w:pStyle w:val="SingleTxtGR"/>
        <w:spacing w:before="120"/>
      </w:pPr>
      <w:r w:rsidRPr="00861BFA">
        <w:t>30.</w:t>
      </w:r>
      <w:r w:rsidRPr="00861BFA">
        <w:tab/>
        <w:t>Доля предоставленной международной помощи в государственном бю</w:t>
      </w:r>
      <w:r w:rsidRPr="00861BFA">
        <w:t>д</w:t>
      </w:r>
      <w:r w:rsidRPr="00861BFA">
        <w:t>жете в разбивке по секторам и в ВНД: информация отсутствует</w:t>
      </w:r>
    </w:p>
    <w:p w:rsidR="00861BFA" w:rsidRPr="00467B93" w:rsidRDefault="00861BFA" w:rsidP="00B501E5">
      <w:pPr>
        <w:pStyle w:val="H23GR"/>
        <w:spacing w:before="160"/>
      </w:pPr>
      <w:r w:rsidRPr="00467B93">
        <w:tab/>
      </w:r>
      <w:r w:rsidRPr="00467B93">
        <w:tab/>
        <w:t>Показатели младенческой и материнской смертности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6238"/>
        <w:gridCol w:w="1132"/>
      </w:tblGrid>
      <w:tr w:rsidR="00861BFA" w:rsidRPr="008B6442" w:rsidTr="00924443">
        <w:trPr>
          <w:trHeight w:val="300"/>
          <w:tblHeader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2011 год: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Показатель материнской смертности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Показатель младенческой смертности (на 1 000 живорождений)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3,1</w:t>
            </w: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2012 год: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Показатель материнской смертности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Показатель младенческой смертности (на 1 000 живорождений)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  <w:r w:rsidR="00B501E5" w:rsidRPr="00924443">
              <w:rPr>
                <w:sz w:val="18"/>
              </w:rPr>
              <w:t>,</w:t>
            </w:r>
            <w:r w:rsidRPr="00924443">
              <w:rPr>
                <w:sz w:val="18"/>
              </w:rPr>
              <w:t>5</w:t>
            </w:r>
          </w:p>
        </w:tc>
      </w:tr>
    </w:tbl>
    <w:p w:rsidR="00861BFA" w:rsidRPr="00467B93" w:rsidRDefault="00861BFA" w:rsidP="00B501E5">
      <w:pPr>
        <w:pStyle w:val="H23GR"/>
        <w:spacing w:before="160"/>
      </w:pPr>
      <w:r w:rsidRPr="00467B93">
        <w:tab/>
      </w:r>
      <w:r w:rsidRPr="00467B93">
        <w:tab/>
        <w:t>Показатели инфицирования ВИЧ/СПИДом и основными инфекционными заболеваниями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6224"/>
        <w:gridCol w:w="1146"/>
      </w:tblGrid>
      <w:tr w:rsidR="00861BFA" w:rsidRPr="008B6442" w:rsidTr="00924443">
        <w:trPr>
          <w:trHeight w:val="300"/>
          <w:tblHeader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2012 год: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Инфицированные ВИЧ/СПИДом на 100 000 человек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6,02</w:t>
            </w: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(За исключением случаев среди лиц, не проживающих в районе, контр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лируемом правительством Кипра)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2013 год: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Инфицированные ВИЧ/СПИДом на 100 000 человек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5,4</w:t>
            </w:r>
          </w:p>
        </w:tc>
      </w:tr>
      <w:tr w:rsidR="00861BFA" w:rsidRPr="008B6442" w:rsidTr="00924443">
        <w:trPr>
          <w:trHeight w:val="300"/>
        </w:trPr>
        <w:tc>
          <w:tcPr>
            <w:tcW w:w="6237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(За исключением случаев среди лиц, не проживающих в районе, контр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лируемом правительством Кипра)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</w:tr>
    </w:tbl>
    <w:p w:rsidR="00861BFA" w:rsidRPr="008B6442" w:rsidRDefault="00861BFA" w:rsidP="008B6442">
      <w:pPr>
        <w:pStyle w:val="SingleTxtGR"/>
        <w:spacing w:before="120"/>
      </w:pPr>
      <w:bookmarkStart w:id="12" w:name="_Hlt390333909"/>
      <w:bookmarkStart w:id="13" w:name="_Hlt390333910"/>
      <w:r w:rsidRPr="008B6442">
        <w:t>31.</w:t>
      </w:r>
      <w:r w:rsidRPr="008B6442">
        <w:tab/>
      </w:r>
      <w:hyperlink r:id="rId9" w:history="1">
        <w:r w:rsidRPr="008B6442">
          <w:rPr>
            <w:rStyle w:val="Hyperlink"/>
            <w:u w:val="none"/>
          </w:rPr>
          <w:t>Распространенность основных инфекционных и неинфекционных заб</w:t>
        </w:r>
        <w:r w:rsidRPr="008B6442">
          <w:rPr>
            <w:rStyle w:val="Hyperlink"/>
            <w:u w:val="none"/>
          </w:rPr>
          <w:t>о</w:t>
        </w:r>
        <w:r w:rsidRPr="008B6442">
          <w:rPr>
            <w:rStyle w:val="Hyperlink"/>
            <w:u w:val="none"/>
          </w:rPr>
          <w:t>леваний</w:t>
        </w:r>
        <w:bookmarkStart w:id="14" w:name="_Hlt407094053"/>
        <w:bookmarkStart w:id="15" w:name="_Hlt390333926"/>
        <w:bookmarkStart w:id="16" w:name="_Hlt390333806"/>
        <w:bookmarkStart w:id="17" w:name="_Hlt390334600"/>
        <w:bookmarkStart w:id="18" w:name="_Hlt390334601"/>
        <w:bookmarkEnd w:id="14"/>
        <w:bookmarkEnd w:id="15"/>
        <w:bookmarkEnd w:id="16"/>
        <w:bookmarkEnd w:id="17"/>
        <w:bookmarkEnd w:id="18"/>
        <w:r w:rsidRPr="008B6442">
          <w:rPr>
            <w:rStyle w:val="Hyperlink"/>
            <w:u w:val="none"/>
          </w:rPr>
          <w:t>:</w:t>
        </w:r>
      </w:hyperlink>
      <w:bookmarkEnd w:id="12"/>
      <w:bookmarkEnd w:id="13"/>
      <w:r w:rsidRPr="008B6442">
        <w:t xml:space="preserve"> см. соответствующую таблицу в приложении II.</w:t>
      </w:r>
    </w:p>
    <w:p w:rsidR="00861BFA" w:rsidRPr="00467B93" w:rsidRDefault="00861BFA" w:rsidP="00B501E5">
      <w:pPr>
        <w:pStyle w:val="H23GR"/>
        <w:spacing w:before="160"/>
      </w:pPr>
      <w:r w:rsidRPr="00467B93">
        <w:tab/>
      </w:r>
      <w:r w:rsidRPr="00467B93">
        <w:tab/>
        <w:t>Десять основных причин смерти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4535"/>
        <w:gridCol w:w="851"/>
        <w:gridCol w:w="1984"/>
      </w:tblGrid>
      <w:tr w:rsidR="00861BFA" w:rsidRPr="008B6442" w:rsidTr="00924443">
        <w:trPr>
          <w:trHeight w:val="314"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2011 год: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861BFA" w:rsidRPr="008B6442" w:rsidTr="00924443">
        <w:trPr>
          <w:trHeight w:val="314"/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Причина смерти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Часто</w:t>
            </w:r>
            <w:r w:rsidRPr="00924443">
              <w:rPr>
                <w:i/>
                <w:sz w:val="16"/>
              </w:rPr>
              <w:t>т</w:t>
            </w:r>
            <w:r w:rsidRPr="00924443">
              <w:rPr>
                <w:i/>
                <w:sz w:val="16"/>
              </w:rPr>
              <w:t>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Процентная доля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Сердечно</w:t>
            </w:r>
            <w:r w:rsidR="00BE7B2E" w:rsidRPr="00924443">
              <w:rPr>
                <w:sz w:val="18"/>
              </w:rPr>
              <w:t>-</w:t>
            </w:r>
            <w:r w:rsidRPr="00924443">
              <w:rPr>
                <w:sz w:val="18"/>
              </w:rPr>
              <w:t>сосудистые заболевания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2 119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39,2%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Новообразования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1 194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22,1%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Эндокринные и алиментарные заболевания и нар</w:t>
            </w:r>
            <w:r w:rsidRPr="00924443">
              <w:rPr>
                <w:sz w:val="18"/>
              </w:rPr>
              <w:t>у</w:t>
            </w:r>
            <w:r w:rsidRPr="00924443">
              <w:rPr>
                <w:sz w:val="18"/>
              </w:rPr>
              <w:t>шение обмена веществ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7,9%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дыхательной системы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6,8%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Заболевания и смертность, вызванные внешними причинами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5,1%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Заболевания желудочно-кишечного тракта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3,6%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мочеполовой системы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3,2%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нервной системы и органов чувств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3,0%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Инфекционные и паразитарные заболевания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1,6%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Психические и поведенческие расстройства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1,5%</w:t>
            </w:r>
          </w:p>
        </w:tc>
      </w:tr>
      <w:tr w:rsidR="00861BFA" w:rsidRPr="008B6442" w:rsidTr="00924443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Другие причины смерти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318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5,9%</w:t>
            </w:r>
          </w:p>
        </w:tc>
      </w:tr>
      <w:tr w:rsidR="00861BFA" w:rsidRPr="006B3356" w:rsidTr="00924443">
        <w:trPr>
          <w:trHeight w:val="3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6B3356" w:rsidP="00924443">
            <w:pPr>
              <w:tabs>
                <w:tab w:val="left" w:pos="286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5 401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100,0%</w:t>
            </w:r>
          </w:p>
        </w:tc>
      </w:tr>
    </w:tbl>
    <w:p w:rsidR="00861BFA" w:rsidRPr="00B501E5" w:rsidRDefault="00861BFA" w:rsidP="00861BFA">
      <w:pPr>
        <w:rPr>
          <w:sz w:val="16"/>
          <w:szCs w:val="16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4535"/>
        <w:gridCol w:w="851"/>
        <w:gridCol w:w="1984"/>
      </w:tblGrid>
      <w:tr w:rsidR="00861BFA" w:rsidRPr="006B3356" w:rsidTr="00924443">
        <w:trPr>
          <w:trHeight w:val="301"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2012 год: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 </w:t>
            </w:r>
          </w:p>
        </w:tc>
      </w:tr>
      <w:tr w:rsidR="00861BFA" w:rsidRPr="006B3356" w:rsidTr="00924443">
        <w:trPr>
          <w:trHeight w:val="301"/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Причина смерти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Часто</w:t>
            </w:r>
            <w:r w:rsidRPr="00924443">
              <w:rPr>
                <w:i/>
                <w:sz w:val="16"/>
              </w:rPr>
              <w:t>т</w:t>
            </w:r>
            <w:r w:rsidRPr="00924443">
              <w:rPr>
                <w:i/>
                <w:sz w:val="16"/>
              </w:rPr>
              <w:t>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Процентная доля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Сердечно</w:t>
            </w:r>
            <w:r w:rsidR="00C361BB" w:rsidRPr="00924443">
              <w:rPr>
                <w:sz w:val="18"/>
              </w:rPr>
              <w:t>-</w:t>
            </w:r>
            <w:r w:rsidRPr="00924443">
              <w:rPr>
                <w:sz w:val="18"/>
              </w:rPr>
              <w:t>сосудистые заболевания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  <w:r w:rsidR="006B3356" w:rsidRPr="00924443">
              <w:rPr>
                <w:sz w:val="18"/>
              </w:rPr>
              <w:t xml:space="preserve"> </w:t>
            </w:r>
            <w:r w:rsidRPr="00924443">
              <w:rPr>
                <w:sz w:val="18"/>
              </w:rPr>
              <w:t>116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37,4%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Новообразования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  <w:r w:rsidR="006B3356" w:rsidRPr="00924443">
              <w:rPr>
                <w:sz w:val="18"/>
              </w:rPr>
              <w:t xml:space="preserve"> </w:t>
            </w:r>
            <w:r w:rsidRPr="00924443">
              <w:rPr>
                <w:sz w:val="18"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22,6%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Эндокринные и алиментарные заболевания и нар</w:t>
            </w:r>
            <w:r w:rsidRPr="00924443">
              <w:rPr>
                <w:sz w:val="18"/>
              </w:rPr>
              <w:t>у</w:t>
            </w:r>
            <w:r w:rsidRPr="00924443">
              <w:rPr>
                <w:sz w:val="18"/>
              </w:rPr>
              <w:t>шение обмена веществ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7,7%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дыхательной системы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7,7%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и смертность, вызванные внешними причинами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293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5,2%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мочеполовой системы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3,5%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нервной системы и органов чувств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3,4%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Заболевания желудочно-кишечного тракта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2,9%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Психические и поведенческие расстройства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1,6%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Инфекционные и паразитарные заболевания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1,6%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Другие причины смерти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377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6,7%</w:t>
            </w:r>
          </w:p>
        </w:tc>
      </w:tr>
      <w:tr w:rsidR="00861BFA" w:rsidRPr="006B3356" w:rsidTr="00924443">
        <w:trPr>
          <w:trHeight w:val="3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6B3356" w:rsidP="00924443">
            <w:pPr>
              <w:tabs>
                <w:tab w:val="left" w:pos="296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</w:t>
            </w:r>
            <w:r w:rsidR="006B3356" w:rsidRPr="00924443">
              <w:rPr>
                <w:b/>
                <w:sz w:val="18"/>
              </w:rPr>
              <w:t xml:space="preserve"> </w:t>
            </w:r>
            <w:r w:rsidRPr="00924443">
              <w:rPr>
                <w:b/>
                <w:sz w:val="18"/>
              </w:rPr>
              <w:t>665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100,0%</w:t>
            </w:r>
          </w:p>
        </w:tc>
      </w:tr>
    </w:tbl>
    <w:p w:rsidR="00861BFA" w:rsidRPr="00467B93" w:rsidRDefault="00861BFA" w:rsidP="00B501E5">
      <w:pPr>
        <w:pStyle w:val="H23GR"/>
        <w:spacing w:before="160"/>
      </w:pPr>
      <w:r w:rsidRPr="00467B93">
        <w:tab/>
      </w:r>
      <w:r w:rsidRPr="00467B93">
        <w:tab/>
        <w:t xml:space="preserve">Уровень безработицы в разбивке по полу и возрастной группе, </w:t>
      </w:r>
      <w:r w:rsidR="006B3356">
        <w:br/>
        <w:t>2009–2013 годы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879"/>
        <w:gridCol w:w="1385"/>
        <w:gridCol w:w="851"/>
        <w:gridCol w:w="851"/>
        <w:gridCol w:w="851"/>
        <w:gridCol w:w="851"/>
        <w:gridCol w:w="851"/>
        <w:gridCol w:w="851"/>
      </w:tblGrid>
      <w:tr w:rsidR="00861BFA" w:rsidRPr="0078404E" w:rsidTr="00924443">
        <w:trPr>
          <w:trHeight w:val="251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Возрастные группы</w:t>
            </w:r>
          </w:p>
        </w:tc>
      </w:tr>
      <w:tr w:rsidR="00861BFA" w:rsidRPr="0078404E" w:rsidTr="00924443">
        <w:trPr>
          <w:trHeight w:val="251"/>
          <w:tblHeader/>
        </w:trPr>
        <w:tc>
          <w:tcPr>
            <w:tcW w:w="226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Возраст (годы)/Пол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15+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15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15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55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65+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78404E" w:rsidP="00924443">
            <w:pPr>
              <w:tabs>
                <w:tab w:val="left" w:pos="209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5,4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5,5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13,8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4,6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4,3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0,6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0,7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0,5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78404E" w:rsidP="00924443">
            <w:pPr>
              <w:tabs>
                <w:tab w:val="left" w:pos="209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0,2</w:t>
            </w:r>
          </w:p>
        </w:tc>
      </w:tr>
      <w:tr w:rsidR="00861BFA" w:rsidRPr="006E126A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0,3</w:t>
            </w:r>
          </w:p>
        </w:tc>
      </w:tr>
      <w:tr w:rsidR="00861BFA" w:rsidRPr="006E126A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20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78404E" w:rsidP="00924443">
            <w:pPr>
              <w:tabs>
                <w:tab w:val="left" w:pos="209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0,6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0,6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0,5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78404E" w:rsidP="00924443">
            <w:pPr>
              <w:tabs>
                <w:tab w:val="left" w:pos="209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1,1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1,5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2013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78404E" w:rsidP="00924443">
            <w:pPr>
              <w:tabs>
                <w:tab w:val="left" w:pos="209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5,4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6,9</w:t>
            </w:r>
          </w:p>
        </w:tc>
      </w:tr>
      <w:tr w:rsidR="00861BFA" w:rsidRPr="0078404E" w:rsidTr="00924443">
        <w:trPr>
          <w:trHeight w:val="251"/>
        </w:trPr>
        <w:tc>
          <w:tcPr>
            <w:tcW w:w="87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09"/>
              </w:tabs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36,8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1,2</w:t>
            </w:r>
          </w:p>
        </w:tc>
      </w:tr>
    </w:tbl>
    <w:p w:rsidR="00861BFA" w:rsidRPr="001B125F" w:rsidRDefault="00861BFA" w:rsidP="001B125F">
      <w:pPr>
        <w:pStyle w:val="SingleTxtGR"/>
        <w:spacing w:before="120"/>
      </w:pPr>
      <w:r w:rsidRPr="001B125F">
        <w:t>32.</w:t>
      </w:r>
      <w:r w:rsidRPr="001B125F">
        <w:tab/>
      </w:r>
      <w:hyperlink r:id="rId10" w:history="1">
        <w:r w:rsidRPr="001B125F">
          <w:rPr>
            <w:rStyle w:val="Hyperlink"/>
            <w:u w:val="none"/>
          </w:rPr>
          <w:t>Занятость по основным секторам экономической деятельности</w:t>
        </w:r>
        <w:bookmarkStart w:id="19" w:name="_Hlt390334592"/>
        <w:bookmarkStart w:id="20" w:name="_Hlt390334593"/>
        <w:bookmarkEnd w:id="19"/>
        <w:bookmarkEnd w:id="20"/>
        <w:r w:rsidRPr="001B125F">
          <w:rPr>
            <w:rStyle w:val="Hyperlink"/>
            <w:u w:val="none"/>
          </w:rPr>
          <w:t>:</w:t>
        </w:r>
      </w:hyperlink>
      <w:r w:rsidRPr="001B125F">
        <w:t xml:space="preserve"> см. соо</w:t>
      </w:r>
      <w:r w:rsidRPr="001B125F">
        <w:t>т</w:t>
      </w:r>
      <w:r w:rsidRPr="001B125F">
        <w:t>ветствующую таблицу в приложении III.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Показатели экономической активности населения (2008–2012 годы)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879"/>
        <w:gridCol w:w="1385"/>
        <w:gridCol w:w="851"/>
        <w:gridCol w:w="851"/>
        <w:gridCol w:w="851"/>
        <w:gridCol w:w="851"/>
        <w:gridCol w:w="851"/>
        <w:gridCol w:w="851"/>
      </w:tblGrid>
      <w:tr w:rsidR="00861BFA" w:rsidRPr="001B125F" w:rsidTr="00924443">
        <w:trPr>
          <w:trHeight w:val="240"/>
          <w:tblHeader/>
        </w:trPr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Возраст (годы)/Пол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Возрастные группы</w:t>
            </w:r>
          </w:p>
        </w:tc>
      </w:tr>
      <w:tr w:rsidR="00861BFA" w:rsidRPr="001B125F" w:rsidTr="00924443">
        <w:trPr>
          <w:trHeight w:val="240"/>
          <w:tblHeader/>
        </w:trPr>
        <w:tc>
          <w:tcPr>
            <w:tcW w:w="226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15+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15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15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55</w:t>
            </w:r>
            <w:r w:rsidR="001B125F" w:rsidRPr="00924443">
              <w:rPr>
                <w:i/>
                <w:sz w:val="16"/>
              </w:rPr>
              <w:t>−</w:t>
            </w:r>
            <w:r w:rsidRPr="00924443">
              <w:rPr>
                <w:i/>
                <w:sz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65+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957B00" w:rsidP="00924443">
            <w:pPr>
              <w:tabs>
                <w:tab w:val="left" w:pos="219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12,3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21,4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4,5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957B00" w:rsidP="00924443">
            <w:pPr>
              <w:tabs>
                <w:tab w:val="left" w:pos="219"/>
              </w:tabs>
              <w:spacing w:before="2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12,4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19,0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6,6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957B00" w:rsidP="00924443">
            <w:pPr>
              <w:tabs>
                <w:tab w:val="left" w:pos="219"/>
              </w:tabs>
              <w:spacing w:before="2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12,9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20,4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6,3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957B00" w:rsidP="00924443">
            <w:pPr>
              <w:tabs>
                <w:tab w:val="left" w:pos="219"/>
              </w:tabs>
              <w:spacing w:before="2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11,2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17,5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5,8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957B00" w:rsidP="00924443">
            <w:pPr>
              <w:tabs>
                <w:tab w:val="left" w:pos="219"/>
              </w:tabs>
              <w:spacing w:before="2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9,6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мужского пола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15,0</w:t>
            </w:r>
          </w:p>
        </w:tc>
      </w:tr>
      <w:tr w:rsidR="00861BFA" w:rsidRPr="001B125F" w:rsidTr="00924443">
        <w:trPr>
          <w:trHeight w:val="240"/>
        </w:trPr>
        <w:tc>
          <w:tcPr>
            <w:tcW w:w="87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tabs>
                <w:tab w:val="left" w:pos="219"/>
              </w:tabs>
              <w:spacing w:before="20" w:after="40"/>
              <w:rPr>
                <w:sz w:val="18"/>
              </w:rPr>
            </w:pPr>
            <w:r w:rsidRPr="00924443">
              <w:rPr>
                <w:sz w:val="18"/>
              </w:rPr>
              <w:t>Лица женского пола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56,9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66,9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35,5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41,3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2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4,9</w:t>
            </w:r>
          </w:p>
        </w:tc>
      </w:tr>
    </w:tbl>
    <w:p w:rsidR="00861BFA" w:rsidRPr="00861BFA" w:rsidRDefault="00861BFA" w:rsidP="006E126A">
      <w:pPr>
        <w:pStyle w:val="SingleTxtGR"/>
        <w:spacing w:before="240"/>
      </w:pPr>
      <w:r w:rsidRPr="00861BFA">
        <w:t>33.</w:t>
      </w:r>
      <w:r w:rsidRPr="00861BFA">
        <w:tab/>
        <w:t>Доля работников, зарегистрированных в профсоюзах: согласно после</w:t>
      </w:r>
      <w:r w:rsidRPr="00861BFA">
        <w:t>д</w:t>
      </w:r>
      <w:r w:rsidRPr="00861BFA">
        <w:t>ним официальным данным о членстве в профсоюзах (2011 год), на Кипре около 52% работников являются членами двух крупнейших профсоюзных конфедер</w:t>
      </w:r>
      <w:r w:rsidRPr="00861BFA">
        <w:t>а</w:t>
      </w:r>
      <w:r w:rsidRPr="00861BFA">
        <w:t>ций</w:t>
      </w:r>
      <w:r w:rsidR="00101135">
        <w:t xml:space="preserve"> − </w:t>
      </w:r>
      <w:r w:rsidRPr="00861BFA">
        <w:t>Панкиприотской федерации труда (ПФТ) и Конфедерации киприотских трудящихся (ККТ)</w:t>
      </w:r>
      <w:r w:rsidR="00101135">
        <w:t xml:space="preserve"> − </w:t>
      </w:r>
      <w:r w:rsidRPr="00861BFA">
        <w:t>и еще одной небольшой Кипрской демократической фед</w:t>
      </w:r>
      <w:r w:rsidRPr="00861BFA">
        <w:t>е</w:t>
      </w:r>
      <w:r w:rsidRPr="00861BFA">
        <w:t>рации труда (КДФТ), а также других независимых профсоюзов, представля</w:t>
      </w:r>
      <w:r w:rsidRPr="00861BFA">
        <w:t>ю</w:t>
      </w:r>
      <w:r w:rsidRPr="00861BFA">
        <w:t xml:space="preserve">щих интересы госслужащих и сотрудников банков. Около 40% работников в частном секторе зарегистрированы в профсоюзах. Ожидается, что в 2013 году доля зарегистрированных в профсоюзах работников снизится до 48%. </w:t>
      </w:r>
    </w:p>
    <w:p w:rsidR="00861BFA" w:rsidRPr="00467B93" w:rsidRDefault="00861BFA" w:rsidP="00467B93">
      <w:pPr>
        <w:pStyle w:val="H23GR"/>
      </w:pPr>
      <w:r w:rsidRPr="00467B93">
        <w:tab/>
        <w:t>3.</w:t>
      </w:r>
      <w:r w:rsidRPr="00467B93">
        <w:tab/>
        <w:t>Экономика</w:t>
      </w:r>
    </w:p>
    <w:p w:rsidR="00861BFA" w:rsidRPr="00861BFA" w:rsidRDefault="00861BFA" w:rsidP="0020401C">
      <w:pPr>
        <w:pStyle w:val="SingleTxtGR"/>
      </w:pPr>
      <w:r w:rsidRPr="00861BFA">
        <w:t>34.</w:t>
      </w:r>
      <w:r w:rsidRPr="00861BFA">
        <w:tab/>
        <w:t>Экономика Кипра основана на принципах свободного рынка. Важнейшим субъектом экономической деятельности является частный сектор. Роль прав</w:t>
      </w:r>
      <w:r w:rsidRPr="00861BFA">
        <w:t>и</w:t>
      </w:r>
      <w:r w:rsidRPr="00861BFA">
        <w:t>тельства по сути ограничена обеспечением транспарентности функциониров</w:t>
      </w:r>
      <w:r w:rsidRPr="00861BFA">
        <w:t>а</w:t>
      </w:r>
      <w:r w:rsidRPr="00861BFA">
        <w:t xml:space="preserve">ния рыночного механизма, осуществлением индикативного планирования и оказанием коммунальных и социальных услуг. </w:t>
      </w:r>
    </w:p>
    <w:p w:rsidR="00861BFA" w:rsidRPr="00861BFA" w:rsidRDefault="00861BFA" w:rsidP="0020401C">
      <w:pPr>
        <w:pStyle w:val="SingleTxtGR"/>
      </w:pPr>
      <w:r w:rsidRPr="00861BFA">
        <w:t>35.</w:t>
      </w:r>
      <w:r w:rsidRPr="00861BFA">
        <w:tab/>
        <w:t>Большое значение для экономики Кипра имеет международная торговля. В сфере производства нехватка сырья, энергоресурсов и мощностей тяжелой промышленности для изготовления средств производства обусловливает нео</w:t>
      </w:r>
      <w:r w:rsidRPr="00861BFA">
        <w:t>б</w:t>
      </w:r>
      <w:r w:rsidRPr="00861BFA">
        <w:t>ходимость импорта такой продукции. Что касается спроса, то вследствие н</w:t>
      </w:r>
      <w:r w:rsidRPr="00861BFA">
        <w:t>е</w:t>
      </w:r>
      <w:r w:rsidRPr="00861BFA">
        <w:t>большого размера внутреннего рынка важнейшую роль в расширении совоку</w:t>
      </w:r>
      <w:r w:rsidRPr="00861BFA">
        <w:t>п</w:t>
      </w:r>
      <w:r w:rsidRPr="00861BFA">
        <w:t>ного спроса на кипрские сельскохозяйственные продукты, изделия обрабат</w:t>
      </w:r>
      <w:r w:rsidRPr="00861BFA">
        <w:t>ы</w:t>
      </w:r>
      <w:r w:rsidRPr="00861BFA">
        <w:t>вающей промышленности и услуги играет экспорт. Основными экономическ</w:t>
      </w:r>
      <w:r w:rsidRPr="00861BFA">
        <w:t>и</w:t>
      </w:r>
      <w:r w:rsidRPr="00861BFA">
        <w:t xml:space="preserve">ми партнерами Кипра являются Европейский союз, соседние страны Ближнего Востока и страны Восточной Европы. </w:t>
      </w:r>
    </w:p>
    <w:p w:rsidR="00861BFA" w:rsidRPr="00861BFA" w:rsidRDefault="00861BFA" w:rsidP="0020401C">
      <w:pPr>
        <w:pStyle w:val="SingleTxtGR"/>
      </w:pPr>
      <w:r w:rsidRPr="00861BFA">
        <w:t>36.</w:t>
      </w:r>
      <w:r w:rsidRPr="00861BFA">
        <w:tab/>
        <w:t>Хотя экономика серьезно пострадала в результате турецкого вторжения 1974 года (в то время на оккупированную часть приходилось почти 70% ВВП), ее восстановление было весьма примечательным. Спад производства, имевший место в 1974 году, был быстро преодолен, и к 1977 году был превышен уровень, существовавший до 1974 года. Вернулось доверие деловых кругов, вслед за чем резко возрос объем капиталовложений. К 1979 году были восстановлены усл</w:t>
      </w:r>
      <w:r w:rsidRPr="00861BFA">
        <w:t>о</w:t>
      </w:r>
      <w:r w:rsidRPr="00861BFA">
        <w:t>вия для полной занятости. Безработица, уровень которой во второй половине 1974 года приближался к 30% экономически активного населения, была пра</w:t>
      </w:r>
      <w:r w:rsidRPr="00861BFA">
        <w:t>к</w:t>
      </w:r>
      <w:r w:rsidRPr="00861BFA">
        <w:t>тически ликвидирована (1,8%), а внутренне перемещенные лица были време</w:t>
      </w:r>
      <w:r w:rsidRPr="00861BFA">
        <w:t>н</w:t>
      </w:r>
      <w:r w:rsidRPr="00861BFA">
        <w:t>но расселены в ожидании возвращения к их очагам.</w:t>
      </w:r>
    </w:p>
    <w:p w:rsidR="00861BFA" w:rsidRPr="00861BFA" w:rsidRDefault="00861BFA" w:rsidP="0020401C">
      <w:pPr>
        <w:pStyle w:val="SingleTxtGR"/>
      </w:pPr>
      <w:r w:rsidRPr="00861BFA">
        <w:t>37.</w:t>
      </w:r>
      <w:r w:rsidRPr="00861BFA">
        <w:tab/>
        <w:t xml:space="preserve">В период после 1974 года в экономике произошли крупные структурные преобразования. Основным фактором роста во второй половине </w:t>
      </w:r>
      <w:r w:rsidR="006E126A">
        <w:t>19</w:t>
      </w:r>
      <w:r w:rsidRPr="00861BFA">
        <w:t xml:space="preserve">70-х и в начале </w:t>
      </w:r>
      <w:r w:rsidR="006E126A">
        <w:t>19</w:t>
      </w:r>
      <w:r w:rsidRPr="00861BFA">
        <w:t>80-х годов прошлого века выступал сектор обрабатывающей промы</w:t>
      </w:r>
      <w:r w:rsidRPr="00861BFA">
        <w:t>ш</w:t>
      </w:r>
      <w:r w:rsidRPr="00861BFA">
        <w:t>ленности; в конце 1980-х годов эту роль стал выполнять сектор туризма, а в начале 1990-х годов − другие секторы услуг. Эти структурные сдвиги нашли отражение в соответствующей дифференциации вклада упомянутых выше се</w:t>
      </w:r>
      <w:r w:rsidRPr="00861BFA">
        <w:t>к</w:t>
      </w:r>
      <w:r w:rsidRPr="00861BFA">
        <w:t>торов в ВВП и их роли в обеспечении приносящей доход занятости. Из слаб</w:t>
      </w:r>
      <w:r w:rsidRPr="00861BFA">
        <w:t>о</w:t>
      </w:r>
      <w:r w:rsidRPr="00861BFA">
        <w:t>развитой страны, в которой доминировали добывающая промышленность и сельское хозяйство, Кипр постепенно превратился в ориентированную на ок</w:t>
      </w:r>
      <w:r w:rsidRPr="00861BFA">
        <w:t>а</w:t>
      </w:r>
      <w:r w:rsidRPr="00861BFA">
        <w:t>зание услуг экономику.</w:t>
      </w:r>
    </w:p>
    <w:p w:rsidR="00861BFA" w:rsidRPr="00861BFA" w:rsidRDefault="00861BFA" w:rsidP="0020401C">
      <w:pPr>
        <w:pStyle w:val="SingleTxtGR"/>
      </w:pPr>
      <w:r w:rsidRPr="00861BFA">
        <w:t>38.</w:t>
      </w:r>
      <w:r w:rsidRPr="00861BFA">
        <w:tab/>
        <w:t>1 января 2008 года евро заменил кипрский фунт в качестве законного платежного средства Кипра при безотзывно зафиксированном обменном курсе 1 евро = 0,585274 кипрского фунта.</w:t>
      </w:r>
    </w:p>
    <w:p w:rsidR="00861BFA" w:rsidRPr="00861BFA" w:rsidRDefault="00861BFA" w:rsidP="0020401C">
      <w:pPr>
        <w:pStyle w:val="SingleTxtGR"/>
      </w:pPr>
      <w:r w:rsidRPr="00861BFA">
        <w:t>39.</w:t>
      </w:r>
      <w:r w:rsidRPr="00861BFA">
        <w:tab/>
        <w:t>До начала глобального экономического кризиса на Кипре наблюдались удовлетворительные показатели экономического роста, низкий уровень безр</w:t>
      </w:r>
      <w:r w:rsidRPr="00861BFA">
        <w:t>а</w:t>
      </w:r>
      <w:r w:rsidRPr="00861BFA">
        <w:t>ботицы и относительно стабильная макроэкономическая ситуация. Однако международный экономический кризис оказал серьезное воздействие на экон</w:t>
      </w:r>
      <w:r w:rsidRPr="00861BFA">
        <w:t>о</w:t>
      </w:r>
      <w:r w:rsidRPr="00861BFA">
        <w:t>мику страны, о чем свидетельствуют основные экономические показатели. Бюджетные и структурные диспропорции, наряду с зависимостью крупнейших кипрских банков от греческого рынка и наличием значительного объема греч</w:t>
      </w:r>
      <w:r w:rsidRPr="00861BFA">
        <w:t>е</w:t>
      </w:r>
      <w:r w:rsidRPr="00861BFA">
        <w:t>ских государственных облигаций, стали основными причинами резкого увел</w:t>
      </w:r>
      <w:r w:rsidRPr="00861BFA">
        <w:t>и</w:t>
      </w:r>
      <w:r w:rsidRPr="00861BFA">
        <w:t>чения затрат по займам, получаемым на международных рынках и, как сле</w:t>
      </w:r>
      <w:r w:rsidRPr="00861BFA">
        <w:t>д</w:t>
      </w:r>
      <w:r w:rsidRPr="00861BFA">
        <w:t>ствие этого, обращения за помощью к "тройке".</w:t>
      </w:r>
    </w:p>
    <w:p w:rsidR="00861BFA" w:rsidRPr="00861BFA" w:rsidRDefault="00861BFA" w:rsidP="0020401C">
      <w:pPr>
        <w:pStyle w:val="SingleTxtGR"/>
      </w:pPr>
      <w:r w:rsidRPr="00861BFA">
        <w:t>40.</w:t>
      </w:r>
      <w:r w:rsidRPr="00861BFA">
        <w:tab/>
        <w:t>Более того, принятое Еврогруппой решение о введении налога на нез</w:t>
      </w:r>
      <w:r w:rsidRPr="00861BFA">
        <w:t>а</w:t>
      </w:r>
      <w:r w:rsidRPr="00861BFA">
        <w:t>страхованные вклады в двух крупнейших кипрских банках имело серьезные о</w:t>
      </w:r>
      <w:r w:rsidRPr="00861BFA">
        <w:t>т</w:t>
      </w:r>
      <w:r w:rsidRPr="00861BFA">
        <w:t>рицательные последствия для банковского сектора, который является одним из основных источников роста экономики Кипра. Резкое и внезапное сокращение банковского сектора и финансовые потери, которые понесли вкладчики банков, неизбежно сказываются на реальном секторе экономики.</w:t>
      </w:r>
    </w:p>
    <w:p w:rsidR="00861BFA" w:rsidRPr="00861BFA" w:rsidRDefault="00861BFA" w:rsidP="0020401C">
      <w:pPr>
        <w:pStyle w:val="SingleTxtGR"/>
      </w:pPr>
      <w:r w:rsidRPr="00861BFA">
        <w:t>41.</w:t>
      </w:r>
      <w:r w:rsidRPr="00861BFA">
        <w:tab/>
        <w:t>Соглашение с "тройкой", касающееся программы макроэкономических преобразований (Меморандум о взаимопонимании</w:t>
      </w:r>
      <w:r w:rsidR="00101135">
        <w:t xml:space="preserve"> − </w:t>
      </w:r>
      <w:r w:rsidRPr="00861BFA">
        <w:t>М</w:t>
      </w:r>
      <w:r w:rsidR="00ED7FAC">
        <w:t>о</w:t>
      </w:r>
      <w:r w:rsidRPr="00861BFA">
        <w:t>В)</w:t>
      </w:r>
      <w:r w:rsidR="00ED7FAC">
        <w:t>,</w:t>
      </w:r>
      <w:r w:rsidRPr="00861BFA">
        <w:t xml:space="preserve"> имеет целью во</w:t>
      </w:r>
      <w:r w:rsidRPr="00861BFA">
        <w:t>с</w:t>
      </w:r>
      <w:r w:rsidRPr="00861BFA">
        <w:t>становление экономической стабильности. Это амбициозная программа направлена на достижение к 2018 году показателя первичного баланса на уровне 4% ВВП. Осуществление программы преобразований уже началось и получило положительную оценку со стороны "тройки". Правительство Респу</w:t>
      </w:r>
      <w:r w:rsidRPr="00861BFA">
        <w:t>б</w:t>
      </w:r>
      <w:r w:rsidRPr="00861BFA">
        <w:t>лики Кипр сохраняет полную приверженность дальнейшему неукоснительному выполнению Меморандума о взаимопонимании. Программа направлена на р</w:t>
      </w:r>
      <w:r w:rsidRPr="00861BFA">
        <w:t>е</w:t>
      </w:r>
      <w:r w:rsidRPr="00861BFA">
        <w:t>шение проблем в трех ключевых областях: в налогово-бюджетной сфере, в ба</w:t>
      </w:r>
      <w:r w:rsidRPr="00861BFA">
        <w:t>н</w:t>
      </w:r>
      <w:r w:rsidRPr="00861BFA">
        <w:t>ковской сфере и в сфере структурной политики.</w:t>
      </w:r>
    </w:p>
    <w:p w:rsidR="00861BFA" w:rsidRPr="00861BFA" w:rsidRDefault="00861BFA" w:rsidP="0020401C">
      <w:pPr>
        <w:pStyle w:val="SingleTxtGR"/>
      </w:pPr>
      <w:r w:rsidRPr="00861BFA">
        <w:t>42.</w:t>
      </w:r>
      <w:r w:rsidRPr="00861BFA">
        <w:tab/>
        <w:t>В 2013 году из-за отрицательных экономических тенденций в стране наблюдался резкий спад, в результате которого ее экономика сократилась на 5,4%. В результате значительного замедления темпов ее роста резко возросла безработица, которая в 2013 году достигла очень высокого для Кипра показат</w:t>
      </w:r>
      <w:r w:rsidRPr="00861BFA">
        <w:t>е</w:t>
      </w:r>
      <w:r w:rsidRPr="00861BFA">
        <w:t xml:space="preserve">ля в 16%. </w:t>
      </w:r>
    </w:p>
    <w:p w:rsidR="00861BFA" w:rsidRPr="00861BFA" w:rsidRDefault="00861BFA" w:rsidP="0020401C">
      <w:pPr>
        <w:pStyle w:val="SingleTxtGR"/>
      </w:pPr>
      <w:r w:rsidRPr="00861BFA">
        <w:t>43.</w:t>
      </w:r>
      <w:r w:rsidRPr="00861BFA">
        <w:tab/>
        <w:t xml:space="preserve">В 2012 году ВВП на душу населения с учетом паритета покупательной способности составил 92,0% от среднего показателя по Европейскому союзу (28 стран по состоянию на тот момент). </w:t>
      </w:r>
    </w:p>
    <w:p w:rsidR="00861BFA" w:rsidRPr="00627938" w:rsidRDefault="00861BFA" w:rsidP="00627938">
      <w:pPr>
        <w:pStyle w:val="H1GR"/>
      </w:pPr>
      <w:r w:rsidRPr="00627938">
        <w:tab/>
        <w:t>Β.</w:t>
      </w:r>
      <w:r w:rsidRPr="00627938">
        <w:tab/>
        <w:t xml:space="preserve">Конституционная, политическая и правовая структура </w:t>
      </w:r>
    </w:p>
    <w:p w:rsidR="00861BFA" w:rsidRPr="00861BFA" w:rsidRDefault="00861BFA" w:rsidP="0020401C">
      <w:pPr>
        <w:pStyle w:val="SingleTxtGR"/>
      </w:pPr>
      <w:r w:rsidRPr="00861BFA">
        <w:t>44.</w:t>
      </w:r>
      <w:r w:rsidRPr="00861BFA">
        <w:tab/>
        <w:t xml:space="preserve">Республика Кипр была создана 16 августа 1960 года с вступлением в силу трех основных договоров и ее Конституции, которые берут начало в Цюрихском соглашении от 11 февраля 1959 года между Грецией и Турцией и в Лондонском соглашении от 19 февраля 1959 года между Грецией, Турцией и Соединенным Королевством. Этими тремя основными договорами являются: </w:t>
      </w:r>
    </w:p>
    <w:p w:rsidR="00861BFA" w:rsidRPr="00861BFA" w:rsidRDefault="002C4A49" w:rsidP="0020401C">
      <w:pPr>
        <w:pStyle w:val="SingleTxtGR"/>
      </w:pPr>
      <w:r>
        <w:tab/>
      </w:r>
      <w:r w:rsidR="00861BFA" w:rsidRPr="00861BFA">
        <w:t xml:space="preserve">a) </w:t>
      </w:r>
      <w:r>
        <w:tab/>
      </w:r>
      <w:r w:rsidR="00861BFA" w:rsidRPr="00861BFA">
        <w:rPr>
          <w:b/>
        </w:rPr>
        <w:t>Договор о создании Республики Кипр</w:t>
      </w:r>
      <w:r w:rsidR="00861BFA" w:rsidRPr="00861BFA">
        <w:t>, подписанный Кипром, Грецией, Турцией и Соединенным Королевством. Этот договор предусматривал образование Республики Кипр и, в частности, создание и функционирование двух британских военных баз на Кипре; сотрудничество Сторон в целях со</w:t>
      </w:r>
      <w:r w:rsidR="00861BFA" w:rsidRPr="00861BFA">
        <w:t>в</w:t>
      </w:r>
      <w:r w:rsidR="00861BFA" w:rsidRPr="00861BFA">
        <w:t>местной защиты Кипра; а также признание и уважение прав человека всех лиц, находящихся под юрисдикцией Республики, аналогично положениям Европе</w:t>
      </w:r>
      <w:r w:rsidR="00861BFA" w:rsidRPr="00861BFA">
        <w:t>й</w:t>
      </w:r>
      <w:r w:rsidR="00861BFA" w:rsidRPr="00861BFA">
        <w:t>ской конвенции о правах человека (United Nations Treaty Series, vol. 382 (1960) no.</w:t>
      </w:r>
      <w:r w:rsidR="00ED7FAC">
        <w:t> </w:t>
      </w:r>
      <w:r w:rsidR="00861BFA" w:rsidRPr="00861BFA">
        <w:t>5476);</w:t>
      </w:r>
    </w:p>
    <w:p w:rsidR="00861BFA" w:rsidRPr="00861BFA" w:rsidRDefault="002C4A49" w:rsidP="0020401C">
      <w:pPr>
        <w:pStyle w:val="SingleTxtGR"/>
      </w:pPr>
      <w:r>
        <w:tab/>
      </w:r>
      <w:r w:rsidR="00861BFA" w:rsidRPr="00861BFA">
        <w:t xml:space="preserve">b) </w:t>
      </w:r>
      <w:r>
        <w:tab/>
      </w:r>
      <w:r w:rsidR="00861BFA" w:rsidRPr="00861BFA">
        <w:rPr>
          <w:b/>
        </w:rPr>
        <w:t>Договор о гарантиях</w:t>
      </w:r>
      <w:r w:rsidR="00861BFA" w:rsidRPr="00861BFA">
        <w:t>, подписанный Кипром, Соединенным Кор</w:t>
      </w:r>
      <w:r w:rsidR="00861BFA" w:rsidRPr="00861BFA">
        <w:t>о</w:t>
      </w:r>
      <w:r w:rsidR="00861BFA" w:rsidRPr="00861BFA">
        <w:t>левством, Грецией и Турцией, предусматривал признание и гарантии независ</w:t>
      </w:r>
      <w:r w:rsidR="00861BFA" w:rsidRPr="00861BFA">
        <w:t>и</w:t>
      </w:r>
      <w:r w:rsidR="00861BFA" w:rsidRPr="00861BFA">
        <w:t>мости, территориальной целостности и безопасности Республики Кипр, а также условия, предусмотренные в основных статьях Конституции Кипра (United Nations Treaty Series, vol. 382 (1960) no. 5475);</w:t>
      </w:r>
    </w:p>
    <w:p w:rsidR="00861BFA" w:rsidRPr="00861BFA" w:rsidRDefault="002C4A49" w:rsidP="0020401C">
      <w:pPr>
        <w:pStyle w:val="SingleTxtGR"/>
      </w:pPr>
      <w:r>
        <w:tab/>
      </w:r>
      <w:r w:rsidR="00861BFA" w:rsidRPr="00861BFA">
        <w:t xml:space="preserve">c) </w:t>
      </w:r>
      <w:r>
        <w:tab/>
      </w:r>
      <w:r w:rsidR="00861BFA" w:rsidRPr="00861BFA">
        <w:rPr>
          <w:b/>
        </w:rPr>
        <w:t>Договор о союзе</w:t>
      </w:r>
      <w:r w:rsidR="00861BFA" w:rsidRPr="00861BFA">
        <w:t>, подписанный Кипром, Грецией и Турцией, направлен на защиту Республики Кипр от любых прямых или косвенных нап</w:t>
      </w:r>
      <w:r w:rsidR="00861BFA" w:rsidRPr="00861BFA">
        <w:t>а</w:t>
      </w:r>
      <w:r w:rsidR="00861BFA" w:rsidRPr="00861BFA">
        <w:t>дений или агрессии, связанных с посягательством на ее независимость или те</w:t>
      </w:r>
      <w:r w:rsidR="00861BFA" w:rsidRPr="00861BFA">
        <w:t>р</w:t>
      </w:r>
      <w:r w:rsidR="00861BFA" w:rsidRPr="00861BFA">
        <w:t>риториальную целостность (United Nations Treaty Series, vol. 397 (1961) no.</w:t>
      </w:r>
      <w:r w:rsidR="00ED7FAC">
        <w:t> </w:t>
      </w:r>
      <w:r w:rsidR="00861BFA" w:rsidRPr="00861BFA">
        <w:t>5712).</w:t>
      </w:r>
    </w:p>
    <w:p w:rsidR="00861BFA" w:rsidRPr="00861BFA" w:rsidRDefault="00861BFA" w:rsidP="0020401C">
      <w:pPr>
        <w:pStyle w:val="SingleTxtGR"/>
      </w:pPr>
      <w:r w:rsidRPr="00861BFA">
        <w:t>45.</w:t>
      </w:r>
      <w:r w:rsidRPr="00861BFA">
        <w:tab/>
        <w:t xml:space="preserve">Провозглашая независимую и суверенную Республику, </w:t>
      </w:r>
      <w:r w:rsidRPr="00861BFA">
        <w:rPr>
          <w:b/>
        </w:rPr>
        <w:t>Конституция</w:t>
      </w:r>
      <w:r w:rsidRPr="00861BFA">
        <w:t xml:space="preserve"> К</w:t>
      </w:r>
      <w:r w:rsidRPr="00861BFA">
        <w:t>и</w:t>
      </w:r>
      <w:r w:rsidRPr="00861BFA">
        <w:t>пра стала "уникальной по своей вычурной сложности и многообразию защи</w:t>
      </w:r>
      <w:r w:rsidRPr="00861BFA">
        <w:t>т</w:t>
      </w:r>
      <w:r w:rsidRPr="00861BFA">
        <w:t>ных оговорок, которые она предусматривает для основного меньшинства, и в</w:t>
      </w:r>
      <w:r w:rsidRPr="00861BFA">
        <w:t>ы</w:t>
      </w:r>
      <w:r w:rsidRPr="00861BFA">
        <w:t>деляется среди всех конституций мира" (S.A. de Smith, "The new Commonwealth and its Constitutions" (London, 1964, p. 296). Менее чем за три года злоупотре</w:t>
      </w:r>
      <w:r w:rsidRPr="00861BFA">
        <w:t>б</w:t>
      </w:r>
      <w:r w:rsidRPr="00861BFA">
        <w:t>ления защитными оговорками со стороны руководства киприотов-турок прив</w:t>
      </w:r>
      <w:r w:rsidRPr="00861BFA">
        <w:t>е</w:t>
      </w:r>
      <w:r w:rsidRPr="00861BFA">
        <w:t>ли к полному нарушению механизма действия Конституции. В 1963 году Ту</w:t>
      </w:r>
      <w:r w:rsidRPr="00861BFA">
        <w:t>р</w:t>
      </w:r>
      <w:r w:rsidRPr="00861BFA">
        <w:t>ция побудила руководство киприотов-турок к выступлениям против госуда</w:t>
      </w:r>
      <w:r w:rsidRPr="00861BFA">
        <w:t>р</w:t>
      </w:r>
      <w:r w:rsidRPr="00861BFA">
        <w:t>ства; заставила сотрудников исполнительных, законодательных, судебных орг</w:t>
      </w:r>
      <w:r w:rsidRPr="00861BFA">
        <w:t>а</w:t>
      </w:r>
      <w:r w:rsidRPr="00861BFA">
        <w:t>нов и гражданских служб из числа киприотов-турок оставить занимаемые ими должности и создала военные анклавы в различных частях острова.</w:t>
      </w:r>
    </w:p>
    <w:p w:rsidR="00861BFA" w:rsidRPr="00861BFA" w:rsidRDefault="00861BFA" w:rsidP="0020401C">
      <w:pPr>
        <w:pStyle w:val="SingleTxtGR"/>
      </w:pPr>
      <w:r w:rsidRPr="00861BFA">
        <w:t>46.</w:t>
      </w:r>
      <w:r w:rsidRPr="00861BFA">
        <w:tab/>
        <w:t>В результате последующих проявлений насилия на межобщинной почве Совет Безопасности Организации Объединенных Наций с согласия правител</w:t>
      </w:r>
      <w:r w:rsidRPr="00861BFA">
        <w:t>ь</w:t>
      </w:r>
      <w:r w:rsidRPr="00861BFA">
        <w:t xml:space="preserve">ства Республики Кипр и в соответствии с резолюцией 186 от 4 марта 1964 года направил на Кипр силы по поддержанию мира (ВСООНК). </w:t>
      </w:r>
    </w:p>
    <w:p w:rsidR="00861BFA" w:rsidRPr="00861BFA" w:rsidRDefault="00861BFA" w:rsidP="0020401C">
      <w:pPr>
        <w:pStyle w:val="SingleTxtGR"/>
      </w:pPr>
      <w:r w:rsidRPr="00861BFA">
        <w:t>47.</w:t>
      </w:r>
      <w:r w:rsidRPr="00861BFA">
        <w:tab/>
        <w:t>Под предлогом государственного переворота, организованного при по</w:t>
      </w:r>
      <w:r w:rsidRPr="00861BFA">
        <w:t>д</w:t>
      </w:r>
      <w:r w:rsidRPr="00861BFA">
        <w:t>стрекательстве тогдашней греческой военной хунты против правительства Ре</w:t>
      </w:r>
      <w:r w:rsidRPr="00861BFA">
        <w:t>с</w:t>
      </w:r>
      <w:r w:rsidRPr="00861BFA">
        <w:t>публики Кипр, 20 июля 1974 года Турция незаконно вторглась на остров. С того момента свыше 40 000 турецких военнослужащих незаконно размещены на острове и оккупируют 36,2% территории Республики Кипр в нарушение Устава Организации Объединенных Наций, договоров о гарантиях, создании и союзе, а также соответствующих принципов и норм международного права. 40% кипр</w:t>
      </w:r>
      <w:r w:rsidRPr="00861BFA">
        <w:t>и</w:t>
      </w:r>
      <w:r w:rsidRPr="00861BFA">
        <w:t>отов-греков, составляющих 82% населения оккупированной части Кипра, были насильственно изгнаны. Тысячи людей, включая гражданских лиц, получили ранения, подверглись жестокому обращению или были убиты. По-прежнему неизвестна судьба сотен киприотов-греков, в том числе женщин, детей и других гражданских лиц, многие из которых были, как известно, живыми захвачены в плен турецкой армией. В рамках согласованной политики Турции, направле</w:t>
      </w:r>
      <w:r w:rsidRPr="00861BFA">
        <w:t>н</w:t>
      </w:r>
      <w:r w:rsidRPr="00861BFA">
        <w:t>ной на изменение облика оккупированных районов Кипра, на их территории стало осуществляться систематическое уничтожение культурных и религио</w:t>
      </w:r>
      <w:r w:rsidRPr="00861BFA">
        <w:t>з</w:t>
      </w:r>
      <w:r w:rsidRPr="00861BFA">
        <w:t>ных памятников Кипра. Наибольшее беспокойство вызывает то, что Турция в оккупированных ею районах проводит систематическую политику незаконной колонизации, которая ведет к радикальным демографическим изменениям. В</w:t>
      </w:r>
      <w:r w:rsidR="002C4A49">
        <w:t> </w:t>
      </w:r>
      <w:r w:rsidRPr="00861BFA">
        <w:t>настоящее время, согласно имеющимся оценкам, численность турецких пос</w:t>
      </w:r>
      <w:r w:rsidRPr="00861BFA">
        <w:t>е</w:t>
      </w:r>
      <w:r w:rsidRPr="00861BFA">
        <w:t xml:space="preserve">ленцев по крайней мере в два раза превышает численность киприотов-турок. </w:t>
      </w:r>
    </w:p>
    <w:p w:rsidR="003823BE" w:rsidRDefault="00861BFA" w:rsidP="0020401C">
      <w:pPr>
        <w:pStyle w:val="SingleTxtGR"/>
      </w:pPr>
      <w:r w:rsidRPr="00861BFA">
        <w:t>48.</w:t>
      </w:r>
      <w:r w:rsidRPr="00861BFA">
        <w:tab/>
        <w:t>В своих резолюциях Генеральная Ассамблея и Совет Безопасности Орг</w:t>
      </w:r>
      <w:r w:rsidRPr="00861BFA">
        <w:t>а</w:t>
      </w:r>
      <w:r w:rsidRPr="00861BFA">
        <w:t>низации Объединенных Наций неоднократно призывали к уважению суверен</w:t>
      </w:r>
      <w:r w:rsidRPr="00861BFA">
        <w:t>и</w:t>
      </w:r>
      <w:r w:rsidRPr="00861BFA">
        <w:t>тета, независимости и территориальной целостности Республики Кипр, а также к выводу с острова всех иностранных вооруженных сил. Кроме того, Организ</w:t>
      </w:r>
      <w:r w:rsidRPr="00861BFA">
        <w:t>а</w:t>
      </w:r>
      <w:r w:rsidRPr="00861BFA">
        <w:t xml:space="preserve">ция Объединенных Наций потребовала обеспечить безопасное возвращение </w:t>
      </w:r>
      <w:r w:rsidR="003823BE">
        <w:br/>
      </w:r>
    </w:p>
    <w:p w:rsidR="00861BFA" w:rsidRPr="00861BFA" w:rsidRDefault="003823BE" w:rsidP="0020401C">
      <w:pPr>
        <w:pStyle w:val="SingleTxtGR"/>
      </w:pPr>
      <w:r>
        <w:br w:type="page"/>
      </w:r>
      <w:r w:rsidR="00861BFA" w:rsidRPr="00861BFA">
        <w:t>внутренне перемещенных лиц в их дома, найти и идентифицировать пропавших без вести лиц и призвала у</w:t>
      </w:r>
      <w:r w:rsidR="002C4A49">
        <w:t>важать права человека киприотов</w:t>
      </w:r>
      <w:r w:rsidR="00861BFA" w:rsidRPr="00861BFA">
        <w:rPr>
          <w:vertAlign w:val="superscript"/>
        </w:rPr>
        <w:footnoteReference w:id="3"/>
      </w:r>
      <w:r w:rsidR="002C4A49">
        <w:t>.</w:t>
      </w:r>
    </w:p>
    <w:p w:rsidR="00861BFA" w:rsidRPr="00861BFA" w:rsidRDefault="00861BFA" w:rsidP="0020401C">
      <w:pPr>
        <w:pStyle w:val="SingleTxtGR"/>
      </w:pPr>
      <w:r w:rsidRPr="00861BFA">
        <w:t>49.</w:t>
      </w:r>
      <w:r w:rsidRPr="00861BFA">
        <w:tab/>
        <w:t>15 ноября 1983 года незаконная подчиняющаяся Турции местная админ</w:t>
      </w:r>
      <w:r w:rsidRPr="00861BFA">
        <w:t>и</w:t>
      </w:r>
      <w:r w:rsidRPr="00861BFA">
        <w:t>страция в оккупированной части Кипра выступила с односторонним заявлен</w:t>
      </w:r>
      <w:r w:rsidRPr="00861BFA">
        <w:t>и</w:t>
      </w:r>
      <w:r w:rsidRPr="00861BFA">
        <w:t xml:space="preserve">ем, в котором она объявила о создании независимого государства ("ТРСК"). </w:t>
      </w:r>
      <w:r w:rsidR="005620EA">
        <w:br/>
      </w:r>
      <w:r w:rsidRPr="00861BFA">
        <w:t>В резолюциях 541 (1983) и 550 (1984) Совет Безопасности Организации Об</w:t>
      </w:r>
      <w:r w:rsidRPr="00861BFA">
        <w:t>ъ</w:t>
      </w:r>
      <w:r w:rsidRPr="00861BFA">
        <w:t>единенных Наций осудил упомянутое одностороннее заявление и все послед</w:t>
      </w:r>
      <w:r w:rsidRPr="00861BFA">
        <w:t>у</w:t>
      </w:r>
      <w:r w:rsidRPr="00861BFA">
        <w:t>ющие сепаратистские действия, объявив их незаконными и не имеющими силы, и призвал немедленно отозвать их. В этих резолюциях содержался также пр</w:t>
      </w:r>
      <w:r w:rsidRPr="00861BFA">
        <w:t>и</w:t>
      </w:r>
      <w:r w:rsidRPr="00861BFA">
        <w:t>зыв ко всем государствам не признавать это сепаратистское образование и не содействовать и не оказывать каким-либо образом помощи указанному образ</w:t>
      </w:r>
      <w:r w:rsidRPr="00861BFA">
        <w:t>о</w:t>
      </w:r>
      <w:r w:rsidRPr="00861BFA">
        <w:t xml:space="preserve">ванию. С тех пор это сепаратистское образование не было признано ни одним государством, кроме Турции, являющейся оккупирующей державой. </w:t>
      </w:r>
    </w:p>
    <w:p w:rsidR="00861BFA" w:rsidRPr="00861BFA" w:rsidRDefault="00861BFA" w:rsidP="0020401C">
      <w:pPr>
        <w:pStyle w:val="SingleTxtGR"/>
      </w:pPr>
      <w:r w:rsidRPr="00861BFA">
        <w:t>50.</w:t>
      </w:r>
      <w:r w:rsidRPr="00861BFA">
        <w:tab/>
        <w:t xml:space="preserve">Европейский суд по правам человека в своем решении по делу </w:t>
      </w:r>
      <w:r w:rsidRPr="00ED7FAC">
        <w:rPr>
          <w:i/>
        </w:rPr>
        <w:t>Кипр пр</w:t>
      </w:r>
      <w:r w:rsidRPr="00ED7FAC">
        <w:rPr>
          <w:i/>
        </w:rPr>
        <w:t>о</w:t>
      </w:r>
      <w:r w:rsidRPr="00ED7FAC">
        <w:rPr>
          <w:i/>
        </w:rPr>
        <w:t>тив Турции</w:t>
      </w:r>
      <w:r w:rsidRPr="00861BFA">
        <w:t xml:space="preserve"> (заявление № 25781/94 от 10 мая 2001 года) высказался по поводу общих правовых последствий вторжения и продолжающегося военного прису</w:t>
      </w:r>
      <w:r w:rsidRPr="00861BFA">
        <w:t>т</w:t>
      </w:r>
      <w:r w:rsidRPr="00861BFA">
        <w:t>ствия Турции на Кипре. В решении Суда подтверждается, что:</w:t>
      </w:r>
    </w:p>
    <w:p w:rsidR="00861BFA" w:rsidRPr="00861BFA" w:rsidRDefault="00861BFA" w:rsidP="000A6F50">
      <w:pPr>
        <w:pStyle w:val="Bullet1GR"/>
      </w:pPr>
      <w:r w:rsidRPr="00861BFA">
        <w:t>правительство Республики Кипр является единственным законным пр</w:t>
      </w:r>
      <w:r w:rsidRPr="00861BFA">
        <w:t>а</w:t>
      </w:r>
      <w:r w:rsidRPr="00861BFA">
        <w:t>вительством Кипра;</w:t>
      </w:r>
    </w:p>
    <w:p w:rsidR="00861BFA" w:rsidRPr="00861BFA" w:rsidRDefault="00861BFA" w:rsidP="000A6F50">
      <w:pPr>
        <w:pStyle w:val="Bullet1GR"/>
      </w:pPr>
      <w:r w:rsidRPr="00861BFA">
        <w:t>международное сообщество и Суд не считают ТРСК государством в соо</w:t>
      </w:r>
      <w:r w:rsidRPr="00861BFA">
        <w:t>т</w:t>
      </w:r>
      <w:r w:rsidRPr="00861BFA">
        <w:t>ветствии с международным правом;</w:t>
      </w:r>
    </w:p>
    <w:p w:rsidR="00861BFA" w:rsidRPr="00861BFA" w:rsidRDefault="00861BFA" w:rsidP="000A6F50">
      <w:pPr>
        <w:pStyle w:val="Bullet1GR"/>
      </w:pPr>
      <w:r w:rsidRPr="00861BFA">
        <w:t>подчиняющаяся Турции местная администрация на севере Кипра сущ</w:t>
      </w:r>
      <w:r w:rsidRPr="00861BFA">
        <w:t>е</w:t>
      </w:r>
      <w:r w:rsidRPr="00861BFA">
        <w:t>ствует благодаря турецкой военной оккупации;</w:t>
      </w:r>
    </w:p>
    <w:p w:rsidR="00861BFA" w:rsidRPr="00861BFA" w:rsidRDefault="00861BFA" w:rsidP="000A6F50">
      <w:pPr>
        <w:pStyle w:val="Bullet1GR"/>
      </w:pPr>
      <w:r w:rsidRPr="00861BFA">
        <w:t>осуществляя "фактический общий контроль над северным Кипром", Ту</w:t>
      </w:r>
      <w:r w:rsidRPr="00861BFA">
        <w:t>р</w:t>
      </w:r>
      <w:r w:rsidRPr="00861BFA">
        <w:t>ция несет ответственность за все нарушения прав человека, совершаемые ее собственными военнослужащими, должностными лицами и подчин</w:t>
      </w:r>
      <w:r w:rsidRPr="00861BFA">
        <w:t>я</w:t>
      </w:r>
      <w:r w:rsidRPr="00861BFA">
        <w:t>ющейся ей местной администрацией.</w:t>
      </w:r>
    </w:p>
    <w:p w:rsidR="00861BFA" w:rsidRPr="00861BFA" w:rsidRDefault="00861BFA" w:rsidP="0020401C">
      <w:pPr>
        <w:pStyle w:val="SingleTxtGR"/>
      </w:pPr>
      <w:r w:rsidRPr="00861BFA">
        <w:t>51.</w:t>
      </w:r>
      <w:r w:rsidRPr="00861BFA">
        <w:tab/>
        <w:t>Суд вынес также важные решения по индивидуальным обращениям к</w:t>
      </w:r>
      <w:r w:rsidRPr="00861BFA">
        <w:t>и</w:t>
      </w:r>
      <w:r w:rsidRPr="00861BFA">
        <w:t xml:space="preserve">приотов. Рассмотрев принципиально важное дело </w:t>
      </w:r>
      <w:r w:rsidRPr="0097274B">
        <w:rPr>
          <w:i/>
        </w:rPr>
        <w:t>Лоизиду против Турции</w:t>
      </w:r>
      <w:r w:rsidRPr="00861BFA">
        <w:t>, Суд предписал правительству Турции компенсировать заявительнице ущерб за п</w:t>
      </w:r>
      <w:r w:rsidRPr="00861BFA">
        <w:t>е</w:t>
      </w:r>
      <w:r w:rsidRPr="00861BFA">
        <w:t>риод, когда она была лишена возможности пользоваться своим имуществом, а также предоставить неограниченный доступ к ее имуществу в Кирении и ра</w:t>
      </w:r>
      <w:r w:rsidRPr="00861BFA">
        <w:t>з</w:t>
      </w:r>
      <w:r w:rsidRPr="00861BFA">
        <w:t xml:space="preserve">решить мирное пользование этим имуществом. </w:t>
      </w:r>
    </w:p>
    <w:p w:rsidR="00861BFA" w:rsidRPr="00861BFA" w:rsidRDefault="00861BFA" w:rsidP="0020401C">
      <w:pPr>
        <w:pStyle w:val="SingleTxtGR"/>
      </w:pPr>
      <w:r w:rsidRPr="00861BFA">
        <w:t>52.</w:t>
      </w:r>
      <w:r w:rsidRPr="00861BFA">
        <w:tab/>
        <w:t>1 мая 2004 года Республика Кипр стала государством − членом Европе</w:t>
      </w:r>
      <w:r w:rsidRPr="00861BFA">
        <w:t>й</w:t>
      </w:r>
      <w:r w:rsidRPr="00861BFA">
        <w:t xml:space="preserve">ского союза, причем в состав ЕС вошла вся ее территория. В соответствии с Протоколом 10 к Договору о присоединении </w:t>
      </w:r>
      <w:r w:rsidR="000A6F50">
        <w:t>Кипра к Европейскому союзу 2003 </w:t>
      </w:r>
      <w:r w:rsidRPr="00861BFA">
        <w:t>года (Договору о присоединении) "осуществление свода стандартов пр</w:t>
      </w:r>
      <w:r w:rsidRPr="00861BFA">
        <w:t>и</w:t>
      </w:r>
      <w:r w:rsidRPr="00861BFA">
        <w:t>остановлено в тех районах Республики Кипр, в которых правительство Респу</w:t>
      </w:r>
      <w:r w:rsidRPr="00861BFA">
        <w:t>б</w:t>
      </w:r>
      <w:r w:rsidRPr="00861BFA">
        <w:t xml:space="preserve">лики Кипр не осуществляет фактического контроля". </w:t>
      </w:r>
    </w:p>
    <w:p w:rsidR="00861BFA" w:rsidRPr="00861BFA" w:rsidRDefault="00861BFA" w:rsidP="0020401C">
      <w:pPr>
        <w:pStyle w:val="SingleTxtGR"/>
      </w:pPr>
      <w:r w:rsidRPr="00861BFA">
        <w:t>53.</w:t>
      </w:r>
      <w:r w:rsidRPr="00861BFA">
        <w:tab/>
        <w:t xml:space="preserve">В своем решении по делу </w:t>
      </w:r>
      <w:r w:rsidRPr="0097274B">
        <w:rPr>
          <w:i/>
        </w:rPr>
        <w:t>Мелетиос Апостолидес против Дэвида Чарльза Орамса и Линды Элизабет Орамс</w:t>
      </w:r>
      <w:r w:rsidRPr="00861BFA">
        <w:t xml:space="preserve"> (28/4/2009) Европейский суд подтвердил юрисдикцию Республики и его судов в районах Республики, не находящихся под фактическим контролем правительства. Киприоты-греки, владевшие им</w:t>
      </w:r>
      <w:r w:rsidRPr="00861BFA">
        <w:t>у</w:t>
      </w:r>
      <w:r w:rsidRPr="00861BFA">
        <w:t>ществом в оккупированных районах Республики, остаются законными со</w:t>
      </w:r>
      <w:r w:rsidRPr="00861BFA">
        <w:t>б</w:t>
      </w:r>
      <w:r w:rsidRPr="00861BFA">
        <w:t>ственниками такого имущества, несмотря на незаконную турецкую оккупацию, и эти собственники вправе обращаться в судебные органы, чтобы предотвр</w:t>
      </w:r>
      <w:r w:rsidRPr="00861BFA">
        <w:t>а</w:t>
      </w:r>
      <w:r w:rsidRPr="00861BFA">
        <w:t>тить любое противозаконное пользование их имуществом.</w:t>
      </w:r>
    </w:p>
    <w:p w:rsidR="00861BFA" w:rsidRPr="00861BFA" w:rsidRDefault="00861BFA" w:rsidP="0020401C">
      <w:pPr>
        <w:pStyle w:val="SingleTxtGR"/>
      </w:pPr>
      <w:r w:rsidRPr="00861BFA">
        <w:t>54.</w:t>
      </w:r>
      <w:r w:rsidRPr="00861BFA">
        <w:tab/>
        <w:t>Вследствие продолжающейся незаконной турецкой оккупации турецкие вооруженные силы лишают правительство Республики Кипр возможности ос</w:t>
      </w:r>
      <w:r w:rsidRPr="00861BFA">
        <w:t>у</w:t>
      </w:r>
      <w:r w:rsidRPr="00861BFA">
        <w:t>ществлять власть и контроль, а также обеспечивать уважение и соблюдение прав человека в оккупированных районах.</w:t>
      </w:r>
    </w:p>
    <w:p w:rsidR="00861BFA" w:rsidRPr="00861BFA" w:rsidRDefault="00861BFA" w:rsidP="0020401C">
      <w:pPr>
        <w:pStyle w:val="SingleTxtGR"/>
      </w:pPr>
      <w:r w:rsidRPr="00861BFA">
        <w:t>55.</w:t>
      </w:r>
      <w:r w:rsidRPr="00861BFA">
        <w:tab/>
        <w:t>В поисках мирного решения правительство Кипра, несмотря на продо</w:t>
      </w:r>
      <w:r w:rsidRPr="00861BFA">
        <w:t>л</w:t>
      </w:r>
      <w:r w:rsidRPr="00861BFA">
        <w:t>жающуюся незаконную оккупацию, согласилось провести межобщинные пер</w:t>
      </w:r>
      <w:r w:rsidRPr="00861BFA">
        <w:t>е</w:t>
      </w:r>
      <w:r w:rsidRPr="00861BFA">
        <w:t xml:space="preserve">говоры на основе вышеупомянутых резолюций Организации Объединенных Наций и в рамках миссии добрых услуг Генерального секретаря Организации Объединенных Наций. </w:t>
      </w:r>
    </w:p>
    <w:p w:rsidR="00861BFA" w:rsidRPr="00861BFA" w:rsidRDefault="00861BFA" w:rsidP="0020401C">
      <w:pPr>
        <w:pStyle w:val="SingleTxtGR"/>
      </w:pPr>
      <w:r w:rsidRPr="00861BFA">
        <w:t>56.</w:t>
      </w:r>
      <w:r w:rsidRPr="00861BFA">
        <w:tab/>
        <w:t>Правительство Кипра стремится к достижению справедливого, долг</w:t>
      </w:r>
      <w:r w:rsidRPr="00861BFA">
        <w:t>о</w:t>
      </w:r>
      <w:r w:rsidRPr="00861BFA">
        <w:t>срочного, всеобъемлющего и действенного решения кипрской проблемы на о</w:t>
      </w:r>
      <w:r w:rsidRPr="00861BFA">
        <w:t>с</w:t>
      </w:r>
      <w:r w:rsidRPr="00861BFA">
        <w:t>нове создания федеральной структуры, предполагающей существование двух зон и двух общин, что будет гарантировать независимость, территориальную целостность, единство и суверенитет Кипра, где не будет оккупационных войск и незаконных переселенцев, − решения, которое позволило бы вновь объед</w:t>
      </w:r>
      <w:r w:rsidRPr="00861BFA">
        <w:t>и</w:t>
      </w:r>
      <w:r w:rsidRPr="00861BFA">
        <w:t xml:space="preserve">нить остров и киприотский народ и обеспечить полное уважение прав человека и основных свобод всех киприотов. 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Конституция</w:t>
      </w:r>
    </w:p>
    <w:p w:rsidR="00861BFA" w:rsidRPr="00861BFA" w:rsidRDefault="00861BFA" w:rsidP="0020401C">
      <w:pPr>
        <w:pStyle w:val="SingleTxtGR"/>
      </w:pPr>
      <w:r w:rsidRPr="00861BFA">
        <w:t>57.</w:t>
      </w:r>
      <w:r w:rsidRPr="00861BFA">
        <w:tab/>
        <w:t>Конституция предусматривает президентскую систему правления с Пр</w:t>
      </w:r>
      <w:r w:rsidRPr="00861BFA">
        <w:t>е</w:t>
      </w:r>
      <w:r w:rsidRPr="00861BFA">
        <w:t>зидентом, которым должен быть киприот-грек, и с Вице-президентом, которым должен быть киприот-турок, избираемыми соответственно греческой и туре</w:t>
      </w:r>
      <w:r w:rsidRPr="00861BFA">
        <w:t>ц</w:t>
      </w:r>
      <w:r w:rsidRPr="00861BFA">
        <w:t>кой общинами Кипра на пятилетний срок (статья 1).</w:t>
      </w:r>
    </w:p>
    <w:p w:rsidR="00861BFA" w:rsidRPr="00861BFA" w:rsidRDefault="00861BFA" w:rsidP="0020401C">
      <w:pPr>
        <w:pStyle w:val="SingleTxtGR"/>
      </w:pPr>
      <w:r w:rsidRPr="00861BFA">
        <w:t>58.</w:t>
      </w:r>
      <w:r w:rsidRPr="00861BFA">
        <w:tab/>
        <w:t>В соответствии с Конституцией исполнительная власть осуществляется Президентом и Вице-президентом Республики, Советом министров и отдел</w:t>
      </w:r>
      <w:r w:rsidRPr="00861BFA">
        <w:t>ь</w:t>
      </w:r>
      <w:r w:rsidRPr="00861BFA">
        <w:t>ными министрами. Конституцией также предусмотрено, что в состав Совета министров входят семь министров из числа киприотов-греков и три министра из числа киприотов-турок, выдвигаемые соответственно Президентом и Вице-президентом, но назначаемые ими совместно. Совет министров осуществляет исполнительную власть по всем вопросам, за исключением тех, которые в соо</w:t>
      </w:r>
      <w:r w:rsidRPr="00861BFA">
        <w:t>т</w:t>
      </w:r>
      <w:r w:rsidRPr="00861BFA">
        <w:t>ветствии со специальными положениями Конституции относятся к компете</w:t>
      </w:r>
      <w:r w:rsidRPr="00861BFA">
        <w:t>н</w:t>
      </w:r>
      <w:r w:rsidRPr="00861BFA">
        <w:t>ции Президента и Вице-президента и Общинных палат (статья 54).</w:t>
      </w:r>
    </w:p>
    <w:p w:rsidR="00861BFA" w:rsidRPr="00861BFA" w:rsidRDefault="00861BFA" w:rsidP="0020401C">
      <w:pPr>
        <w:pStyle w:val="SingleTxtGR"/>
      </w:pPr>
      <w:r w:rsidRPr="00861BFA">
        <w:t>59.</w:t>
      </w:r>
      <w:r w:rsidRPr="00861BFA">
        <w:tab/>
        <w:t>Конституция предусматривает наличие Палаты представителей (одноп</w:t>
      </w:r>
      <w:r w:rsidRPr="00861BFA">
        <w:t>а</w:t>
      </w:r>
      <w:r w:rsidRPr="00861BFA">
        <w:t>латного парламента) в качестве законодательного органа Республики, состоящ</w:t>
      </w:r>
      <w:r w:rsidRPr="00861BFA">
        <w:t>е</w:t>
      </w:r>
      <w:r w:rsidRPr="00861BFA">
        <w:t>го из 80 представителей, из которых 56 избираются греческой общиной и 24 − турецкой общиной на пятилетний срок. Председатель из числа киприотов-греков и заместитель Председателя из числа киприотов-турок избираются о</w:t>
      </w:r>
      <w:r w:rsidRPr="00861BFA">
        <w:t>т</w:t>
      </w:r>
      <w:r w:rsidRPr="00861BFA">
        <w:t>дельно.</w:t>
      </w:r>
    </w:p>
    <w:p w:rsidR="00861BFA" w:rsidRPr="00861BFA" w:rsidRDefault="00861BFA" w:rsidP="0020401C">
      <w:pPr>
        <w:pStyle w:val="SingleTxtGR"/>
      </w:pPr>
      <w:r w:rsidRPr="00861BFA">
        <w:t>60.</w:t>
      </w:r>
      <w:r w:rsidRPr="00861BFA">
        <w:tab/>
        <w:t>Палата представителей осуществляет законодательную власть по всем вопросам, за исключением тех, которые в соответствии с Конституцией ясно отнесены к компетенции Общинных палат (статья 61).</w:t>
      </w:r>
    </w:p>
    <w:p w:rsidR="00861BFA" w:rsidRPr="00861BFA" w:rsidRDefault="00861BFA" w:rsidP="0020401C">
      <w:pPr>
        <w:pStyle w:val="SingleTxtGR"/>
      </w:pPr>
      <w:r w:rsidRPr="00861BFA">
        <w:t>61.</w:t>
      </w:r>
      <w:r w:rsidRPr="00861BFA">
        <w:tab/>
        <w:t>Конституция предусматривала также создание двух Общинных палат для осуществления законодательной и административной власти в таких сферах, как религия, образование и культура, а также общинные налоги и сборы, взим</w:t>
      </w:r>
      <w:r w:rsidRPr="00861BFA">
        <w:t>а</w:t>
      </w:r>
      <w:r w:rsidRPr="00861BFA">
        <w:t>емые в целях удовлетворения потребностей органов и учреждений, находящи</w:t>
      </w:r>
      <w:r w:rsidRPr="00861BFA">
        <w:t>х</w:t>
      </w:r>
      <w:r w:rsidRPr="00861BFA">
        <w:t>ся под контролем Палаты (статьи 86−90).</w:t>
      </w:r>
    </w:p>
    <w:p w:rsidR="00861BFA" w:rsidRPr="00861BFA" w:rsidRDefault="00861BFA" w:rsidP="0020401C">
      <w:pPr>
        <w:pStyle w:val="SingleTxtGR"/>
      </w:pPr>
      <w:r w:rsidRPr="00861BFA">
        <w:t>62.</w:t>
      </w:r>
      <w:r w:rsidRPr="00861BFA">
        <w:tab/>
        <w:t>Конституция содержит положение о Верховном конституционном суде, в состав которого входят нейтральный Председатель и по одному судье от кипр</w:t>
      </w:r>
      <w:r w:rsidRPr="00861BFA">
        <w:t>и</w:t>
      </w:r>
      <w:r w:rsidRPr="00861BFA">
        <w:t>отов-греков и киприотов-турок, назначаемые Президентом и Вице-президентом Республики, а также положение о Высоком суде, в состав которого входят два судьи из числа киприотов-греков, один судья из числа киприотов-турок и один нейтральный Председатель, назначаемые аналогичным образом.</w:t>
      </w:r>
    </w:p>
    <w:p w:rsidR="00861BFA" w:rsidRPr="00861BFA" w:rsidRDefault="00861BFA" w:rsidP="0020401C">
      <w:pPr>
        <w:pStyle w:val="SingleTxtGR"/>
      </w:pPr>
      <w:r w:rsidRPr="00861BFA">
        <w:t>63.</w:t>
      </w:r>
      <w:r w:rsidRPr="00861BFA">
        <w:tab/>
        <w:t>Верховный конституционный суд наделен юрисдикцией в отношении всех вопросов конституционного и административного права. Высокий суд я</w:t>
      </w:r>
      <w:r w:rsidRPr="00861BFA">
        <w:t>в</w:t>
      </w:r>
      <w:r w:rsidRPr="00861BFA">
        <w:t>ляется высшим апелляционным органом, обладающим юрисдикцией по пер</w:t>
      </w:r>
      <w:r w:rsidRPr="00861BFA">
        <w:t>е</w:t>
      </w:r>
      <w:r w:rsidRPr="00861BFA">
        <w:t>смотру дел и полномочиями выносить судебные постановления хабеас корпус и другие относящие к его компетенции судебные приказы. Обычной гражданской и уголовной юрисдикцией по первой инстанции наделены суды присяжных и окружные суды. Конституция запрещает создание под любым предлогом суде</w:t>
      </w:r>
      <w:r w:rsidRPr="00861BFA">
        <w:t>б</w:t>
      </w:r>
      <w:r w:rsidRPr="00861BFA">
        <w:t>ных комитетов и чрезвычайных или специальных судов.</w:t>
      </w:r>
    </w:p>
    <w:p w:rsidR="00861BFA" w:rsidRPr="00861BFA" w:rsidRDefault="00861BFA" w:rsidP="0020401C">
      <w:pPr>
        <w:pStyle w:val="SingleTxtGR"/>
      </w:pPr>
      <w:r w:rsidRPr="00861BFA">
        <w:t>64.</w:t>
      </w:r>
      <w:r w:rsidRPr="00861BFA">
        <w:tab/>
        <w:t>Независимыми должностными лицами Республики являются Генерал</w:t>
      </w:r>
      <w:r w:rsidRPr="00861BFA">
        <w:t>ь</w:t>
      </w:r>
      <w:r w:rsidRPr="00861BFA">
        <w:t xml:space="preserve">ный прокурор и его/ее заместитель, Генеральный ревизор и его/ее заместитель, а также Управляющий Центральным банком и заместитель Управляющего. Все они назначаются Президентом и Вице-президентом на общинной основе. </w:t>
      </w:r>
      <w:r w:rsidR="000A6F50">
        <w:br/>
      </w:r>
      <w:r w:rsidRPr="00861BFA">
        <w:t xml:space="preserve">70% сотрудников государственной службы Республики − киприоты-греки и </w:t>
      </w:r>
      <w:r w:rsidR="000A6F50">
        <w:br/>
      </w:r>
      <w:r w:rsidRPr="00861BFA">
        <w:t>30% − киприоты-турки, при этом Комиссия по государственной службе в анал</w:t>
      </w:r>
      <w:r w:rsidRPr="00861BFA">
        <w:t>о</w:t>
      </w:r>
      <w:r w:rsidRPr="00861BFA">
        <w:t>гичном составе несет ответственность за назначение, продвижение по службе, соблюдение дисциплины и т.д.</w:t>
      </w:r>
    </w:p>
    <w:p w:rsidR="00861BFA" w:rsidRPr="00861BFA" w:rsidRDefault="00861BFA" w:rsidP="0020401C">
      <w:pPr>
        <w:pStyle w:val="SingleTxtGR"/>
      </w:pPr>
      <w:r w:rsidRPr="00861BFA">
        <w:t>65.</w:t>
      </w:r>
      <w:r w:rsidRPr="00861BFA">
        <w:tab/>
        <w:t>Обеим общинам предоставлено право поддерживать особые отношения с Грецией и Турцией, включая право получать субсидии для учебных, культу</w:t>
      </w:r>
      <w:r w:rsidRPr="00861BFA">
        <w:t>р</w:t>
      </w:r>
      <w:r w:rsidRPr="00861BFA">
        <w:t>ных, спортивных и благотворительных учреждений, а также право пользоваться услугами учителей, преподавателей, священнослужителей, направляемых пр</w:t>
      </w:r>
      <w:r w:rsidRPr="00861BFA">
        <w:t>а</w:t>
      </w:r>
      <w:r w:rsidRPr="00861BFA">
        <w:t>вительством Греции или Турции (статья 108).</w:t>
      </w:r>
    </w:p>
    <w:p w:rsidR="00861BFA" w:rsidRPr="00861BFA" w:rsidRDefault="00861BFA" w:rsidP="0020401C">
      <w:pPr>
        <w:pStyle w:val="SingleTxtGR"/>
      </w:pPr>
      <w:r w:rsidRPr="00861BFA">
        <w:t>66.</w:t>
      </w:r>
      <w:r w:rsidRPr="00861BFA">
        <w:tab/>
        <w:t>Ярко выраженный общинный характер Конституции находит подтве</w:t>
      </w:r>
      <w:r w:rsidRPr="00861BFA">
        <w:t>р</w:t>
      </w:r>
      <w:r w:rsidRPr="00861BFA">
        <w:t>ждение в системе голосования. Все выборы должны были проводиться на осн</w:t>
      </w:r>
      <w:r w:rsidRPr="00861BFA">
        <w:t>о</w:t>
      </w:r>
      <w:r w:rsidRPr="00861BFA">
        <w:t>ве раздельных общинных избирательных списков (статьи 63 и 94) и раздельного голосования (статьи 1, 39, 62, 86, 173 и 178). В настоящее время выборы осн</w:t>
      </w:r>
      <w:r w:rsidRPr="00861BFA">
        <w:t>о</w:t>
      </w:r>
      <w:r w:rsidRPr="00861BFA">
        <w:t>ваны на принципе пропорционального представительства.</w:t>
      </w:r>
    </w:p>
    <w:p w:rsidR="00861BFA" w:rsidRPr="00861BFA" w:rsidRDefault="00861BFA" w:rsidP="0020401C">
      <w:pPr>
        <w:pStyle w:val="SingleTxtGR"/>
      </w:pPr>
      <w:r w:rsidRPr="00861BFA">
        <w:t>67.</w:t>
      </w:r>
      <w:r w:rsidRPr="00861BFA">
        <w:tab/>
        <w:t>Уход должностных лиц и гражданских служащих, являющихся киприот</w:t>
      </w:r>
      <w:r w:rsidRPr="00861BFA">
        <w:t>а</w:t>
      </w:r>
      <w:r w:rsidRPr="00861BFA">
        <w:t>ми-турками, и их отказ выполнять служебные функции сделали невозможным управление страной в соответствии с целым рядом положений Конституции.</w:t>
      </w:r>
    </w:p>
    <w:p w:rsidR="00861BFA" w:rsidRPr="00861BFA" w:rsidRDefault="00861BFA" w:rsidP="0020401C">
      <w:pPr>
        <w:pStyle w:val="SingleTxtGR"/>
      </w:pPr>
      <w:r w:rsidRPr="00861BFA">
        <w:t>68.</w:t>
      </w:r>
      <w:r w:rsidRPr="00861BFA">
        <w:tab/>
        <w:t>Кризис достиг высшей точки, когда в 1963 и 1964 годах в отставку ушли соответственно нейтральные Председатели Верховного конституционного суда и Высокого суда, в результате чего ни тот, ни другой суд не может функцион</w:t>
      </w:r>
      <w:r w:rsidRPr="00861BFA">
        <w:t>и</w:t>
      </w:r>
      <w:r w:rsidRPr="00861BFA">
        <w:t>ровать. Следует отметить, что судьи из числа киприотов-турок как высших, так и окружных судов оставались на своих должностях до 1966 года, когда под да</w:t>
      </w:r>
      <w:r w:rsidRPr="00861BFA">
        <w:t>в</w:t>
      </w:r>
      <w:r w:rsidRPr="00861BFA">
        <w:t>лением руководства киприотов-турок они были вынуждены сложить с себя свои обязанности, после чего половина из них эмигрировала за границу.</w:t>
      </w:r>
    </w:p>
    <w:p w:rsidR="00861BFA" w:rsidRPr="00861BFA" w:rsidRDefault="00861BFA" w:rsidP="0020401C">
      <w:pPr>
        <w:pStyle w:val="SingleTxtGR"/>
      </w:pPr>
      <w:r w:rsidRPr="00861BFA">
        <w:t>69.</w:t>
      </w:r>
      <w:r w:rsidRPr="00861BFA">
        <w:tab/>
        <w:t>Описанная выше ситуация потребовала принятия законодательных мер для исправления положения. Так, в 1964 году был принят новый Закон об о</w:t>
      </w:r>
      <w:r w:rsidRPr="00861BFA">
        <w:t>т</w:t>
      </w:r>
      <w:r w:rsidRPr="00861BFA">
        <w:t>правлении правосудия (Разные положения), предусматривавший создание нов</w:t>
      </w:r>
      <w:r w:rsidRPr="00861BFA">
        <w:t>о</w:t>
      </w:r>
      <w:r w:rsidRPr="00861BFA">
        <w:t>го Верховного суда, к которому перешла юрисдикция как Верховного констит</w:t>
      </w:r>
      <w:r w:rsidRPr="00861BFA">
        <w:t>у</w:t>
      </w:r>
      <w:r w:rsidRPr="00861BFA">
        <w:t>ционного суда, так и Высокого суда. Первым Председателем Верховного суда стал киприот-турок, самый старший по возрасту судья Высокого суда. В соо</w:t>
      </w:r>
      <w:r w:rsidRPr="00861BFA">
        <w:t>т</w:t>
      </w:r>
      <w:r w:rsidRPr="00861BFA">
        <w:t>ветствии с тем же Законом был восстановлен Верховный совет правосудия − орган, обеспечивающий независимость судебной системы.</w:t>
      </w:r>
    </w:p>
    <w:p w:rsidR="00861BFA" w:rsidRPr="00861BFA" w:rsidRDefault="00861BFA" w:rsidP="0020401C">
      <w:pPr>
        <w:pStyle w:val="SingleTxtGR"/>
      </w:pPr>
      <w:r w:rsidRPr="00861BFA">
        <w:t>70.</w:t>
      </w:r>
      <w:r w:rsidRPr="00861BFA">
        <w:tab/>
        <w:t>Конституционность Закона об отправлении правосудия (Разные полож</w:t>
      </w:r>
      <w:r w:rsidRPr="00861BFA">
        <w:t>е</w:t>
      </w:r>
      <w:r w:rsidRPr="00861BFA">
        <w:t xml:space="preserve">ния) 1964 года оспаривалась в Верховном суде, который в рамках дела </w:t>
      </w:r>
      <w:r w:rsidRPr="0097274B">
        <w:rPr>
          <w:i/>
        </w:rPr>
        <w:t>Ген</w:t>
      </w:r>
      <w:r w:rsidRPr="0097274B">
        <w:rPr>
          <w:i/>
        </w:rPr>
        <w:t>е</w:t>
      </w:r>
      <w:r w:rsidRPr="0097274B">
        <w:rPr>
          <w:i/>
        </w:rPr>
        <w:t>ральный прокурор Республики против Мустафы Ибрахима</w:t>
      </w:r>
      <w:r w:rsidRPr="00861BFA">
        <w:t xml:space="preserve"> (1964 год) </w:t>
      </w:r>
      <w:r w:rsidR="00F11594">
        <w:br/>
      </w:r>
      <w:r w:rsidRPr="00861BFA">
        <w:t>(см. Cyprus Law Reports p. 195) постановил, что упомянутый Закон является обоснованным с точки зрения доктрины необходимости и с учетом сложивше</w:t>
      </w:r>
      <w:r w:rsidRPr="00861BFA">
        <w:t>й</w:t>
      </w:r>
      <w:r w:rsidRPr="00861BFA">
        <w:t>ся на Кипре ненормальной ситуации. Впоследствии состояние дел в области отправления правосудия нормализовалось.</w:t>
      </w:r>
    </w:p>
    <w:p w:rsidR="00861BFA" w:rsidRPr="00861BFA" w:rsidRDefault="00861BFA" w:rsidP="0020401C">
      <w:pPr>
        <w:pStyle w:val="SingleTxtGR"/>
      </w:pPr>
      <w:r w:rsidRPr="00861BFA">
        <w:t>71.</w:t>
      </w:r>
      <w:r w:rsidRPr="00861BFA">
        <w:tab/>
        <w:t>Другие основные области, в которых принятые на основе той же доктр</w:t>
      </w:r>
      <w:r w:rsidRPr="00861BFA">
        <w:t>и</w:t>
      </w:r>
      <w:r w:rsidRPr="00861BFA">
        <w:t>ны законодательные меры привели к исправлению аналогичных ситуаций, св</w:t>
      </w:r>
      <w:r w:rsidRPr="00861BFA">
        <w:t>я</w:t>
      </w:r>
      <w:r w:rsidRPr="00861BFA">
        <w:t>заны с деятельностью Общинной палаты, Комиссии по государственной службе и с членским составом Палаты представителей.</w:t>
      </w:r>
    </w:p>
    <w:p w:rsidR="00861BFA" w:rsidRPr="00861BFA" w:rsidRDefault="00861BFA" w:rsidP="0020401C">
      <w:pPr>
        <w:pStyle w:val="SingleTxtGR"/>
      </w:pPr>
      <w:r w:rsidRPr="00861BFA">
        <w:t>72.</w:t>
      </w:r>
      <w:r w:rsidRPr="00861BFA">
        <w:tab/>
        <w:t>Ввиду того, что одна из двух общин Кипра самоустранилась, законод</w:t>
      </w:r>
      <w:r w:rsidRPr="00861BFA">
        <w:t>а</w:t>
      </w:r>
      <w:r w:rsidRPr="00861BFA">
        <w:t>тельная и исполнительная власти фактически не учитывают существование двух общин (см. пункты 53−56 о событиях в период 1963 и 1964 годов). Однако в 1985 году количество мест в Палате представителей было увеличено с 50 до 80, и 24 места были зарезервированы за представителями, которых избирает турецкая община в соответствии со статьей 62 Конституции. Эти места в наст</w:t>
      </w:r>
      <w:r w:rsidRPr="00861BFA">
        <w:t>о</w:t>
      </w:r>
      <w:r w:rsidRPr="00861BFA">
        <w:t>ящее время остаются вакантными. Таким образом, греческая община избирает сейчас своих представителей для занятия только 56 из этих мест.</w:t>
      </w:r>
    </w:p>
    <w:p w:rsidR="00861BFA" w:rsidRPr="00861BFA" w:rsidRDefault="00861BFA" w:rsidP="0020401C">
      <w:pPr>
        <w:pStyle w:val="SingleTxtGR"/>
      </w:pPr>
      <w:r w:rsidRPr="00861BFA">
        <w:t>73.</w:t>
      </w:r>
      <w:r w:rsidRPr="00861BFA">
        <w:tab/>
        <w:t>В 2006 году был принят специальный законодательный акт − Закон об осуществлении права участвовать в голосовании и быть избранным членами турецкой общины, постоянно проживающими в свободных районах Республики (Временные положения) [L.2(I)/2006], в соответствии с которым киприоты-турки, проживающие в контролируемом правительством районе, наделены пр</w:t>
      </w:r>
      <w:r w:rsidRPr="00861BFA">
        <w:t>а</w:t>
      </w:r>
      <w:r w:rsidRPr="00861BFA">
        <w:t>вом участвовать в голосовании и выставлять свои кандидатуры на всех общен</w:t>
      </w:r>
      <w:r w:rsidRPr="00861BFA">
        <w:t>а</w:t>
      </w:r>
      <w:r w:rsidRPr="00861BFA">
        <w:t>циональных (муниципальных, парламентских и президентских) выборах. Что касается парламентских выборов, то речь идет о заполнении 56 мест, зарезе</w:t>
      </w:r>
      <w:r w:rsidRPr="00861BFA">
        <w:t>р</w:t>
      </w:r>
      <w:r w:rsidRPr="00861BFA">
        <w:t>вированных за греческой общиной. В соответствии с Законом об избрании чл</w:t>
      </w:r>
      <w:r w:rsidRPr="00861BFA">
        <w:t>е</w:t>
      </w:r>
      <w:r w:rsidRPr="00861BFA">
        <w:t>на Европейского парламента 2004 года [L.10(I)/2004, с внесенными поправк</w:t>
      </w:r>
      <w:r w:rsidRPr="00861BFA">
        <w:t>а</w:t>
      </w:r>
      <w:r w:rsidRPr="00861BFA">
        <w:t>ми] киприоты-турки имеют право принимать участие в голосовании и выдв</w:t>
      </w:r>
      <w:r w:rsidRPr="00861BFA">
        <w:t>и</w:t>
      </w:r>
      <w:r w:rsidRPr="00861BFA">
        <w:t>гать своих кандидатов на выборах членов Европейского парламента независимо от их мест</w:t>
      </w:r>
      <w:r w:rsidR="0097274B">
        <w:t xml:space="preserve">а </w:t>
      </w:r>
      <w:r w:rsidRPr="00861BFA">
        <w:t>проживания на Кипре.</w:t>
      </w:r>
    </w:p>
    <w:p w:rsidR="00861BFA" w:rsidRPr="00861BFA" w:rsidRDefault="00861BFA" w:rsidP="0020401C">
      <w:pPr>
        <w:pStyle w:val="SingleTxtGR"/>
      </w:pPr>
      <w:r w:rsidRPr="00861BFA">
        <w:t>74.</w:t>
      </w:r>
      <w:r w:rsidRPr="00861BFA">
        <w:tab/>
        <w:t>В целях обеспечения прав определенных категорий лиц, которые могут быть гражданами государства, но не подпадают под конституционное опред</w:t>
      </w:r>
      <w:r w:rsidRPr="00861BFA">
        <w:t>е</w:t>
      </w:r>
      <w:r w:rsidRPr="00861BFA">
        <w:t>ление какой-либо из двух (греческой/турецкой) общин Кипра (см. статью 2), Конституция идентифицирует их как религиозную группу, т.е. как "группу п</w:t>
      </w:r>
      <w:r w:rsidRPr="00861BFA">
        <w:t>о</w:t>
      </w:r>
      <w:r w:rsidRPr="00861BFA">
        <w:t>стоянно проживающих на Кипре лиц, которые исповедуют одну и ту же рел</w:t>
      </w:r>
      <w:r w:rsidRPr="00861BFA">
        <w:t>и</w:t>
      </w:r>
      <w:r w:rsidRPr="00861BFA">
        <w:t>гию, принадлежат к одному и тому же вероисповеданию либо подчиняются о</w:t>
      </w:r>
      <w:r w:rsidRPr="00861BFA">
        <w:t>д</w:t>
      </w:r>
      <w:r w:rsidRPr="00861BFA">
        <w:t>ной и той же ее юрисдикции и число которых на день вступления Конституции в силу превышает 1 000 человек при условии, что менее 500 человек из них я</w:t>
      </w:r>
      <w:r w:rsidRPr="00861BFA">
        <w:t>в</w:t>
      </w:r>
      <w:r w:rsidRPr="00861BFA">
        <w:t>лялись гражданами Республики в указанный день". В 1960 году киприоты-марониты, киприоты-армяне и киприоты-представители романской языковой группы стали соответствовать определению "религиозной группы" и были пр</w:t>
      </w:r>
      <w:r w:rsidRPr="00861BFA">
        <w:t>и</w:t>
      </w:r>
      <w:r w:rsidRPr="00861BFA">
        <w:t>знаны гражданами Республики.</w:t>
      </w:r>
    </w:p>
    <w:p w:rsidR="00861BFA" w:rsidRPr="00861BFA" w:rsidRDefault="00861BFA" w:rsidP="0020401C">
      <w:pPr>
        <w:pStyle w:val="SingleTxtGR"/>
      </w:pPr>
      <w:r w:rsidRPr="00861BFA">
        <w:t>75.</w:t>
      </w:r>
      <w:r w:rsidRPr="00861BFA">
        <w:tab/>
        <w:t>Затем этим группам был предоставлен выбор: войти в состав той или иной из двух общин, с тем чтобы они могли пользоваться политическими пр</w:t>
      </w:r>
      <w:r w:rsidRPr="00861BFA">
        <w:t>а</w:t>
      </w:r>
      <w:r w:rsidRPr="00861BFA">
        <w:t>вами в рамках соглашения о разделении власти между двумя общинами. Все они выбрали принадлежность к греческой общине.</w:t>
      </w:r>
    </w:p>
    <w:p w:rsidR="00861BFA" w:rsidRPr="00861BFA" w:rsidRDefault="00861BFA" w:rsidP="0020401C">
      <w:pPr>
        <w:pStyle w:val="SingleTxtGR"/>
      </w:pPr>
      <w:r w:rsidRPr="00861BFA">
        <w:t>76.</w:t>
      </w:r>
      <w:r w:rsidRPr="00861BFA">
        <w:tab/>
        <w:t>Каждая религиозная группа имеет также право выбирать одного своего представителя для защиты ее интересов в Палате представителей и для ос</w:t>
      </w:r>
      <w:r w:rsidRPr="00861BFA">
        <w:t>у</w:t>
      </w:r>
      <w:r w:rsidRPr="00861BFA">
        <w:t>ществления консультативных функций в связи с законодательством о соотве</w:t>
      </w:r>
      <w:r w:rsidRPr="00861BFA">
        <w:t>т</w:t>
      </w:r>
      <w:r w:rsidRPr="00861BFA">
        <w:t>ствующей группе.</w:t>
      </w:r>
    </w:p>
    <w:p w:rsidR="00861BFA" w:rsidRPr="00861BFA" w:rsidRDefault="00861BFA" w:rsidP="0020401C">
      <w:pPr>
        <w:pStyle w:val="SingleTxtGR"/>
      </w:pPr>
      <w:r w:rsidRPr="00861BFA">
        <w:t>77.</w:t>
      </w:r>
      <w:r w:rsidRPr="00861BFA">
        <w:tab/>
        <w:t>Число зарегистрированных убийств и преступлений с угрозой для жизни в расчете на 100 000 человек:</w:t>
      </w:r>
    </w:p>
    <w:p w:rsidR="00861BFA" w:rsidRPr="00861BFA" w:rsidRDefault="00861BFA" w:rsidP="00F11594">
      <w:pPr>
        <w:pStyle w:val="Bullet1GR"/>
      </w:pPr>
      <w:r w:rsidRPr="00861BFA">
        <w:t>0,85 (2010 год);</w:t>
      </w:r>
    </w:p>
    <w:p w:rsidR="00861BFA" w:rsidRPr="00861BFA" w:rsidRDefault="00861BFA" w:rsidP="00F11594">
      <w:pPr>
        <w:pStyle w:val="Bullet1GR"/>
      </w:pPr>
      <w:r w:rsidRPr="00861BFA">
        <w:t>15,95.</w:t>
      </w:r>
    </w:p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 xml:space="preserve">Число и доля (в расчете на 100 000 человек) лиц, арестованных/переданных судебным органам/осужденных/приговоренных/лишенных свободы </w:t>
      </w:r>
      <w:r w:rsidR="00F11594">
        <w:br/>
      </w:r>
      <w:r w:rsidRPr="00467B93">
        <w:t>за насильственные и другие серьезные преступления (такие, как убийство, грабеж, нападение и торговля людьми)</w:t>
      </w:r>
      <w:r w:rsidR="00F11594">
        <w:t xml:space="preserve"> </w:t>
      </w:r>
      <w:r w:rsidR="00073DE7">
        <w:br/>
      </w:r>
      <w:r w:rsidRPr="00467B93">
        <w:t>Количество поступивших осужденных заключенных в разбивке по группам правонарушений, 2005</w:t>
      </w:r>
      <w:r w:rsidR="005620EA">
        <w:t>−</w:t>
      </w:r>
      <w:r w:rsidRPr="00467B93">
        <w:t>2010 годы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566"/>
        <w:gridCol w:w="1699"/>
        <w:gridCol w:w="850"/>
        <w:gridCol w:w="851"/>
        <w:gridCol w:w="851"/>
        <w:gridCol w:w="851"/>
        <w:gridCol w:w="851"/>
        <w:gridCol w:w="851"/>
      </w:tblGrid>
      <w:tr w:rsidR="00861BFA" w:rsidRPr="00F61C5E" w:rsidTr="00924443">
        <w:trPr>
          <w:trHeight w:val="220"/>
          <w:tblHeader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Группа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2006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2008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2010 </w:t>
            </w:r>
          </w:p>
        </w:tc>
      </w:tr>
      <w:tr w:rsidR="00861BFA" w:rsidRPr="00F61C5E" w:rsidTr="00924443">
        <w:trPr>
          <w:trHeight w:val="220"/>
          <w:tblHeader/>
        </w:trPr>
        <w:tc>
          <w:tcPr>
            <w:tcW w:w="226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Абсолютные показатели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I.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пр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тив общественного правопорядка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II.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пр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тив государстве</w:t>
            </w:r>
            <w:r w:rsidRPr="00924443">
              <w:rPr>
                <w:sz w:val="18"/>
              </w:rPr>
              <w:t>н</w:t>
            </w:r>
            <w:r w:rsidRPr="00924443">
              <w:rPr>
                <w:sz w:val="18"/>
              </w:rPr>
              <w:t>ной власти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4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12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18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III.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Общественно</w:t>
            </w:r>
            <w:r w:rsidR="00F61C5E" w:rsidRPr="00924443">
              <w:rPr>
                <w:sz w:val="18"/>
              </w:rPr>
              <w:t xml:space="preserve"> </w:t>
            </w:r>
            <w:r w:rsidRPr="00924443">
              <w:rPr>
                <w:sz w:val="18"/>
              </w:rPr>
              <w:t>опасные престу</w:t>
            </w:r>
            <w:r w:rsidRPr="00924443">
              <w:rPr>
                <w:sz w:val="18"/>
              </w:rPr>
              <w:t>п</w:t>
            </w:r>
            <w:r w:rsidRPr="00924443">
              <w:rPr>
                <w:sz w:val="18"/>
              </w:rPr>
              <w:t xml:space="preserve">ления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102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105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84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79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60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IV.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на сексуальной почве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26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33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23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24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17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пр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тив личности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100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84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74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71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47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VI.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Имущественные преступления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229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314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329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259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211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280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VII.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Злонамеренное причинение им</w:t>
            </w:r>
            <w:r w:rsidRPr="00924443">
              <w:rPr>
                <w:sz w:val="18"/>
              </w:rPr>
              <w:t>у</w:t>
            </w:r>
            <w:r w:rsidRPr="00924443">
              <w:rPr>
                <w:sz w:val="18"/>
              </w:rPr>
              <w:t>щественного уще</w:t>
            </w:r>
            <w:r w:rsidRPr="00924443">
              <w:rPr>
                <w:sz w:val="18"/>
              </w:rPr>
              <w:t>р</w:t>
            </w:r>
            <w:r w:rsidRPr="00924443">
              <w:rPr>
                <w:sz w:val="18"/>
              </w:rPr>
              <w:t>ба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VIII.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Подделка дене</w:t>
            </w:r>
            <w:r w:rsidRPr="00924443">
              <w:rPr>
                <w:sz w:val="18"/>
              </w:rPr>
              <w:t>ж</w:t>
            </w:r>
            <w:r w:rsidRPr="00924443">
              <w:rPr>
                <w:sz w:val="18"/>
              </w:rPr>
              <w:t>ных документов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21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43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19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IX.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Правонарушения, связанные с нес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блюдением правил дорожного движ</w:t>
            </w:r>
            <w:r w:rsidRPr="00924443">
              <w:rPr>
                <w:sz w:val="18"/>
              </w:rPr>
              <w:t>е</w:t>
            </w:r>
            <w:r w:rsidRPr="00924443">
              <w:rPr>
                <w:sz w:val="18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16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10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X.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Административные правонарушения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 </w:t>
            </w:r>
          </w:p>
        </w:tc>
      </w:tr>
      <w:tr w:rsidR="00861BFA" w:rsidRPr="00F61C5E" w:rsidTr="00924443">
        <w:trPr>
          <w:trHeight w:val="220"/>
        </w:trPr>
        <w:tc>
          <w:tcPr>
            <w:tcW w:w="566" w:type="dxa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XI.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Разное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622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750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744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675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957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845 </w:t>
            </w:r>
          </w:p>
        </w:tc>
      </w:tr>
      <w:tr w:rsidR="00861BFA" w:rsidRPr="004A6667" w:rsidTr="00924443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61BFA" w:rsidRPr="00924443" w:rsidRDefault="00FD56D2" w:rsidP="00924443">
            <w:pPr>
              <w:tabs>
                <w:tab w:val="left" w:pos="166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1 188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1 336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1 281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1 255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1 432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1 301 </w:t>
            </w:r>
          </w:p>
        </w:tc>
      </w:tr>
    </w:tbl>
    <w:p w:rsidR="00861BFA" w:rsidRPr="00861BFA" w:rsidRDefault="00861BFA" w:rsidP="00861BFA"/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566"/>
        <w:gridCol w:w="1699"/>
        <w:gridCol w:w="850"/>
        <w:gridCol w:w="851"/>
        <w:gridCol w:w="851"/>
        <w:gridCol w:w="851"/>
        <w:gridCol w:w="851"/>
        <w:gridCol w:w="851"/>
      </w:tblGrid>
      <w:tr w:rsidR="00861BFA" w:rsidRPr="00FD56D2" w:rsidTr="00924443">
        <w:trPr>
          <w:trHeight w:val="220"/>
          <w:tblHeader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Группа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2006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2008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2009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2010 </w:t>
            </w:r>
          </w:p>
        </w:tc>
      </w:tr>
      <w:tr w:rsidR="00861BFA" w:rsidRPr="00FD56D2" w:rsidTr="00924443">
        <w:trPr>
          <w:trHeight w:val="220"/>
          <w:tblHeader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Процентная доля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пр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тив общественного правопорядка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0,2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II.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пр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тив государстве</w:t>
            </w:r>
            <w:r w:rsidRPr="00924443">
              <w:rPr>
                <w:sz w:val="18"/>
              </w:rPr>
              <w:t>н</w:t>
            </w:r>
            <w:r w:rsidRPr="00924443">
              <w:rPr>
                <w:sz w:val="18"/>
              </w:rPr>
              <w:t>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0,2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0,1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0,1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1,4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III.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61BFA" w:rsidRPr="00924443" w:rsidRDefault="00C97033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Общественно </w:t>
            </w:r>
            <w:r w:rsidR="00861BFA" w:rsidRPr="00924443">
              <w:rPr>
                <w:sz w:val="18"/>
              </w:rPr>
              <w:t>опасные престу</w:t>
            </w:r>
            <w:r w:rsidR="00861BFA" w:rsidRPr="00924443">
              <w:rPr>
                <w:sz w:val="18"/>
              </w:rPr>
              <w:t>п</w:t>
            </w:r>
            <w:r w:rsidR="00861BFA" w:rsidRPr="00924443">
              <w:rPr>
                <w:sz w:val="18"/>
              </w:rPr>
              <w:t xml:space="preserve">ления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8,6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7,9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6,6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7,3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5,5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4,6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IV.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на сексуальной почве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2,5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2,6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1,3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пр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тив личности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8,4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6,3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5,8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5,5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5,0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3,6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VI.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Имущественные преступления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19,3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23,5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25,7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20,6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14,7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21,5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VII.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Злонамеренное причинение им</w:t>
            </w:r>
            <w:r w:rsidRPr="00924443">
              <w:rPr>
                <w:sz w:val="18"/>
              </w:rPr>
              <w:t>у</w:t>
            </w:r>
            <w:r w:rsidRPr="00924443">
              <w:rPr>
                <w:sz w:val="18"/>
              </w:rPr>
              <w:t xml:space="preserve">щественного </w:t>
            </w:r>
            <w:r w:rsidR="00C97033" w:rsidRPr="00924443">
              <w:rPr>
                <w:sz w:val="18"/>
              </w:rPr>
              <w:br/>
            </w:r>
            <w:r w:rsidRPr="00924443">
              <w:rPr>
                <w:sz w:val="18"/>
              </w:rPr>
              <w:t>ущерба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0,6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0,6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0,6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0,2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VIII.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Подделка дене</w:t>
            </w:r>
            <w:r w:rsidRPr="00924443">
              <w:rPr>
                <w:sz w:val="18"/>
              </w:rPr>
              <w:t>ж</w:t>
            </w:r>
            <w:r w:rsidRPr="00924443">
              <w:rPr>
                <w:sz w:val="18"/>
              </w:rPr>
              <w:t>ных документов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5,0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1,7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0,2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1,7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3,0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1,5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IX.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Правонарушения, связанные с нес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блюдением правил дорожного движ</w:t>
            </w:r>
            <w:r w:rsidRPr="00924443">
              <w:rPr>
                <w:sz w:val="18"/>
              </w:rPr>
              <w:t>е</w:t>
            </w:r>
            <w:r w:rsidRPr="00924443">
              <w:rPr>
                <w:sz w:val="18"/>
              </w:rPr>
              <w:t>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1,6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1,2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0,4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0,5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0,9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0,8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X.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Административные правонарушения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1,4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7,8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1,2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0,0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XI.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Разное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52,4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56,1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58,1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53,8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66,8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65,0 </w:t>
            </w:r>
          </w:p>
        </w:tc>
      </w:tr>
      <w:tr w:rsidR="00861BFA" w:rsidRPr="00FD56D2" w:rsidTr="0092444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hideMark/>
          </w:tcPr>
          <w:p w:rsidR="00861BFA" w:rsidRPr="00924443" w:rsidRDefault="00861BFA" w:rsidP="00924443">
            <w:pPr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61BFA" w:rsidRPr="00924443" w:rsidRDefault="00FD56D2" w:rsidP="00924443">
            <w:pPr>
              <w:tabs>
                <w:tab w:val="left" w:pos="143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100,0 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Число зарегистрированных случаев сексуально мотивированного насилия (таких, как изнасилование, калечение женских половых органов, преступления на почве оскорбленной чести и нападения с использованием кислоты)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2142"/>
        <w:gridCol w:w="784"/>
        <w:gridCol w:w="952"/>
        <w:gridCol w:w="1063"/>
        <w:gridCol w:w="924"/>
        <w:gridCol w:w="654"/>
        <w:gridCol w:w="851"/>
      </w:tblGrid>
      <w:tr w:rsidR="00861BFA" w:rsidRPr="00C76D6D" w:rsidTr="00924443">
        <w:trPr>
          <w:trHeight w:val="299"/>
          <w:tblHeader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По</w:t>
            </w:r>
            <w:r w:rsidRPr="00924443">
              <w:rPr>
                <w:i/>
                <w:sz w:val="16"/>
              </w:rPr>
              <w:t>д</w:t>
            </w:r>
            <w:r w:rsidRPr="00924443">
              <w:rPr>
                <w:i/>
                <w:sz w:val="16"/>
              </w:rPr>
              <w:t>тве</w:t>
            </w:r>
            <w:r w:rsidRPr="00924443">
              <w:rPr>
                <w:i/>
                <w:sz w:val="16"/>
              </w:rPr>
              <w:t>р</w:t>
            </w:r>
            <w:r w:rsidRPr="00924443">
              <w:rPr>
                <w:i/>
                <w:sz w:val="16"/>
              </w:rPr>
              <w:t>жденные случаи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Раскрыто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Не раскрыто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Рассма</w:t>
            </w:r>
            <w:r w:rsidRPr="00924443">
              <w:rPr>
                <w:i/>
                <w:sz w:val="16"/>
              </w:rPr>
              <w:t>т</w:t>
            </w:r>
            <w:r w:rsidRPr="00924443">
              <w:rPr>
                <w:i/>
                <w:sz w:val="16"/>
              </w:rPr>
              <w:t>риваются судом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Рассл</w:t>
            </w:r>
            <w:r w:rsidRPr="00924443">
              <w:rPr>
                <w:i/>
                <w:sz w:val="16"/>
              </w:rPr>
              <w:t>е</w:t>
            </w:r>
            <w:r w:rsidRPr="00924443">
              <w:rPr>
                <w:i/>
                <w:sz w:val="16"/>
              </w:rPr>
              <w:t>дуются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Процент раскрыв</w:t>
            </w:r>
            <w:r w:rsidRPr="00924443">
              <w:rPr>
                <w:i/>
                <w:sz w:val="16"/>
              </w:rPr>
              <w:t>а</w:t>
            </w:r>
            <w:r w:rsidRPr="00924443">
              <w:rPr>
                <w:i/>
                <w:sz w:val="16"/>
              </w:rPr>
              <w:t>емости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Преступления на секс</w:t>
            </w:r>
            <w:r w:rsidRPr="00924443">
              <w:rPr>
                <w:sz w:val="18"/>
              </w:rPr>
              <w:t>у</w:t>
            </w:r>
            <w:r w:rsidRPr="00924443">
              <w:rPr>
                <w:sz w:val="18"/>
              </w:rPr>
              <w:t>альной почве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59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34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86,4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Изнасилование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80,6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Покушение на изнасил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>вание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50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Похищение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Растление девочек в во</w:t>
            </w:r>
            <w:r w:rsidRPr="00924443">
              <w:rPr>
                <w:sz w:val="18"/>
              </w:rPr>
              <w:t>з</w:t>
            </w:r>
            <w:r w:rsidRPr="00924443">
              <w:rPr>
                <w:sz w:val="18"/>
              </w:rPr>
              <w:t xml:space="preserve">расте 13–17 лет 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Растление умственно неполноценных женщин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Противоестественные правонарушения 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75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Изнасилование (насилие в семье)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Сексуальная эксплуат</w:t>
            </w:r>
            <w:r w:rsidRPr="00924443">
              <w:rPr>
                <w:sz w:val="18"/>
              </w:rPr>
              <w:t>а</w:t>
            </w:r>
            <w:r w:rsidRPr="00924443">
              <w:rPr>
                <w:sz w:val="18"/>
              </w:rPr>
              <w:t>ция несовершенноле</w:t>
            </w:r>
            <w:r w:rsidRPr="00924443">
              <w:rPr>
                <w:sz w:val="18"/>
              </w:rPr>
              <w:t>т</w:t>
            </w:r>
            <w:r w:rsidRPr="00924443">
              <w:rPr>
                <w:sz w:val="18"/>
              </w:rPr>
              <w:t>них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  <w:tr w:rsidR="00861BFA" w:rsidRPr="00C76D6D" w:rsidTr="00924443">
        <w:trPr>
          <w:trHeight w:val="299"/>
        </w:trPr>
        <w:tc>
          <w:tcPr>
            <w:tcW w:w="2142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Противоестественные правонарушения (нас</w:t>
            </w:r>
            <w:r w:rsidRPr="00924443">
              <w:rPr>
                <w:sz w:val="18"/>
              </w:rPr>
              <w:t>и</w:t>
            </w:r>
            <w:r w:rsidRPr="00924443">
              <w:rPr>
                <w:sz w:val="18"/>
              </w:rPr>
              <w:t>лие в семье)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100</w:t>
            </w:r>
          </w:p>
        </w:tc>
      </w:tr>
    </w:tbl>
    <w:p w:rsidR="00861BFA" w:rsidRPr="00467B93" w:rsidRDefault="00861BFA" w:rsidP="00467B93">
      <w:pPr>
        <w:pStyle w:val="H23GR"/>
      </w:pPr>
      <w:r w:rsidRPr="00467B93">
        <w:tab/>
      </w:r>
      <w:r w:rsidRPr="00467B93">
        <w:tab/>
        <w:t>Число поступивших осужденных заключенных в разбивке по видам приговоров, 2008–2010 годы</w:t>
      </w:r>
      <w:r w:rsidR="003D39B0">
        <w:t xml:space="preserve"> </w:t>
      </w:r>
      <w:r w:rsidRPr="00467B93">
        <w:t>(пожизненное заключение и смертный приговор исключены)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76"/>
        <w:gridCol w:w="8"/>
        <w:gridCol w:w="1048"/>
        <w:gridCol w:w="1132"/>
        <w:gridCol w:w="851"/>
        <w:gridCol w:w="851"/>
        <w:gridCol w:w="851"/>
        <w:gridCol w:w="851"/>
        <w:gridCol w:w="851"/>
        <w:gridCol w:w="851"/>
      </w:tblGrid>
      <w:tr w:rsidR="00861BFA" w:rsidRPr="00C76D6D" w:rsidTr="00924443">
        <w:trPr>
          <w:trHeight w:val="300"/>
          <w:tblHeader/>
        </w:trPr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Приговор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2010</w:t>
            </w:r>
          </w:p>
        </w:tc>
      </w:tr>
      <w:tr w:rsidR="00861BFA" w:rsidRPr="00C76D6D" w:rsidTr="00924443">
        <w:trPr>
          <w:trHeight w:val="300"/>
          <w:tblHeader/>
        </w:trPr>
        <w:tc>
          <w:tcPr>
            <w:tcW w:w="226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Уголовные престу</w:t>
            </w:r>
            <w:r w:rsidRPr="00924443">
              <w:rPr>
                <w:i/>
                <w:sz w:val="16"/>
              </w:rPr>
              <w:t>п</w:t>
            </w:r>
            <w:r w:rsidRPr="00924443">
              <w:rPr>
                <w:i/>
                <w:sz w:val="16"/>
              </w:rPr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Уголовные престу</w:t>
            </w:r>
            <w:r w:rsidRPr="00924443">
              <w:rPr>
                <w:i/>
                <w:sz w:val="16"/>
              </w:rPr>
              <w:t>п</w:t>
            </w:r>
            <w:r w:rsidRPr="00924443">
              <w:rPr>
                <w:i/>
                <w:sz w:val="16"/>
              </w:rPr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Уголовные престу</w:t>
            </w:r>
            <w:r w:rsidRPr="00924443">
              <w:rPr>
                <w:i/>
                <w:sz w:val="16"/>
              </w:rPr>
              <w:t>п</w:t>
            </w:r>
            <w:r w:rsidRPr="00924443">
              <w:rPr>
                <w:i/>
                <w:sz w:val="16"/>
              </w:rPr>
              <w:t>ники</w:t>
            </w:r>
          </w:p>
        </w:tc>
      </w:tr>
      <w:tr w:rsidR="00861BFA" w:rsidRPr="005529A6" w:rsidTr="00924443">
        <w:trPr>
          <w:trHeight w:val="300"/>
        </w:trPr>
        <w:tc>
          <w:tcPr>
            <w:tcW w:w="22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51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Абсолютные показатели</w:t>
            </w:r>
          </w:p>
        </w:tc>
      </w:tr>
      <w:tr w:rsidR="00861BFA" w:rsidRPr="005529A6" w:rsidTr="00924443">
        <w:trPr>
          <w:trHeight w:val="300"/>
        </w:trPr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Тюремный срок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0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786C33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 xml:space="preserve"> 1 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99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3 месяц</w:t>
            </w:r>
            <w:r w:rsidR="003D39B0" w:rsidRPr="00924443">
              <w:rPr>
                <w:sz w:val="18"/>
              </w:rPr>
              <w:t>а</w:t>
            </w:r>
            <w:r w:rsidR="00861BFA" w:rsidRPr="00924443">
              <w:rPr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339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6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247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6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12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194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12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18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64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1,5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2 года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25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5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61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10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35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10</w:t>
            </w:r>
            <w:r w:rsidR="00786C33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15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</w:t>
            </w:r>
          </w:p>
        </w:tc>
      </w:tr>
      <w:tr w:rsidR="00861BFA" w:rsidRPr="00C76D6D" w:rsidTr="00924443">
        <w:trPr>
          <w:trHeight w:val="300"/>
        </w:trPr>
        <w:tc>
          <w:tcPr>
            <w:tcW w:w="84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bottom"/>
            <w:hideMark/>
          </w:tcPr>
          <w:p w:rsidR="00861BFA" w:rsidRPr="00924443" w:rsidRDefault="0019578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15 </w:t>
            </w:r>
            <w:r w:rsidR="00861BFA" w:rsidRPr="00924443">
              <w:rPr>
                <w:sz w:val="18"/>
              </w:rPr>
              <w:t xml:space="preserve">лет и более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</w:p>
        </w:tc>
      </w:tr>
      <w:tr w:rsidR="00861BFA" w:rsidRPr="00C76D6D" w:rsidTr="00924443">
        <w:trPr>
          <w:trHeight w:val="300"/>
        </w:trPr>
        <w:tc>
          <w:tcPr>
            <w:tcW w:w="2264" w:type="dxa"/>
            <w:gridSpan w:val="4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Пожизненное заключение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</w:p>
        </w:tc>
      </w:tr>
      <w:tr w:rsidR="00861BFA" w:rsidRPr="00C76D6D" w:rsidTr="00924443">
        <w:trPr>
          <w:trHeight w:val="300"/>
        </w:trPr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Смертный приговор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</w:t>
            </w:r>
          </w:p>
        </w:tc>
      </w:tr>
      <w:tr w:rsidR="00861BFA" w:rsidRPr="005529A6" w:rsidTr="00924443">
        <w:trPr>
          <w:trHeight w:val="340"/>
        </w:trPr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5529A6" w:rsidP="00924443">
            <w:pPr>
              <w:tabs>
                <w:tab w:val="left" w:pos="294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1 255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1 093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1 432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1 203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1 301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1 079</w:t>
            </w:r>
          </w:p>
        </w:tc>
      </w:tr>
      <w:tr w:rsidR="00861BFA" w:rsidRPr="00786C33" w:rsidTr="00924443">
        <w:trPr>
          <w:trHeight w:val="300"/>
        </w:trPr>
        <w:tc>
          <w:tcPr>
            <w:tcW w:w="22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51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Процентная доля</w:t>
            </w:r>
          </w:p>
        </w:tc>
      </w:tr>
      <w:tr w:rsidR="00861BFA" w:rsidRPr="00786C33" w:rsidTr="00924443">
        <w:trPr>
          <w:trHeight w:val="300"/>
        </w:trPr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Тюремный срок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i/>
                <w:sz w:val="16"/>
                <w:szCs w:val="16"/>
              </w:rPr>
            </w:pPr>
            <w:r w:rsidRPr="00924443">
              <w:rPr>
                <w:i/>
                <w:sz w:val="16"/>
                <w:szCs w:val="16"/>
              </w:rPr>
              <w:t>0,0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CA3B79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 xml:space="preserve"> 1 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9,2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3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31,7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35,8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26,1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31,4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3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6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26,3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19,2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22,9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6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12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16,8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17,7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18,0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12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18 месяцев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14,1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15,4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18,7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5,9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1,5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2 года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2,3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5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4,7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5,7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5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10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3,2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10</w:t>
            </w:r>
            <w:r w:rsidR="00CA3B79" w:rsidRPr="00924443">
              <w:rPr>
                <w:sz w:val="18"/>
              </w:rPr>
              <w:t>−</w:t>
            </w:r>
            <w:r w:rsidR="00861BFA" w:rsidRPr="00924443">
              <w:rPr>
                <w:sz w:val="18"/>
              </w:rPr>
              <w:t>15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0,6</w:t>
            </w:r>
          </w:p>
        </w:tc>
      </w:tr>
      <w:tr w:rsidR="00861BFA" w:rsidRPr="00C76D6D" w:rsidTr="00924443">
        <w:trPr>
          <w:trHeight w:val="300"/>
        </w:trPr>
        <w:tc>
          <w:tcPr>
            <w:tcW w:w="7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  <w:hideMark/>
          </w:tcPr>
          <w:p w:rsidR="00861BFA" w:rsidRPr="00924443" w:rsidRDefault="006B2804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15</w:t>
            </w:r>
            <w:r w:rsidR="000570D0" w:rsidRPr="00924443">
              <w:rPr>
                <w:sz w:val="18"/>
              </w:rPr>
              <w:t xml:space="preserve"> </w:t>
            </w:r>
            <w:r w:rsidR="00861BFA" w:rsidRPr="00924443">
              <w:rPr>
                <w:sz w:val="18"/>
              </w:rPr>
              <w:t xml:space="preserve">лет и более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0,5</w:t>
            </w:r>
          </w:p>
        </w:tc>
      </w:tr>
      <w:tr w:rsidR="00861BFA" w:rsidRPr="00C76D6D" w:rsidTr="00924443">
        <w:trPr>
          <w:trHeight w:val="300"/>
        </w:trPr>
        <w:tc>
          <w:tcPr>
            <w:tcW w:w="2264" w:type="dxa"/>
            <w:gridSpan w:val="4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Пожизненное заключение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</w:t>
            </w:r>
          </w:p>
        </w:tc>
      </w:tr>
      <w:tr w:rsidR="00861BFA" w:rsidRPr="00C76D6D" w:rsidTr="00924443">
        <w:trPr>
          <w:trHeight w:val="300"/>
        </w:trPr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Смертный приговор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0,0</w:t>
            </w:r>
          </w:p>
        </w:tc>
      </w:tr>
      <w:tr w:rsidR="00861BFA" w:rsidRPr="00786C33" w:rsidTr="00924443">
        <w:trPr>
          <w:trHeight w:val="300"/>
        </w:trPr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861BFA" w:rsidRPr="00924443" w:rsidRDefault="00786C33" w:rsidP="00924443">
            <w:pPr>
              <w:tabs>
                <w:tab w:val="left" w:pos="284"/>
              </w:tabs>
              <w:spacing w:before="40" w:after="40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ab/>
            </w:r>
            <w:r w:rsidR="00861BFA" w:rsidRPr="00924443">
              <w:rPr>
                <w:b/>
                <w:sz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A" w:rsidRPr="00924443" w:rsidRDefault="00861BFA" w:rsidP="00924443">
            <w:pPr>
              <w:spacing w:before="40" w:after="40"/>
              <w:jc w:val="right"/>
              <w:rPr>
                <w:b/>
                <w:sz w:val="18"/>
              </w:rPr>
            </w:pPr>
            <w:r w:rsidRPr="00924443">
              <w:rPr>
                <w:b/>
                <w:sz w:val="18"/>
              </w:rPr>
              <w:t>100,0</w:t>
            </w:r>
          </w:p>
        </w:tc>
      </w:tr>
    </w:tbl>
    <w:p w:rsidR="00861BFA" w:rsidRPr="00861BFA" w:rsidRDefault="00861BFA" w:rsidP="004A510E">
      <w:pPr>
        <w:pStyle w:val="SingleTxtGR"/>
        <w:spacing w:before="240"/>
      </w:pPr>
      <w:r w:rsidRPr="00861BFA">
        <w:t>78.</w:t>
      </w:r>
      <w:r w:rsidRPr="00861BFA">
        <w:tab/>
        <w:t>Смертность среди лиц, содержащихся под стражей: имеющиеся у пол</w:t>
      </w:r>
      <w:r w:rsidRPr="00861BFA">
        <w:t>и</w:t>
      </w:r>
      <w:r w:rsidRPr="00861BFA">
        <w:t>ции статистические данные охватывают только случаи самоубийств в Це</w:t>
      </w:r>
      <w:r w:rsidRPr="00861BFA">
        <w:t>н</w:t>
      </w:r>
      <w:r w:rsidRPr="00861BFA">
        <w:t>тральной тюрьме и в полицейских следственных изоляторах. Согласно этим данным, в 2012 году один задержанный покончил самоубийством в полице</w:t>
      </w:r>
      <w:r w:rsidRPr="00861BFA">
        <w:t>й</w:t>
      </w:r>
      <w:r w:rsidRPr="00861BFA">
        <w:t>ском следственном изоляторе, а в 2013 году трое заключенных совершили с</w:t>
      </w:r>
      <w:r w:rsidRPr="00861BFA">
        <w:t>а</w:t>
      </w:r>
      <w:r w:rsidRPr="00861BFA">
        <w:t xml:space="preserve">моубийство в Центральной тюрьме. </w:t>
      </w:r>
    </w:p>
    <w:p w:rsidR="00861BFA" w:rsidRPr="00861BFA" w:rsidRDefault="00861BFA" w:rsidP="0020401C">
      <w:pPr>
        <w:pStyle w:val="SingleTxtGR"/>
      </w:pPr>
      <w:r w:rsidRPr="00861BFA">
        <w:t>79.</w:t>
      </w:r>
      <w:r w:rsidRPr="00861BFA">
        <w:tab/>
        <w:t>Число лиц, казненных по смертному приговору за год:</w:t>
      </w:r>
      <w:r w:rsidRPr="00861BFA">
        <w:rPr>
          <w:vertAlign w:val="subscript"/>
        </w:rPr>
        <w:t xml:space="preserve"> </w:t>
      </w:r>
      <w:r w:rsidRPr="00861BFA">
        <w:t>на Кипре смертная казнь за убийство была отменена Законом L</w:t>
      </w:r>
      <w:r w:rsidR="00D33054">
        <w:t xml:space="preserve"> </w:t>
      </w:r>
      <w:r w:rsidRPr="00861BFA">
        <w:t>86/1983 с поправками к Уголовн</w:t>
      </w:r>
      <w:r w:rsidRPr="00861BFA">
        <w:t>о</w:t>
      </w:r>
      <w:r w:rsidRPr="00861BFA">
        <w:t>му кодексу. Закон 15</w:t>
      </w:r>
      <w:r w:rsidR="00D33054">
        <w:t xml:space="preserve"> (</w:t>
      </w:r>
      <w:r w:rsidRPr="00861BFA">
        <w:t>I)/99 упразднил смертную казнь в отношении всех пр</w:t>
      </w:r>
      <w:r w:rsidRPr="00861BFA">
        <w:t>е</w:t>
      </w:r>
      <w:r w:rsidRPr="00861BFA">
        <w:t>ступлений. Смертная казнь была заменена на пожизненное тюремное заключ</w:t>
      </w:r>
      <w:r w:rsidRPr="00861BFA">
        <w:t>е</w:t>
      </w:r>
      <w:r w:rsidRPr="00861BFA">
        <w:t>ние. Кипр подписал второй Факультативный протокол к Международному пакту о гражданских и политических правах, предусматривающий полную отмену смертной казни.</w:t>
      </w:r>
    </w:p>
    <w:p w:rsidR="00861BFA" w:rsidRPr="00494825" w:rsidRDefault="00861BFA" w:rsidP="0020401C">
      <w:pPr>
        <w:pStyle w:val="SingleTxtGR"/>
      </w:pPr>
      <w:r w:rsidRPr="00494825">
        <w:t>80.</w:t>
      </w:r>
      <w:r w:rsidRPr="00494825">
        <w:tab/>
      </w:r>
      <w:hyperlink r:id="rId11" w:history="1">
        <w:r w:rsidRPr="00494825">
          <w:rPr>
            <w:rStyle w:val="Hyperlink"/>
            <w:u w:val="none"/>
          </w:rPr>
          <w:t>Среднее число нерассмотренных дел в расчете на одного судью на ра</w:t>
        </w:r>
        <w:r w:rsidRPr="00494825">
          <w:rPr>
            <w:rStyle w:val="Hyperlink"/>
            <w:u w:val="none"/>
          </w:rPr>
          <w:t>з</w:t>
        </w:r>
        <w:r w:rsidRPr="00494825">
          <w:rPr>
            <w:rStyle w:val="Hyperlink"/>
            <w:u w:val="none"/>
          </w:rPr>
          <w:t>личных уровнях судебной системы:</w:t>
        </w:r>
      </w:hyperlink>
      <w:r w:rsidRPr="00494825">
        <w:t xml:space="preserve"> см. соответствующую таблицу в прилож</w:t>
      </w:r>
      <w:r w:rsidRPr="00494825">
        <w:t>е</w:t>
      </w:r>
      <w:r w:rsidRPr="00494825">
        <w:t>нии IV.</w:t>
      </w:r>
    </w:p>
    <w:p w:rsidR="00861BFA" w:rsidRPr="00861BFA" w:rsidRDefault="00861BFA" w:rsidP="0020401C">
      <w:pPr>
        <w:pStyle w:val="SingleTxtGR"/>
      </w:pPr>
      <w:r w:rsidRPr="00861BFA">
        <w:t>81.</w:t>
      </w:r>
      <w:r w:rsidRPr="00861BFA">
        <w:tab/>
        <w:t>Число сотрудников полиции/служб безопасности в расчете на 100 000 ч</w:t>
      </w:r>
      <w:r w:rsidRPr="00861BFA">
        <w:t>е</w:t>
      </w:r>
      <w:r w:rsidRPr="00861BFA">
        <w:t>ловек: согласно данным последней переписи населения Кипра, которая была проведена Службой статистики в 2012 году, численность населения, прожива</w:t>
      </w:r>
      <w:r w:rsidRPr="00861BFA">
        <w:t>в</w:t>
      </w:r>
      <w:r w:rsidRPr="00861BFA">
        <w:t>шего на Кипре в 2012 году, составляет, по оценкам, 866 000 человек. В 2012 г</w:t>
      </w:r>
      <w:r w:rsidRPr="00861BFA">
        <w:t>о</w:t>
      </w:r>
      <w:r w:rsidRPr="00861BFA">
        <w:t>ду в стране насчитывалось 5 263 сотрудника полиции (за исключением пожа</w:t>
      </w:r>
      <w:r w:rsidRPr="00861BFA">
        <w:t>р</w:t>
      </w:r>
      <w:r w:rsidRPr="00861BFA">
        <w:t xml:space="preserve">ных). Таким образом, в 2012 году число сотрудников полиции в расчете на </w:t>
      </w:r>
      <w:r w:rsidR="00494825">
        <w:br/>
      </w:r>
      <w:r w:rsidRPr="00861BFA">
        <w:t xml:space="preserve">100 000 человек составляло 607. </w:t>
      </w:r>
    </w:p>
    <w:p w:rsidR="00861BFA" w:rsidRPr="00861BFA" w:rsidRDefault="00861BFA" w:rsidP="0020401C">
      <w:pPr>
        <w:pStyle w:val="SingleTxtGR"/>
      </w:pPr>
      <w:r w:rsidRPr="00861BFA">
        <w:t>82.</w:t>
      </w:r>
      <w:r w:rsidRPr="00861BFA">
        <w:tab/>
        <w:t>Следует также отметить, что хотя численность населения Кипра увелич</w:t>
      </w:r>
      <w:r w:rsidRPr="00861BFA">
        <w:t>и</w:t>
      </w:r>
      <w:r w:rsidRPr="00861BFA">
        <w:t>вается, число сотрудников полиции сокращается. В 2014 году численность с</w:t>
      </w:r>
      <w:r w:rsidRPr="00861BFA">
        <w:t>о</w:t>
      </w:r>
      <w:r w:rsidRPr="00861BFA">
        <w:t>трудников полиции составила 5</w:t>
      </w:r>
      <w:r w:rsidR="00D33054">
        <w:t xml:space="preserve"> </w:t>
      </w:r>
      <w:r w:rsidRPr="00861BFA">
        <w:t xml:space="preserve">002 человека. </w:t>
      </w:r>
    </w:p>
    <w:p w:rsidR="00861BFA" w:rsidRPr="008C0DCC" w:rsidRDefault="00861BFA" w:rsidP="008C0DCC">
      <w:pPr>
        <w:pStyle w:val="H23GR"/>
      </w:pPr>
      <w:r w:rsidRPr="008C0DCC">
        <w:tab/>
      </w:r>
      <w:r w:rsidRPr="008C0DCC">
        <w:tab/>
        <w:t>Число прокуроров и судей в расчете на 100 000 человек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5E0"/>
      </w:tblPr>
      <w:tblGrid>
        <w:gridCol w:w="3685"/>
        <w:gridCol w:w="3685"/>
      </w:tblGrid>
      <w:tr w:rsidR="00861BFA" w:rsidRPr="00494825" w:rsidTr="00924443">
        <w:trPr>
          <w:trHeight w:val="304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2008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10,67</w:t>
            </w:r>
          </w:p>
        </w:tc>
      </w:tr>
      <w:tr w:rsidR="00861BFA" w:rsidRPr="00494825" w:rsidTr="00924443">
        <w:trPr>
          <w:trHeight w:val="304"/>
        </w:trPr>
        <w:tc>
          <w:tcPr>
            <w:tcW w:w="368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10,26</w:t>
            </w:r>
          </w:p>
        </w:tc>
      </w:tr>
      <w:tr w:rsidR="00861BFA" w:rsidRPr="00494825" w:rsidTr="00924443">
        <w:trPr>
          <w:trHeight w:val="304"/>
        </w:trPr>
        <w:tc>
          <w:tcPr>
            <w:tcW w:w="368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10,84</w:t>
            </w:r>
          </w:p>
        </w:tc>
      </w:tr>
      <w:tr w:rsidR="00861BFA" w:rsidRPr="00494825" w:rsidTr="00924443">
        <w:trPr>
          <w:trHeight w:val="304"/>
        </w:trPr>
        <w:tc>
          <w:tcPr>
            <w:tcW w:w="368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10,56</w:t>
            </w:r>
          </w:p>
        </w:tc>
      </w:tr>
      <w:tr w:rsidR="00861BFA" w:rsidRPr="00494825" w:rsidTr="00924443">
        <w:trPr>
          <w:trHeight w:val="304"/>
        </w:trPr>
        <w:tc>
          <w:tcPr>
            <w:tcW w:w="3685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10,28</w:t>
            </w:r>
          </w:p>
        </w:tc>
      </w:tr>
    </w:tbl>
    <w:p w:rsidR="00861BFA" w:rsidRPr="008C0DCC" w:rsidRDefault="00861BFA" w:rsidP="008C0DCC">
      <w:pPr>
        <w:pStyle w:val="H23GR"/>
      </w:pPr>
      <w:r w:rsidRPr="008C0DCC">
        <w:tab/>
      </w:r>
      <w:r w:rsidRPr="008C0DCC">
        <w:tab/>
        <w:t xml:space="preserve">Доля государственных расходов на полицию/службы безопасности </w:t>
      </w:r>
      <w:r w:rsidR="00494825">
        <w:br/>
      </w:r>
      <w:r w:rsidRPr="008C0DCC">
        <w:t xml:space="preserve">и судебные органы </w:t>
      </w:r>
      <w:r w:rsidRPr="008C0DCC">
        <w:br/>
        <w:t>Сводная таблица фактических расходов, 2008</w:t>
      </w:r>
      <w:r w:rsidR="005620EA">
        <w:t>−</w:t>
      </w:r>
      <w:r w:rsidRPr="008C0DCC">
        <w:t>2012 годы</w:t>
      </w:r>
    </w:p>
    <w:p w:rsidR="00861BFA" w:rsidRPr="008C0DCC" w:rsidRDefault="00861BFA" w:rsidP="008C0DCC">
      <w:pPr>
        <w:pStyle w:val="H23GR"/>
      </w:pPr>
      <w:r w:rsidRPr="008C0DCC">
        <w:tab/>
      </w:r>
      <w:r w:rsidRPr="008C0DCC">
        <w:tab/>
        <w:t>Полиция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1963"/>
        <w:gridCol w:w="1309"/>
        <w:gridCol w:w="1308"/>
        <w:gridCol w:w="1308"/>
        <w:gridCol w:w="1308"/>
        <w:gridCol w:w="1308"/>
      </w:tblGrid>
      <w:tr w:rsidR="0097518A" w:rsidRPr="006A068C" w:rsidTr="00924443">
        <w:trPr>
          <w:trHeight w:val="355"/>
          <w:tblHeader/>
        </w:trPr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Общие расходы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2008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2009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2012</w:t>
            </w:r>
          </w:p>
        </w:tc>
      </w:tr>
      <w:tr w:rsidR="0097518A" w:rsidRPr="006A068C" w:rsidTr="00924443">
        <w:trPr>
          <w:trHeight w:val="320"/>
          <w:tblHeader/>
        </w:trPr>
        <w:tc>
          <w:tcPr>
            <w:tcW w:w="1963" w:type="dxa"/>
            <w:vMerge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Фактические расходы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Фактические расходы 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Фактические расходы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Фактические расходы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Фактические расходы</w:t>
            </w:r>
          </w:p>
        </w:tc>
      </w:tr>
      <w:tr w:rsidR="0097518A" w:rsidRPr="006A068C" w:rsidTr="00924443">
        <w:trPr>
          <w:trHeight w:val="319"/>
          <w:tblHeader/>
        </w:trPr>
        <w:tc>
          <w:tcPr>
            <w:tcW w:w="1963" w:type="dxa"/>
            <w:vMerge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7518A" w:rsidRPr="00924443" w:rsidRDefault="0097518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18A" w:rsidRPr="00924443" w:rsidRDefault="00805CB6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евро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18A" w:rsidRPr="00924443" w:rsidRDefault="00805CB6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евро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18A" w:rsidRPr="00924443" w:rsidRDefault="00805CB6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евро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18A" w:rsidRPr="00924443" w:rsidRDefault="00805CB6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евро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18A" w:rsidRPr="00924443" w:rsidRDefault="00805CB6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евро</w:t>
            </w:r>
          </w:p>
        </w:tc>
      </w:tr>
      <w:tr w:rsidR="00861BFA" w:rsidRPr="006A068C" w:rsidTr="00924443">
        <w:tc>
          <w:tcPr>
            <w:tcW w:w="1963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 xml:space="preserve">Общие расходы на полицию 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223 980 017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238 010 973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255 374 542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241 247 552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228 264 048</w:t>
            </w:r>
          </w:p>
        </w:tc>
      </w:tr>
      <w:tr w:rsidR="00861BFA" w:rsidRPr="006A068C" w:rsidTr="00924443">
        <w:tc>
          <w:tcPr>
            <w:tcW w:w="1963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Общие расходы Ре</w:t>
            </w:r>
            <w:r w:rsidRPr="00924443">
              <w:rPr>
                <w:sz w:val="18"/>
              </w:rPr>
              <w:t>с</w:t>
            </w:r>
            <w:r w:rsidRPr="00924443">
              <w:rPr>
                <w:sz w:val="18"/>
              </w:rPr>
              <w:t xml:space="preserve">публики Кипр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7 375 825 939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7 746 961 077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7 718 239 821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8 008 714 983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8 257 831 260</w:t>
            </w:r>
          </w:p>
        </w:tc>
      </w:tr>
      <w:tr w:rsidR="00861BFA" w:rsidRPr="006A068C" w:rsidTr="00924443">
        <w:tc>
          <w:tcPr>
            <w:tcW w:w="1963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Доля расходов на п</w:t>
            </w:r>
            <w:r w:rsidRPr="00924443">
              <w:rPr>
                <w:sz w:val="18"/>
              </w:rPr>
              <w:t>о</w:t>
            </w:r>
            <w:r w:rsidRPr="00924443">
              <w:rPr>
                <w:sz w:val="18"/>
              </w:rPr>
              <w:t xml:space="preserve">лицию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3,04%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3,07%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3,31%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3,01%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2,76%</w:t>
            </w:r>
          </w:p>
        </w:tc>
      </w:tr>
    </w:tbl>
    <w:p w:rsidR="00861BFA" w:rsidRPr="008C0DCC" w:rsidRDefault="00861BFA" w:rsidP="008C0DCC">
      <w:pPr>
        <w:pStyle w:val="H23GR"/>
      </w:pPr>
      <w:r w:rsidRPr="008C0DCC">
        <w:tab/>
      </w:r>
      <w:r w:rsidRPr="008C0DCC">
        <w:tab/>
        <w:t>Судебные органы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/>
      </w:tblPr>
      <w:tblGrid>
        <w:gridCol w:w="1588"/>
        <w:gridCol w:w="1984"/>
        <w:gridCol w:w="2097"/>
        <w:gridCol w:w="1701"/>
      </w:tblGrid>
      <w:tr w:rsidR="00861BFA" w:rsidRPr="006A068C" w:rsidTr="00924443">
        <w:trPr>
          <w:tblHeader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Общий бюджет </w:t>
            </w:r>
            <w:r w:rsidR="00351552" w:rsidRPr="00924443">
              <w:rPr>
                <w:i/>
                <w:sz w:val="16"/>
              </w:rPr>
              <w:br/>
            </w:r>
            <w:r w:rsidRPr="00924443">
              <w:rPr>
                <w:i/>
                <w:sz w:val="16"/>
              </w:rPr>
              <w:t>(в евро)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 xml:space="preserve">Судебные органы </w:t>
            </w:r>
            <w:r w:rsidR="00351552" w:rsidRPr="00924443">
              <w:rPr>
                <w:i/>
                <w:sz w:val="16"/>
              </w:rPr>
              <w:br/>
            </w:r>
            <w:r w:rsidRPr="00924443">
              <w:rPr>
                <w:i/>
                <w:sz w:val="16"/>
              </w:rPr>
              <w:t>(в евро)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924443">
              <w:rPr>
                <w:i/>
                <w:sz w:val="16"/>
              </w:rPr>
              <w:t>%</w:t>
            </w:r>
          </w:p>
        </w:tc>
      </w:tr>
      <w:tr w:rsidR="00861BFA" w:rsidRPr="006A068C" w:rsidTr="00924443"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2009 год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7 746 961 077 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25 756 787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0,33</w:t>
            </w:r>
          </w:p>
        </w:tc>
      </w:tr>
      <w:tr w:rsidR="00861BFA" w:rsidRPr="006A068C" w:rsidTr="00924443">
        <w:tc>
          <w:tcPr>
            <w:tcW w:w="158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2010 год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7 718 239 821 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25 512 449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0,33</w:t>
            </w:r>
          </w:p>
        </w:tc>
      </w:tr>
      <w:tr w:rsidR="00861BFA" w:rsidRPr="006A068C" w:rsidTr="00924443">
        <w:tc>
          <w:tcPr>
            <w:tcW w:w="158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2011 год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8 008 714 983 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26 599 869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0,33</w:t>
            </w:r>
          </w:p>
        </w:tc>
      </w:tr>
      <w:tr w:rsidR="00861BFA" w:rsidRPr="006A068C" w:rsidTr="00924443">
        <w:tc>
          <w:tcPr>
            <w:tcW w:w="158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2012 год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8 257 831 260 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26 548 440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0,32</w:t>
            </w:r>
          </w:p>
        </w:tc>
      </w:tr>
      <w:tr w:rsidR="00861BFA" w:rsidRPr="006A068C" w:rsidTr="00924443">
        <w:tc>
          <w:tcPr>
            <w:tcW w:w="1588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rPr>
                <w:sz w:val="18"/>
              </w:rPr>
            </w:pPr>
            <w:r w:rsidRPr="00924443">
              <w:rPr>
                <w:sz w:val="18"/>
              </w:rPr>
              <w:t>2013 год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9 513 378 945 </w:t>
            </w:r>
          </w:p>
        </w:tc>
        <w:tc>
          <w:tcPr>
            <w:tcW w:w="2097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 xml:space="preserve">27 375 949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1BFA" w:rsidRPr="00924443" w:rsidRDefault="00861BFA" w:rsidP="00924443">
            <w:pPr>
              <w:spacing w:before="40" w:after="40"/>
              <w:jc w:val="right"/>
              <w:rPr>
                <w:sz w:val="18"/>
              </w:rPr>
            </w:pPr>
            <w:r w:rsidRPr="00924443">
              <w:rPr>
                <w:sz w:val="18"/>
              </w:rPr>
              <w:t>0,29</w:t>
            </w:r>
          </w:p>
        </w:tc>
      </w:tr>
    </w:tbl>
    <w:p w:rsidR="00861BFA" w:rsidRPr="00861BFA" w:rsidRDefault="00861BFA" w:rsidP="00563B57">
      <w:pPr>
        <w:pStyle w:val="SingleTxtGR"/>
        <w:spacing w:before="120"/>
      </w:pPr>
      <w:r w:rsidRPr="00861BFA">
        <w:t>83.</w:t>
      </w:r>
      <w:r w:rsidRPr="00861BFA">
        <w:tab/>
        <w:t>Максимальные и средние сроки предварительного заключения: макс</w:t>
      </w:r>
      <w:r w:rsidRPr="00861BFA">
        <w:t>и</w:t>
      </w:r>
      <w:r w:rsidRPr="00861BFA">
        <w:t>мальный срок не установлен.</w:t>
      </w:r>
    </w:p>
    <w:p w:rsidR="00861BFA" w:rsidRPr="00861BFA" w:rsidRDefault="00861BFA" w:rsidP="0020401C">
      <w:pPr>
        <w:pStyle w:val="SingleTxtGR"/>
      </w:pPr>
      <w:r w:rsidRPr="00861BFA">
        <w:t>84.</w:t>
      </w:r>
      <w:r w:rsidRPr="00861BFA">
        <w:tab/>
        <w:t>Показатели, касающиеся политической системы</w:t>
      </w:r>
      <w:r w:rsidR="00351552">
        <w:t>:</w:t>
      </w:r>
    </w:p>
    <w:p w:rsidR="00861BFA" w:rsidRPr="00861BFA" w:rsidRDefault="00861BFA" w:rsidP="00563B57">
      <w:pPr>
        <w:pStyle w:val="Bullet1GR"/>
      </w:pPr>
      <w:r w:rsidRPr="00861BFA">
        <w:t>Число признанных политических партий на общенациональном уровне: 10 (десять)</w:t>
      </w:r>
    </w:p>
    <w:p w:rsidR="00861BFA" w:rsidRPr="00861BFA" w:rsidRDefault="00861BFA" w:rsidP="00563B57">
      <w:pPr>
        <w:pStyle w:val="Bullet1GR"/>
      </w:pPr>
      <w:r w:rsidRPr="00861BFA">
        <w:t>Доля населения, имеющего право участвовать в голосовании: 62% от о</w:t>
      </w:r>
      <w:r w:rsidRPr="00861BFA">
        <w:t>б</w:t>
      </w:r>
      <w:r w:rsidRPr="00861BFA">
        <w:t xml:space="preserve">щей численности населения </w:t>
      </w:r>
    </w:p>
    <w:p w:rsidR="00861BFA" w:rsidRPr="00861BFA" w:rsidRDefault="00861BFA" w:rsidP="00563B57">
      <w:pPr>
        <w:pStyle w:val="Bullet1GR"/>
      </w:pPr>
      <w:r w:rsidRPr="00861BFA">
        <w:t>Число зарегистрированных жалоб в связи с проведением выборов в ра</w:t>
      </w:r>
      <w:r w:rsidRPr="00861BFA">
        <w:t>з</w:t>
      </w:r>
      <w:r w:rsidRPr="00861BFA">
        <w:t xml:space="preserve">бивке по типам предполагаемых нарушений: отсутствуют </w:t>
      </w:r>
    </w:p>
    <w:p w:rsidR="00861BFA" w:rsidRPr="00861BFA" w:rsidRDefault="00861BFA" w:rsidP="00563B57">
      <w:pPr>
        <w:pStyle w:val="Bullet1GR"/>
      </w:pPr>
      <w:r w:rsidRPr="00861BFA">
        <w:t>Распределение мест в парламенте в разбивке по партиям:</w:t>
      </w:r>
    </w:p>
    <w:p w:rsidR="00861BFA" w:rsidRPr="00861BFA" w:rsidRDefault="00861BFA" w:rsidP="00351552">
      <w:pPr>
        <w:pStyle w:val="Bullet2GR"/>
      </w:pPr>
      <w:r w:rsidRPr="00861BFA">
        <w:t xml:space="preserve">Демократический сбор (Диси): 20 </w:t>
      </w:r>
    </w:p>
    <w:p w:rsidR="00861BFA" w:rsidRPr="00861BFA" w:rsidRDefault="00861BFA" w:rsidP="00351552">
      <w:pPr>
        <w:pStyle w:val="Bullet2GR"/>
      </w:pPr>
      <w:r w:rsidRPr="00861BFA">
        <w:t>Прогрессивная партия трудового народа (АКЕЛ)</w:t>
      </w:r>
      <w:r w:rsidR="00101135">
        <w:t xml:space="preserve"> − </w:t>
      </w:r>
      <w:r w:rsidRPr="00861BFA">
        <w:t>Левые Новые силы: 19</w:t>
      </w:r>
    </w:p>
    <w:p w:rsidR="00861BFA" w:rsidRPr="00861BFA" w:rsidRDefault="00861BFA" w:rsidP="00351552">
      <w:pPr>
        <w:pStyle w:val="Bullet2GR"/>
      </w:pPr>
      <w:r w:rsidRPr="00861BFA">
        <w:t xml:space="preserve">Демократическая партия (Дико): 8 </w:t>
      </w:r>
    </w:p>
    <w:p w:rsidR="00861BFA" w:rsidRPr="00861BFA" w:rsidRDefault="00861BFA" w:rsidP="00351552">
      <w:pPr>
        <w:pStyle w:val="Bullet2GR"/>
      </w:pPr>
      <w:r w:rsidRPr="00861BFA">
        <w:t>Движение за социал-демократию (ЭДЭК): 5</w:t>
      </w:r>
    </w:p>
    <w:p w:rsidR="00861BFA" w:rsidRPr="00861BFA" w:rsidRDefault="00861BFA" w:rsidP="00351552">
      <w:pPr>
        <w:pStyle w:val="Bullet2GR"/>
      </w:pPr>
      <w:r w:rsidRPr="00861BFA">
        <w:t>Европейская партия: 1</w:t>
      </w:r>
    </w:p>
    <w:p w:rsidR="00861BFA" w:rsidRPr="00861BFA" w:rsidRDefault="00861BFA" w:rsidP="00351552">
      <w:pPr>
        <w:pStyle w:val="Bullet2GR"/>
      </w:pPr>
      <w:r w:rsidRPr="00861BFA">
        <w:t>Кипрская партия зеленых: 1</w:t>
      </w:r>
    </w:p>
    <w:p w:rsidR="00861BFA" w:rsidRPr="00861BFA" w:rsidRDefault="00861BFA" w:rsidP="00351552">
      <w:pPr>
        <w:pStyle w:val="Bullet2GR"/>
      </w:pPr>
      <w:r w:rsidRPr="00861BFA">
        <w:t xml:space="preserve">Независимые: 1 </w:t>
      </w:r>
    </w:p>
    <w:p w:rsidR="00861BFA" w:rsidRPr="00861BFA" w:rsidRDefault="00861BFA" w:rsidP="00351552">
      <w:pPr>
        <w:pStyle w:val="Bullet2GR"/>
      </w:pPr>
      <w:r w:rsidRPr="00861BFA">
        <w:t>Союз граждан: 1</w:t>
      </w:r>
    </w:p>
    <w:p w:rsidR="00861BFA" w:rsidRPr="00861BFA" w:rsidRDefault="00861BFA" w:rsidP="00351552">
      <w:pPr>
        <w:pStyle w:val="Bullet2GR"/>
      </w:pPr>
      <w:r w:rsidRPr="00861BFA">
        <w:t>Общее число мест: 56</w:t>
      </w:r>
    </w:p>
    <w:p w:rsidR="00861BFA" w:rsidRPr="00861BFA" w:rsidRDefault="00861BFA" w:rsidP="00563B57">
      <w:pPr>
        <w:pStyle w:val="Bullet1GR"/>
      </w:pPr>
      <w:r w:rsidRPr="00861BFA">
        <w:t>Доля женщин среди депутатов парламента:12,5%</w:t>
      </w:r>
    </w:p>
    <w:p w:rsidR="00861BFA" w:rsidRPr="00861BFA" w:rsidRDefault="00861BFA" w:rsidP="00563B57">
      <w:pPr>
        <w:pStyle w:val="Bullet1GR"/>
      </w:pPr>
      <w:r w:rsidRPr="00861BFA">
        <w:t>Явка на президентских выборах 2013 года: 81,5%/Явка на европейских выборах 2014 года: 43,97%</w:t>
      </w:r>
    </w:p>
    <w:p w:rsidR="00861BFA" w:rsidRPr="00861BFA" w:rsidRDefault="00861BFA" w:rsidP="00563B57">
      <w:pPr>
        <w:pStyle w:val="Bullet1GR"/>
      </w:pPr>
      <w:r w:rsidRPr="00861BFA">
        <w:t>Количество признанных неправительственных организаций: 378</w:t>
      </w:r>
    </w:p>
    <w:p w:rsidR="00861BFA" w:rsidRPr="00861BFA" w:rsidRDefault="00861BFA" w:rsidP="00563B57">
      <w:pPr>
        <w:pStyle w:val="Bullet1GR"/>
      </w:pPr>
      <w:r w:rsidRPr="00861BFA">
        <w:t xml:space="preserve">Основные средства массовой информации </w:t>
      </w:r>
    </w:p>
    <w:p w:rsidR="00861BFA" w:rsidRPr="00861BFA" w:rsidRDefault="00861BFA" w:rsidP="00351552">
      <w:pPr>
        <w:pStyle w:val="Bullet2GR"/>
      </w:pPr>
      <w:r w:rsidRPr="00861BFA">
        <w:rPr>
          <w:b/>
        </w:rPr>
        <w:t>Телевизионные каналы</w:t>
      </w:r>
      <w:r w:rsidRPr="00861BFA">
        <w:t xml:space="preserve">: </w:t>
      </w:r>
      <w:r w:rsidR="0029430D" w:rsidRPr="00861BFA">
        <w:t>"Антена" (ANT1 TV), "Астра ФМ", "К</w:t>
      </w:r>
      <w:r w:rsidR="0029430D" w:rsidRPr="00861BFA">
        <w:t>а</w:t>
      </w:r>
      <w:r w:rsidR="0029430D" w:rsidRPr="00861BFA">
        <w:t>питал ТВ", "Сайпрус бродкастинг корпорэйшн 1" (RIK 1) и 2</w:t>
      </w:r>
      <w:r w:rsidR="00351552">
        <w:t> </w:t>
      </w:r>
      <w:r w:rsidR="0029430D" w:rsidRPr="00861BFA">
        <w:t>(RIK2), "Ситавижн", "Люмьер ТВ" (LTV), "Мега ТВ", "Сигма ТВ", "Плас ТВ".</w:t>
      </w:r>
    </w:p>
    <w:p w:rsidR="00861BFA" w:rsidRPr="00861BFA" w:rsidRDefault="00861BFA" w:rsidP="00351552">
      <w:pPr>
        <w:pStyle w:val="Bullet2GR"/>
      </w:pPr>
      <w:r w:rsidRPr="00861BFA">
        <w:rPr>
          <w:b/>
        </w:rPr>
        <w:t>Радиостанции</w:t>
      </w:r>
      <w:r w:rsidRPr="00861BFA">
        <w:t>: "Антена ФМ" (ANT1 FM), "Сайпрус бродкастинг корпорэйшн"</w:t>
      </w:r>
      <w:r w:rsidR="00101135">
        <w:t xml:space="preserve"> − </w:t>
      </w:r>
      <w:r w:rsidRPr="00861BFA">
        <w:t xml:space="preserve">"Радио 1", Радио 2", "Радио 3", "Радио 4", "Логос", "Радио Прото". </w:t>
      </w:r>
    </w:p>
    <w:p w:rsidR="00861BFA" w:rsidRPr="00861BFA" w:rsidRDefault="00861BFA" w:rsidP="00351552">
      <w:pPr>
        <w:pStyle w:val="Bullet2GR"/>
      </w:pPr>
      <w:r w:rsidRPr="00861BFA">
        <w:rPr>
          <w:b/>
        </w:rPr>
        <w:t>Газеты</w:t>
      </w:r>
      <w:r w:rsidRPr="00861BFA">
        <w:t>: "Алитиа", "Антилогос", "Сайпрус Мэйл", "Гноми", "Х</w:t>
      </w:r>
      <w:r w:rsidRPr="00861BFA">
        <w:t>а</w:t>
      </w:r>
      <w:r w:rsidRPr="00861BFA">
        <w:t>равджи", "И Симерини", "Катимерини", "Макси", "Филелефтерос", "Политис", "Зе Сайпрус Дейли", "Зе Сайпрус Уикли", "То Киприако Понтики".</w:t>
      </w:r>
      <w:bookmarkStart w:id="21" w:name="_Hlt390334561"/>
      <w:bookmarkStart w:id="22" w:name="_Hlt390334562"/>
      <w:bookmarkEnd w:id="21"/>
      <w:bookmarkEnd w:id="22"/>
    </w:p>
    <w:p w:rsidR="00861BFA" w:rsidRPr="00861BFA" w:rsidRDefault="00861BFA" w:rsidP="00563B57">
      <w:pPr>
        <w:pStyle w:val="HChGR"/>
      </w:pPr>
      <w:r w:rsidRPr="00861BFA">
        <w:tab/>
        <w:t>ΙΙI.</w:t>
      </w:r>
      <w:r w:rsidRPr="00861BFA">
        <w:tab/>
        <w:t>Общие рамки защиты и поощрения прав человека</w:t>
      </w:r>
    </w:p>
    <w:p w:rsidR="00861BFA" w:rsidRPr="00627938" w:rsidRDefault="00861BFA" w:rsidP="00627938">
      <w:pPr>
        <w:pStyle w:val="H1GR"/>
      </w:pPr>
      <w:r w:rsidRPr="00627938">
        <w:tab/>
        <w:t xml:space="preserve">A. </w:t>
      </w:r>
      <w:r w:rsidR="00563B57">
        <w:tab/>
      </w:r>
      <w:r w:rsidRPr="00627938">
        <w:t xml:space="preserve">Принятие международных норм в области прав человека </w:t>
      </w:r>
    </w:p>
    <w:p w:rsidR="00861BFA" w:rsidRPr="00861BFA" w:rsidRDefault="00861BFA" w:rsidP="0020401C">
      <w:pPr>
        <w:pStyle w:val="SingleTxtGR"/>
      </w:pPr>
      <w:r w:rsidRPr="00861BFA">
        <w:t>85.</w:t>
      </w:r>
      <w:r w:rsidRPr="00861BFA">
        <w:tab/>
        <w:t>Соблюдение и защита прав человека являются для Республики Кипр о</w:t>
      </w:r>
      <w:r w:rsidRPr="00861BFA">
        <w:t>д</w:t>
      </w:r>
      <w:r w:rsidRPr="00861BFA">
        <w:t>ним из важнейших приоритетов. Права человека защищаются на самом выс</w:t>
      </w:r>
      <w:r w:rsidRPr="00861BFA">
        <w:t>о</w:t>
      </w:r>
      <w:r w:rsidRPr="00861BFA">
        <w:t>ком уровне. В Конституции Республики закреплены основные права и свободы, которые также фигурируют в международных и европейских конвенциях в о</w:t>
      </w:r>
      <w:r w:rsidRPr="00861BFA">
        <w:t>б</w:t>
      </w:r>
      <w:r w:rsidRPr="00861BFA">
        <w:t xml:space="preserve">ласти прав человека. </w:t>
      </w:r>
    </w:p>
    <w:p w:rsidR="00861BFA" w:rsidRPr="00861BFA" w:rsidRDefault="00861BFA" w:rsidP="0020401C">
      <w:pPr>
        <w:pStyle w:val="SingleTxtGR"/>
      </w:pPr>
      <w:r w:rsidRPr="00861BFA">
        <w:t>86.</w:t>
      </w:r>
      <w:r w:rsidRPr="00861BFA">
        <w:tab/>
        <w:t>Сразу после освобождения от колониального господства Кипр стал пр</w:t>
      </w:r>
      <w:r w:rsidRPr="00861BFA">
        <w:t>и</w:t>
      </w:r>
      <w:r w:rsidRPr="00861BFA">
        <w:t>давать жизненно важное значение международному праву и особенно нормам, касающимся прав человека. Ввиду преимущественной силы международных договоров нормы международного права прав человека обогатили и укрепили внутреннее законодательство, защищающее права и свободы человека. В силу этого одна из первых задач новой Республики заключалась в том, чтобы ра</w:t>
      </w:r>
      <w:r w:rsidRPr="00861BFA">
        <w:t>с</w:t>
      </w:r>
      <w:r w:rsidRPr="00861BFA">
        <w:t>смотреть договоры, унаследованные ею от Соединенного Королевства Велик</w:t>
      </w:r>
      <w:r w:rsidRPr="00861BFA">
        <w:t>о</w:t>
      </w:r>
      <w:r w:rsidRPr="00861BFA">
        <w:t>британии и Северной Ирландии, в соответствующих случаях уведомить о своем правопреемстве в отношении этих договоров и одновременно рассмотреть де</w:t>
      </w:r>
      <w:r w:rsidRPr="00861BFA">
        <w:t>й</w:t>
      </w:r>
      <w:r w:rsidRPr="00861BFA">
        <w:t>ствующие региональные и универсальные договоры о правах человека и рат</w:t>
      </w:r>
      <w:r w:rsidRPr="00861BFA">
        <w:t>и</w:t>
      </w:r>
      <w:r w:rsidRPr="00861BFA">
        <w:t xml:space="preserve">фицировать практически все такие договоры или присоединиться к ним. </w:t>
      </w:r>
    </w:p>
    <w:p w:rsidR="00861BFA" w:rsidRPr="00861BFA" w:rsidRDefault="00861BFA" w:rsidP="0020401C">
      <w:pPr>
        <w:pStyle w:val="SingleTxtGR"/>
      </w:pPr>
      <w:r w:rsidRPr="00861BFA">
        <w:t>87.</w:t>
      </w:r>
      <w:r w:rsidRPr="00861BFA">
        <w:tab/>
        <w:t>Такая политика проводится вплоть до настоящего времени. Основопол</w:t>
      </w:r>
      <w:r w:rsidRPr="00861BFA">
        <w:t>а</w:t>
      </w:r>
      <w:r w:rsidRPr="00861BFA">
        <w:t>гающим моментом в международных отношениях Кипра является признание верховенства международного права, целей и принципов Устава Организации Объединенных Наций и особенно положений о мирном урегулировании спо</w:t>
      </w:r>
      <w:r w:rsidRPr="00861BFA">
        <w:t>р</w:t>
      </w:r>
      <w:r w:rsidRPr="00861BFA">
        <w:t>ных вопросов на основе уважения прав и основных свобод человека.</w:t>
      </w:r>
    </w:p>
    <w:p w:rsidR="00861BFA" w:rsidRPr="00861BFA" w:rsidRDefault="00861BFA" w:rsidP="0020401C">
      <w:pPr>
        <w:pStyle w:val="SingleTxtGR"/>
      </w:pPr>
      <w:r w:rsidRPr="00861BFA">
        <w:t>88.</w:t>
      </w:r>
      <w:r w:rsidRPr="00861BFA">
        <w:tab/>
        <w:t>Кипр стал участником всех ключевых международных договоров и бол</w:t>
      </w:r>
      <w:r w:rsidRPr="00861BFA">
        <w:t>ь</w:t>
      </w:r>
      <w:r w:rsidRPr="00861BFA">
        <w:t xml:space="preserve">шинства международных и европейских соглашений в области прав человека. Нормы и обязательства по этим договорам стали составной частью правовой базы Кипра. </w:t>
      </w:r>
    </w:p>
    <w:p w:rsidR="00861BFA" w:rsidRPr="00861BFA" w:rsidRDefault="00861BFA" w:rsidP="0020401C">
      <w:pPr>
        <w:pStyle w:val="SingleTxtGR"/>
      </w:pPr>
      <w:r w:rsidRPr="00861BFA">
        <w:t>89.</w:t>
      </w:r>
      <w:r w:rsidRPr="00861BFA">
        <w:tab/>
        <w:t xml:space="preserve">В </w:t>
      </w:r>
      <w:r w:rsidRPr="00861BFA">
        <w:rPr>
          <w:b/>
        </w:rPr>
        <w:t>приложении V</w:t>
      </w:r>
      <w:r w:rsidRPr="00861BFA">
        <w:t xml:space="preserve"> к настоящему документу содержится исчерпывающая информация о ратификации основных международных и региональных согл</w:t>
      </w:r>
      <w:r w:rsidRPr="00861BFA">
        <w:t>а</w:t>
      </w:r>
      <w:r w:rsidRPr="00861BFA">
        <w:t>шений в области прав человека (поправки и факультативные процедуры), а также прочая информация, касающаяся в том числе деклараций, оговорок и возражений.</w:t>
      </w:r>
    </w:p>
    <w:p w:rsidR="00861BFA" w:rsidRPr="00627938" w:rsidRDefault="00861BFA" w:rsidP="00627938">
      <w:pPr>
        <w:pStyle w:val="H1GR"/>
      </w:pPr>
      <w:r w:rsidRPr="00627938">
        <w:tab/>
        <w:t xml:space="preserve">B. </w:t>
      </w:r>
      <w:r w:rsidR="00563B57">
        <w:tab/>
      </w:r>
      <w:r w:rsidRPr="00627938">
        <w:t>Правовые рамки защиты прав человека на национальном уровне</w:t>
      </w:r>
    </w:p>
    <w:p w:rsidR="00861BFA" w:rsidRPr="00861BFA" w:rsidRDefault="00861BFA" w:rsidP="0020401C">
      <w:pPr>
        <w:pStyle w:val="SingleTxtGR"/>
      </w:pPr>
      <w:r w:rsidRPr="00861BFA">
        <w:t>90.</w:t>
      </w:r>
      <w:r w:rsidRPr="00861BFA">
        <w:tab/>
        <w:t>Основу правовой системы Кипра составляют обычное право и принципы справедливости, которые применялись на момент провозглашения независим</w:t>
      </w:r>
      <w:r w:rsidRPr="00861BFA">
        <w:t>о</w:t>
      </w:r>
      <w:r w:rsidRPr="00861BFA">
        <w:t>сти и впоследствии изменялись или дополнялись законодательными актами Республики и прецедентным правом. Кроме того, после приобретения незав</w:t>
      </w:r>
      <w:r w:rsidRPr="00861BFA">
        <w:t>и</w:t>
      </w:r>
      <w:r w:rsidRPr="00861BFA">
        <w:t>симости наблюдалось распространение и развитие континентального админ</w:t>
      </w:r>
      <w:r w:rsidRPr="00861BFA">
        <w:t>и</w:t>
      </w:r>
      <w:r w:rsidRPr="00861BFA">
        <w:t>стративного и конституционного права. Конституционная структура Кипра, в</w:t>
      </w:r>
      <w:r w:rsidRPr="00861BFA">
        <w:t>о</w:t>
      </w:r>
      <w:r w:rsidRPr="00861BFA">
        <w:t>площает в себе все нормы, необходимые для поощрения и защиты прав челов</w:t>
      </w:r>
      <w:r w:rsidRPr="00861BFA">
        <w:t>е</w:t>
      </w:r>
      <w:r w:rsidRPr="00861BFA">
        <w:t>ка, и обеспечивает разделение ветвей власти и независимость судебной сист</w:t>
      </w:r>
      <w:r w:rsidRPr="00861BFA">
        <w:t>е</w:t>
      </w:r>
      <w:r w:rsidRPr="00861BFA">
        <w:t>мы.</w:t>
      </w:r>
    </w:p>
    <w:p w:rsidR="00861BFA" w:rsidRPr="00861BFA" w:rsidRDefault="00861BFA" w:rsidP="0020401C">
      <w:pPr>
        <w:pStyle w:val="SingleTxtGR"/>
      </w:pPr>
      <w:r w:rsidRPr="00861BFA">
        <w:t>91.</w:t>
      </w:r>
      <w:r w:rsidRPr="00861BFA">
        <w:tab/>
        <w:t>Конституция 1960 года, высший закон Республики, является главным д</w:t>
      </w:r>
      <w:r w:rsidRPr="00861BFA">
        <w:t>о</w:t>
      </w:r>
      <w:r w:rsidRPr="00861BFA">
        <w:t>кументом, который обеспечивает признание и защиту прав человека. Часть II Конституции, озаглавленная "Основные права и свободы", строится и развив</w:t>
      </w:r>
      <w:r w:rsidRPr="00861BFA">
        <w:t>а</w:t>
      </w:r>
      <w:r w:rsidRPr="00861BFA">
        <w:t xml:space="preserve">ется на основе Всеобщей декларации прав человека и Европейской конвенции о правах человека. </w:t>
      </w:r>
    </w:p>
    <w:p w:rsidR="00861BFA" w:rsidRPr="00861BFA" w:rsidRDefault="00861BFA" w:rsidP="0020401C">
      <w:pPr>
        <w:pStyle w:val="SingleTxtGR"/>
      </w:pPr>
      <w:r w:rsidRPr="00861BFA">
        <w:t>92.</w:t>
      </w:r>
      <w:r w:rsidRPr="00861BFA">
        <w:tab/>
        <w:t>Хотя статья 35 Конституции обязывает все законодательные, исполн</w:t>
      </w:r>
      <w:r w:rsidRPr="00861BFA">
        <w:t>и</w:t>
      </w:r>
      <w:r w:rsidRPr="00861BFA">
        <w:t>тельные и судебные органы обеспечивать в пределах их соответствующей ко</w:t>
      </w:r>
      <w:r w:rsidRPr="00861BFA">
        <w:t>м</w:t>
      </w:r>
      <w:r w:rsidRPr="00861BFA">
        <w:t>петенции эффективное осуществление прав человека, главным гарантом осно</w:t>
      </w:r>
      <w:r w:rsidRPr="00861BFA">
        <w:t>в</w:t>
      </w:r>
      <w:r w:rsidRPr="00861BFA">
        <w:t>ных прав и свобод человека является полностью независимая судебная система.</w:t>
      </w:r>
    </w:p>
    <w:p w:rsidR="00861BFA" w:rsidRPr="00861BFA" w:rsidRDefault="00861BFA" w:rsidP="0020401C">
      <w:pPr>
        <w:pStyle w:val="SingleTxtGR"/>
      </w:pPr>
      <w:r w:rsidRPr="00861BFA">
        <w:t>93.</w:t>
      </w:r>
      <w:r w:rsidRPr="00861BFA">
        <w:tab/>
        <w:t>Все законы, и особенно уголовные правовые и процессуальные нормы, должны обеспечивать и обеспечивают защиту основных прав. Есть множество примеров, когда законы, нарушающие права человека тем или иным образом, либо их положения были объявлены неконституционными Верховным судом после констатации их несоответствия.</w:t>
      </w:r>
    </w:p>
    <w:p w:rsidR="00861BFA" w:rsidRPr="00861BFA" w:rsidRDefault="00861BFA" w:rsidP="0020401C">
      <w:pPr>
        <w:pStyle w:val="SingleTxtGR"/>
      </w:pPr>
      <w:r w:rsidRPr="00861BFA">
        <w:t>94.</w:t>
      </w:r>
      <w:r w:rsidRPr="00861BFA">
        <w:tab/>
        <w:t>Любые ущемления или ограничения прав человека, гарантированных в соответствии с Конституцией, должны быть предусмотрены законодательством и быть абсолютно необходимыми исключительно в интересах безопасности Республики, конституционного порядка, общественной безопасности, общ</w:t>
      </w:r>
      <w:r w:rsidRPr="00861BFA">
        <w:t>е</w:t>
      </w:r>
      <w:r w:rsidRPr="00861BFA">
        <w:t xml:space="preserve">ственного порядка и здоровья населения либо для защиты прав, гарантируемых Конституцией любому лицу. Положения, касающиеся таких ущемлений или ограничений, подлежат строгому толкованию. В рамках дела </w:t>
      </w:r>
      <w:r w:rsidRPr="00E358C9">
        <w:rPr>
          <w:i/>
        </w:rPr>
        <w:t>Фина сайпрус лтд. против Республики</w:t>
      </w:r>
      <w:r w:rsidRPr="00861BFA">
        <w:t xml:space="preserve"> (RSCC, vol. 4, p. 33) Верховный конституционный суд п</w:t>
      </w:r>
      <w:r w:rsidRPr="00861BFA">
        <w:t>о</w:t>
      </w:r>
      <w:r w:rsidRPr="00861BFA">
        <w:t>становил, что законодательство, противоречащее основным правам и свободам, гарантируемым в соответствии с Конституцией, и их содержанию, регулируется на основе принципа, согласно которому в случае возникновения сомнений т</w:t>
      </w:r>
      <w:r w:rsidRPr="00861BFA">
        <w:t>а</w:t>
      </w:r>
      <w:r w:rsidRPr="00861BFA">
        <w:t>кие положения надлежит истолковывать в пользу вышеупомянутых прав и св</w:t>
      </w:r>
      <w:r w:rsidRPr="00861BFA">
        <w:t>о</w:t>
      </w:r>
      <w:r w:rsidRPr="00861BFA">
        <w:t>бод.</w:t>
      </w:r>
    </w:p>
    <w:p w:rsidR="00861BFA" w:rsidRPr="00861BFA" w:rsidRDefault="00861BFA" w:rsidP="0020401C">
      <w:pPr>
        <w:pStyle w:val="SingleTxtGR"/>
      </w:pPr>
      <w:r w:rsidRPr="00861BFA">
        <w:t>95.</w:t>
      </w:r>
      <w:r w:rsidRPr="00861BFA">
        <w:tab/>
        <w:t>В любых случаях, когда Конституция или другие договоры предусматр</w:t>
      </w:r>
      <w:r w:rsidRPr="00861BFA">
        <w:t>и</w:t>
      </w:r>
      <w:r w:rsidRPr="00861BFA">
        <w:t>вают принятие позитивных мер в отношении некоторых, главным образом с</w:t>
      </w:r>
      <w:r w:rsidRPr="00861BFA">
        <w:t>о</w:t>
      </w:r>
      <w:r w:rsidRPr="00861BFA">
        <w:t xml:space="preserve">циальных, экономических и культурных прав, такие меры должны приниматься в течение разумного периода времени. </w:t>
      </w:r>
    </w:p>
    <w:p w:rsidR="00861BFA" w:rsidRPr="00861BFA" w:rsidRDefault="00861BFA" w:rsidP="0020401C">
      <w:pPr>
        <w:pStyle w:val="SingleTxtGR"/>
      </w:pPr>
      <w:r w:rsidRPr="00861BFA">
        <w:t>96.</w:t>
      </w:r>
      <w:r w:rsidRPr="00861BFA">
        <w:tab/>
        <w:t>В распоряжении лиц, заявляющих о нарушении их прав, имеются след</w:t>
      </w:r>
      <w:r w:rsidRPr="00861BFA">
        <w:t>у</w:t>
      </w:r>
      <w:r w:rsidRPr="00861BFA">
        <w:t>ющие средства правовой защиты:</w:t>
      </w:r>
    </w:p>
    <w:p w:rsidR="00861BFA" w:rsidRPr="00861BFA" w:rsidRDefault="00861BFA" w:rsidP="00563B57">
      <w:pPr>
        <w:pStyle w:val="Bullet1GR"/>
      </w:pPr>
      <w:r w:rsidRPr="00861BFA">
        <w:t>право на подачу петиции и последовательное обращение в различные и</w:t>
      </w:r>
      <w:r w:rsidRPr="00861BFA">
        <w:t>н</w:t>
      </w:r>
      <w:r w:rsidRPr="00861BFA">
        <w:t>станции, начиная с низшей;</w:t>
      </w:r>
    </w:p>
    <w:p w:rsidR="00861BFA" w:rsidRPr="00861BFA" w:rsidRDefault="00861BFA" w:rsidP="00563B57">
      <w:pPr>
        <w:pStyle w:val="Bullet1GR"/>
      </w:pPr>
      <w:r w:rsidRPr="00861BFA">
        <w:t xml:space="preserve">обращение в Верховный суд для отмены любых решений, а также в связи с действием или бездействием какого-либо органа или учреждения (как первоначальной, так и кассационной юрисдикции); </w:t>
      </w:r>
    </w:p>
    <w:p w:rsidR="00861BFA" w:rsidRPr="00861BFA" w:rsidRDefault="00861BFA" w:rsidP="00563B57">
      <w:pPr>
        <w:pStyle w:val="Bullet1GR"/>
      </w:pPr>
      <w:r w:rsidRPr="00861BFA">
        <w:t>постановка стороной, участвующей в любом судебном разбирательстве, вопроса о неконституционности какого-либо закона или решения, в связи с чем при определенных условиях суд обязан передать этот вопрос Ве</w:t>
      </w:r>
      <w:r w:rsidRPr="00861BFA">
        <w:t>р</w:t>
      </w:r>
      <w:r w:rsidRPr="00861BFA">
        <w:t xml:space="preserve">ховному суду для принятия решения и приостановить разбирательство; </w:t>
      </w:r>
    </w:p>
    <w:p w:rsidR="00861BFA" w:rsidRPr="00861BFA" w:rsidRDefault="00861BFA" w:rsidP="00563B57">
      <w:pPr>
        <w:pStyle w:val="Bullet1GR"/>
      </w:pPr>
      <w:r w:rsidRPr="00861BFA">
        <w:t>подача гражданского иска с требованием компенсации, возмещения и д</w:t>
      </w:r>
      <w:r w:rsidRPr="00861BFA">
        <w:t>е</w:t>
      </w:r>
      <w:r w:rsidRPr="00861BFA">
        <w:t xml:space="preserve">клараторного решения. При возможности возникновения непоправимого ущерба может быть вынесен судебный запрет; </w:t>
      </w:r>
    </w:p>
    <w:p w:rsidR="00861BFA" w:rsidRPr="00861BFA" w:rsidRDefault="00861BFA" w:rsidP="00563B57">
      <w:pPr>
        <w:pStyle w:val="Bullet1GR"/>
      </w:pPr>
      <w:r w:rsidRPr="00861BFA">
        <w:t>уголовное преследование в частном порядке;</w:t>
      </w:r>
    </w:p>
    <w:p w:rsidR="00861BFA" w:rsidRPr="00861BFA" w:rsidRDefault="00861BFA" w:rsidP="00563B57">
      <w:pPr>
        <w:pStyle w:val="Bullet1GR"/>
      </w:pPr>
      <w:r w:rsidRPr="00861BFA">
        <w:t>право подачи апелляции как в гражданских, так и в уголовных делах;</w:t>
      </w:r>
    </w:p>
    <w:p w:rsidR="00861BFA" w:rsidRPr="00861BFA" w:rsidRDefault="00861BFA" w:rsidP="00563B57">
      <w:pPr>
        <w:pStyle w:val="Bullet1GR"/>
      </w:pPr>
      <w:r w:rsidRPr="00861BFA">
        <w:t>относящие к соответствующей компетенции судебные приказы хабеас корпус, certiorari, запрет, mandamus и quo warranto;</w:t>
      </w:r>
    </w:p>
    <w:p w:rsidR="00861BFA" w:rsidRPr="00861BFA" w:rsidRDefault="00861BFA" w:rsidP="00563B57">
      <w:pPr>
        <w:pStyle w:val="Bullet1GR"/>
      </w:pPr>
      <w:r w:rsidRPr="00861BFA">
        <w:t>суды, осуществляющие уголовную юрисдикцию, могут присуждать жер</w:t>
      </w:r>
      <w:r w:rsidRPr="00861BFA">
        <w:t>т</w:t>
      </w:r>
      <w:r w:rsidRPr="00861BFA">
        <w:t>вам преступлений компенсацию, которая в случае судов присяжных м</w:t>
      </w:r>
      <w:r w:rsidRPr="00861BFA">
        <w:t>о</w:t>
      </w:r>
      <w:r w:rsidRPr="00861BFA">
        <w:t xml:space="preserve">жет составлять 10 000 евро; </w:t>
      </w:r>
    </w:p>
    <w:p w:rsidR="00861BFA" w:rsidRPr="00861BFA" w:rsidRDefault="00861BFA" w:rsidP="00563B57">
      <w:pPr>
        <w:pStyle w:val="Bullet1GR"/>
      </w:pPr>
      <w:r w:rsidRPr="00861BFA">
        <w:t>Республика несет также ответственность за любое противоправное де</w:t>
      </w:r>
      <w:r w:rsidRPr="00861BFA">
        <w:t>й</w:t>
      </w:r>
      <w:r w:rsidRPr="00861BFA">
        <w:t>ствие или бездействие, которое приводит к нанесению ущерба в процессе исполнения или предполагаемого исполнения обязанностей ее должнос</w:t>
      </w:r>
      <w:r w:rsidRPr="00861BFA">
        <w:t>т</w:t>
      </w:r>
      <w:r w:rsidRPr="00861BFA">
        <w:t>ными лицами или органами;</w:t>
      </w:r>
    </w:p>
    <w:p w:rsidR="00861BFA" w:rsidRPr="00861BFA" w:rsidRDefault="00861BFA" w:rsidP="00563B57">
      <w:pPr>
        <w:pStyle w:val="Bullet1GR"/>
      </w:pPr>
      <w:r w:rsidRPr="00861BFA">
        <w:t>Совет министров может создавать следственную комиссию для провед</w:t>
      </w:r>
      <w:r w:rsidRPr="00861BFA">
        <w:t>е</w:t>
      </w:r>
      <w:r w:rsidRPr="00861BFA">
        <w:t>ния расследования и представления доклада по серьезным обвинениям в противоправных действиях, включая нарушения прав человека;</w:t>
      </w:r>
    </w:p>
    <w:p w:rsidR="00861BFA" w:rsidRPr="00861BFA" w:rsidRDefault="00861BFA" w:rsidP="00563B57">
      <w:pPr>
        <w:pStyle w:val="Bullet1GR"/>
      </w:pPr>
      <w:r w:rsidRPr="00861BFA">
        <w:t>Палата представителей и ее комитеты при осуществлении своих фун</w:t>
      </w:r>
      <w:r w:rsidRPr="00861BFA">
        <w:t>к</w:t>
      </w:r>
      <w:r w:rsidRPr="00861BFA">
        <w:t>ций, в том числе парламентского контроля, во многих случаях рассматр</w:t>
      </w:r>
      <w:r w:rsidRPr="00861BFA">
        <w:t>и</w:t>
      </w:r>
      <w:r w:rsidRPr="00861BFA">
        <w:t>вают заявления или ситуации, связанные с нарушением прав человека;</w:t>
      </w:r>
    </w:p>
    <w:p w:rsidR="00861BFA" w:rsidRPr="00861BFA" w:rsidRDefault="00861BFA" w:rsidP="00563B57">
      <w:pPr>
        <w:pStyle w:val="Bullet1GR"/>
      </w:pPr>
      <w:r w:rsidRPr="00861BFA">
        <w:t>Генеральный прокурор Республики несет особую ответственность за обеспечение соблюдения законности и правопорядка и нередко может proprio motu или по просьбе истца распорядиться о проведении расслед</w:t>
      </w:r>
      <w:r w:rsidRPr="00861BFA">
        <w:t>о</w:t>
      </w:r>
      <w:r w:rsidRPr="00861BFA">
        <w:t>вания или сформулировать рекомендации в отношении средств правовой защиты;</w:t>
      </w:r>
    </w:p>
    <w:p w:rsidR="00861BFA" w:rsidRPr="00861BFA" w:rsidRDefault="00861BFA" w:rsidP="00563B57">
      <w:pPr>
        <w:pStyle w:val="Bullet1GR"/>
      </w:pPr>
      <w:r w:rsidRPr="00861BFA">
        <w:t>Уполномоченный (Омбудсмен) по вопросам администрации обладает, в частности, компетенцией рассматривать жалобы частных лиц на наруш</w:t>
      </w:r>
      <w:r w:rsidRPr="00861BFA">
        <w:t>е</w:t>
      </w:r>
      <w:r w:rsidRPr="00861BFA">
        <w:t>ния их прав администрацией или на то, что администрация действовала в нарушение законодательства либо в обстоятельствах, равнозначных н</w:t>
      </w:r>
      <w:r w:rsidRPr="00861BFA">
        <w:t>е</w:t>
      </w:r>
      <w:r w:rsidRPr="00861BFA">
        <w:t>адекватному управлению. Кроме того, ввиду расширения своих полном</w:t>
      </w:r>
      <w:r w:rsidRPr="00861BFA">
        <w:t>о</w:t>
      </w:r>
      <w:r w:rsidRPr="00861BFA">
        <w:t>чий Уполномоченный по вопросам администрации рассматривает жал</w:t>
      </w:r>
      <w:r w:rsidRPr="00861BFA">
        <w:t>о</w:t>
      </w:r>
      <w:r w:rsidRPr="00861BFA">
        <w:t>бы, касающиеся дискриминации по признаку расы, принадлежности к соответствующей общине, языка, цвета кожи, религии, политических или иных убеждений, этнического или национального происхождения и в ц</w:t>
      </w:r>
      <w:r w:rsidRPr="00861BFA">
        <w:t>е</w:t>
      </w:r>
      <w:r w:rsidRPr="00861BFA">
        <w:t>лом поощрения равного обращения в сфере занятости, социальной защ</w:t>
      </w:r>
      <w:r w:rsidRPr="00861BFA">
        <w:t>и</w:t>
      </w:r>
      <w:r w:rsidRPr="00861BFA">
        <w:t>ты, социального страхования, социального обеспечения, здравоохран</w:t>
      </w:r>
      <w:r w:rsidRPr="00861BFA">
        <w:t>е</w:t>
      </w:r>
      <w:r w:rsidRPr="00861BFA">
        <w:t>ния, образования, участия в профсоюзах и профессиональных организ</w:t>
      </w:r>
      <w:r w:rsidRPr="00861BFA">
        <w:t>а</w:t>
      </w:r>
      <w:r w:rsidRPr="00861BFA">
        <w:t xml:space="preserve">циях и доступа к товарам и услугам, в том числе к жилью; </w:t>
      </w:r>
    </w:p>
    <w:p w:rsidR="00861BFA" w:rsidRPr="00861BFA" w:rsidRDefault="00861BFA" w:rsidP="00563B57">
      <w:pPr>
        <w:pStyle w:val="Bullet1GR"/>
      </w:pPr>
      <w:r w:rsidRPr="00861BFA">
        <w:t>Независимый орган по рассмотрению обвинений и жалоб в отношении сотрудников полиции уполномочен расследовать и рассматривать иски, направленные против сотрудников полиции. Этот орган является незав</w:t>
      </w:r>
      <w:r w:rsidRPr="00861BFA">
        <w:t>и</w:t>
      </w:r>
      <w:r w:rsidRPr="00861BFA">
        <w:t>симым и состоит из членов, обладающих высокими моральными кач</w:t>
      </w:r>
      <w:r w:rsidRPr="00861BFA">
        <w:t>е</w:t>
      </w:r>
      <w:r w:rsidRPr="00861BFA">
        <w:t>ствами и квалификацией и назначенных Президентом Республики;</w:t>
      </w:r>
    </w:p>
    <w:p w:rsidR="00861BFA" w:rsidRPr="00861BFA" w:rsidRDefault="00861BFA" w:rsidP="00563B57">
      <w:pPr>
        <w:pStyle w:val="Bullet1GR"/>
      </w:pPr>
      <w:r w:rsidRPr="00861BFA">
        <w:t>исчерпав внутренние средства правовой защиты, каждый может в уст</w:t>
      </w:r>
      <w:r w:rsidRPr="00861BFA">
        <w:t>а</w:t>
      </w:r>
      <w:r w:rsidRPr="00861BFA">
        <w:t>новленном порядке обратиться за помощью или представить сообщение в соответствии с факультативными процедурами, предусмотренными в ра</w:t>
      </w:r>
      <w:r w:rsidRPr="00861BFA">
        <w:t>з</w:t>
      </w:r>
      <w:r w:rsidRPr="00861BFA">
        <w:t>личных международных договорах о правах человека, например в Ме</w:t>
      </w:r>
      <w:r w:rsidRPr="00861BFA">
        <w:t>ж</w:t>
      </w:r>
      <w:r w:rsidRPr="00861BFA">
        <w:t>дународной конвенции о ликвидации всех форм расовой дискриминации; Факультативном протоколе к Конвенции о ликвидации всех форм ди</w:t>
      </w:r>
      <w:r w:rsidRPr="00861BFA">
        <w:t>с</w:t>
      </w:r>
      <w:r w:rsidRPr="00861BFA">
        <w:t>криминации в отношении женщин; Конвенции о защите прав человека и основных свобод (Европейской конвенции о правах человека); Факульт</w:t>
      </w:r>
      <w:r w:rsidRPr="00861BFA">
        <w:t>а</w:t>
      </w:r>
      <w:r w:rsidRPr="00861BFA">
        <w:t>тивном протоколе к Международному пакту о гражданских и политич</w:t>
      </w:r>
      <w:r w:rsidRPr="00861BFA">
        <w:t>е</w:t>
      </w:r>
      <w:r w:rsidRPr="00861BFA">
        <w:t>ских правах; Международной конвенции против пыток и других жест</w:t>
      </w:r>
      <w:r w:rsidRPr="00861BFA">
        <w:t>о</w:t>
      </w:r>
      <w:r w:rsidRPr="00861BFA">
        <w:t xml:space="preserve">ких, бесчеловечных или унижающих достоинство видов обращения и наказания; </w:t>
      </w:r>
    </w:p>
    <w:p w:rsidR="00861BFA" w:rsidRPr="00861BFA" w:rsidRDefault="00861BFA" w:rsidP="00563B57">
      <w:pPr>
        <w:pStyle w:val="Bullet1GR"/>
      </w:pPr>
      <w:r w:rsidRPr="00861BFA">
        <w:t>Кипр также признал обязательную юрисдикцию Европейского суда по правам человека и факультативную оговорку об обязательной юрисди</w:t>
      </w:r>
      <w:r w:rsidRPr="00861BFA">
        <w:t>к</w:t>
      </w:r>
      <w:r w:rsidRPr="00861BFA">
        <w:t>ции, содержащуюся в пункте 2 статьи 36 Статута Международного Суда.</w:t>
      </w:r>
    </w:p>
    <w:p w:rsidR="00861BFA" w:rsidRPr="00861BFA" w:rsidRDefault="00861BFA" w:rsidP="0020401C">
      <w:pPr>
        <w:pStyle w:val="SingleTxtGR"/>
      </w:pPr>
      <w:r w:rsidRPr="00861BFA">
        <w:t>97.</w:t>
      </w:r>
      <w:r w:rsidRPr="00861BFA">
        <w:tab/>
        <w:t>В случае возникновения войны или общественной опасности, угрожа</w:t>
      </w:r>
      <w:r w:rsidRPr="00861BFA">
        <w:t>ю</w:t>
      </w:r>
      <w:r w:rsidRPr="00861BFA">
        <w:t>щей Республике или какой-либо ее части, соблюдение некоторых основных прав, гарантированных и определенных Конституцией, может быть приост</w:t>
      </w:r>
      <w:r w:rsidRPr="00861BFA">
        <w:t>а</w:t>
      </w:r>
      <w:r w:rsidRPr="00861BFA">
        <w:t>новлено в период действия чрезвычайного положения, о введении которого объявляет Совет министров. Вопрос об объявлении чрезвычайного положения должен быть вынесен на рассмотрение Палаты представителей, которая вправе отклонить его. Ниже перечислены права, действие которых может быть пр</w:t>
      </w:r>
      <w:r w:rsidRPr="00861BFA">
        <w:t>и</w:t>
      </w:r>
      <w:r w:rsidRPr="00861BFA">
        <w:t>остановлено:</w:t>
      </w:r>
    </w:p>
    <w:p w:rsidR="00861BFA" w:rsidRPr="00861BFA" w:rsidRDefault="00861BFA" w:rsidP="00563B57">
      <w:pPr>
        <w:pStyle w:val="Bullet1GR"/>
      </w:pPr>
      <w:r w:rsidRPr="00861BFA">
        <w:t>запрещение принудительного и обязательного труда;</w:t>
      </w:r>
    </w:p>
    <w:p w:rsidR="00861BFA" w:rsidRPr="00861BFA" w:rsidRDefault="00861BFA" w:rsidP="00563B57">
      <w:pPr>
        <w:pStyle w:val="Bullet1GR"/>
      </w:pPr>
      <w:r w:rsidRPr="00861BFA">
        <w:t>право на свободу и личную неприкосновенность;</w:t>
      </w:r>
    </w:p>
    <w:p w:rsidR="00861BFA" w:rsidRPr="00861BFA" w:rsidRDefault="00861BFA" w:rsidP="00563B57">
      <w:pPr>
        <w:pStyle w:val="Bullet1GR"/>
      </w:pPr>
      <w:r w:rsidRPr="00861BFA">
        <w:t>свобода передвижения;</w:t>
      </w:r>
    </w:p>
    <w:p w:rsidR="00861BFA" w:rsidRPr="00861BFA" w:rsidRDefault="00861BFA" w:rsidP="00563B57">
      <w:pPr>
        <w:pStyle w:val="Bullet1GR"/>
      </w:pPr>
      <w:r w:rsidRPr="00861BFA">
        <w:t>неприкосновенность жилища;</w:t>
      </w:r>
    </w:p>
    <w:p w:rsidR="00861BFA" w:rsidRPr="00861BFA" w:rsidRDefault="00861BFA" w:rsidP="00563B57">
      <w:pPr>
        <w:pStyle w:val="Bullet1GR"/>
      </w:pPr>
      <w:r w:rsidRPr="00861BFA">
        <w:t>тайна переписки;</w:t>
      </w:r>
    </w:p>
    <w:p w:rsidR="00861BFA" w:rsidRPr="00861BFA" w:rsidRDefault="00861BFA" w:rsidP="00563B57">
      <w:pPr>
        <w:pStyle w:val="Bullet1GR"/>
      </w:pPr>
      <w:r w:rsidRPr="00861BFA">
        <w:t>свобода слова и выражения мнений;</w:t>
      </w:r>
    </w:p>
    <w:p w:rsidR="00861BFA" w:rsidRPr="00861BFA" w:rsidRDefault="00861BFA" w:rsidP="00563B57">
      <w:pPr>
        <w:pStyle w:val="Bullet1GR"/>
      </w:pPr>
      <w:r w:rsidRPr="00861BFA">
        <w:t>право на мирные собрания и на свободу ассоциации;</w:t>
      </w:r>
    </w:p>
    <w:p w:rsidR="00861BFA" w:rsidRPr="00861BFA" w:rsidRDefault="00861BFA" w:rsidP="00563B57">
      <w:pPr>
        <w:pStyle w:val="Bullet1GR"/>
      </w:pPr>
      <w:r w:rsidRPr="00861BFA">
        <w:t>право собственности только в той степени, в которой это касается сво</w:t>
      </w:r>
      <w:r w:rsidRPr="00861BFA">
        <w:t>е</w:t>
      </w:r>
      <w:r w:rsidRPr="00861BFA">
        <w:t>временной</w:t>
      </w:r>
      <w:r w:rsidR="00E358C9">
        <w:t>;</w:t>
      </w:r>
    </w:p>
    <w:p w:rsidR="00861BFA" w:rsidRPr="00861BFA" w:rsidRDefault="00861BFA" w:rsidP="00563B57">
      <w:pPr>
        <w:pStyle w:val="Bullet1GR"/>
      </w:pPr>
      <w:r w:rsidRPr="00861BFA">
        <w:t>выплаты компенсации за реквизицию;</w:t>
      </w:r>
    </w:p>
    <w:p w:rsidR="00861BFA" w:rsidRPr="00861BFA" w:rsidRDefault="00861BFA" w:rsidP="00563B57">
      <w:pPr>
        <w:pStyle w:val="Bullet1GR"/>
      </w:pPr>
      <w:r w:rsidRPr="00861BFA">
        <w:t>право выбирать любую профессию или заниматься любым видом пре</w:t>
      </w:r>
      <w:r w:rsidRPr="00861BFA">
        <w:t>д</w:t>
      </w:r>
      <w:r w:rsidRPr="00861BFA">
        <w:t>принимательства;</w:t>
      </w:r>
    </w:p>
    <w:p w:rsidR="00861BFA" w:rsidRPr="00861BFA" w:rsidRDefault="00861BFA" w:rsidP="00563B57">
      <w:pPr>
        <w:pStyle w:val="Bullet1GR"/>
      </w:pPr>
      <w:r w:rsidRPr="00861BFA">
        <w:t xml:space="preserve">право на забастовку. </w:t>
      </w:r>
    </w:p>
    <w:p w:rsidR="00861BFA" w:rsidRPr="00861BFA" w:rsidRDefault="00861BFA" w:rsidP="0020401C">
      <w:pPr>
        <w:pStyle w:val="SingleTxtGR"/>
      </w:pPr>
      <w:r w:rsidRPr="00861BFA">
        <w:t>98.</w:t>
      </w:r>
      <w:r w:rsidRPr="00861BFA">
        <w:tab/>
        <w:t>Следует отметить, что после приобретения страной независимости на Кипре никогда не объявлялось чрезвычайное положение, даже тогда, когда страна подверглась вторжению со стороны Турции и часть ее была и остается оккупирована.</w:t>
      </w:r>
    </w:p>
    <w:p w:rsidR="00861BFA" w:rsidRPr="00861BFA" w:rsidRDefault="00861BFA" w:rsidP="0020401C">
      <w:pPr>
        <w:pStyle w:val="SingleTxtGR"/>
      </w:pPr>
      <w:r w:rsidRPr="00861BFA">
        <w:t>99.</w:t>
      </w:r>
      <w:r w:rsidRPr="00861BFA">
        <w:tab/>
        <w:t>Международные конвенции, которые ратифицировала Республика или к которым она присоединилась, инкорпорируются во внутреннее законодател</w:t>
      </w:r>
      <w:r w:rsidRPr="00861BFA">
        <w:t>ь</w:t>
      </w:r>
      <w:r w:rsidRPr="00861BFA">
        <w:t>ство Республики и с момента их публикации в "Официальном вестнике" пол</w:t>
      </w:r>
      <w:r w:rsidRPr="00861BFA">
        <w:t>ь</w:t>
      </w:r>
      <w:r w:rsidRPr="00861BFA">
        <w:t>зуются приоритетом над любым внутренним законом. Такие конвенции неп</w:t>
      </w:r>
      <w:r w:rsidRPr="00861BFA">
        <w:t>о</w:t>
      </w:r>
      <w:r w:rsidRPr="00861BFA">
        <w:t>средственно применимы в Республике и ссылки на их положения допускаются и фактически делаются в судах и административных органах (см. решение Ве</w:t>
      </w:r>
      <w:r w:rsidRPr="00861BFA">
        <w:t>р</w:t>
      </w:r>
      <w:r w:rsidRPr="00861BFA">
        <w:t xml:space="preserve">ховного суда по гражданской апелляции № 6616 </w:t>
      </w:r>
      <w:r w:rsidRPr="00E358C9">
        <w:rPr>
          <w:i/>
        </w:rPr>
        <w:t>Малахтоу против Алонефт</w:t>
      </w:r>
      <w:r w:rsidRPr="00E358C9">
        <w:rPr>
          <w:i/>
        </w:rPr>
        <w:t>и</w:t>
      </w:r>
      <w:r w:rsidRPr="00E358C9">
        <w:rPr>
          <w:i/>
        </w:rPr>
        <w:t>са</w:t>
      </w:r>
      <w:r w:rsidRPr="00861BFA">
        <w:t>, 20 января 1986 года). Если международная конвенция содержит положения, сами по себе не имеющие исполнительной силы, то по закону законодатель об</w:t>
      </w:r>
      <w:r w:rsidRPr="00861BFA">
        <w:t>я</w:t>
      </w:r>
      <w:r w:rsidRPr="00861BFA">
        <w:t>зан принять соответствующий нормативный акт для согласования внутреннего закона с положениями такой конвенции и обеспечения ее полного применения.</w:t>
      </w:r>
    </w:p>
    <w:p w:rsidR="00861BFA" w:rsidRPr="00627938" w:rsidRDefault="00861BFA" w:rsidP="00627938">
      <w:pPr>
        <w:pStyle w:val="H1GR"/>
      </w:pPr>
      <w:r w:rsidRPr="00627938">
        <w:tab/>
        <w:t xml:space="preserve">C. </w:t>
      </w:r>
      <w:r w:rsidR="00A90A94">
        <w:tab/>
      </w:r>
      <w:r w:rsidRPr="00627938">
        <w:t>Правовые рамки поощрения прав человека на национальном уровне</w:t>
      </w:r>
    </w:p>
    <w:p w:rsidR="00861BFA" w:rsidRPr="00861BFA" w:rsidRDefault="00861BFA" w:rsidP="0020401C">
      <w:pPr>
        <w:pStyle w:val="SingleTxtGR"/>
      </w:pPr>
      <w:r w:rsidRPr="00861BFA">
        <w:t>100.</w:t>
      </w:r>
      <w:r w:rsidRPr="00861BFA">
        <w:tab/>
        <w:t>Кипр следует принципам плюралистической демократии, основанной на полном уважении прав и свобод личности. Он последовательно стремится д</w:t>
      </w:r>
      <w:r w:rsidRPr="00861BFA">
        <w:t>о</w:t>
      </w:r>
      <w:r w:rsidRPr="00861BFA">
        <w:t>биться более значительного прогресса в области прав человека в фактически контролируемых им районах путем создания соответствующих институтов для защиты всего спектра прав человека.</w:t>
      </w:r>
    </w:p>
    <w:p w:rsidR="00861BFA" w:rsidRPr="00861BFA" w:rsidRDefault="00861BFA" w:rsidP="0020401C">
      <w:pPr>
        <w:pStyle w:val="SingleTxtGR"/>
      </w:pPr>
      <w:r w:rsidRPr="00861BFA">
        <w:t>101.</w:t>
      </w:r>
      <w:r w:rsidRPr="00861BFA">
        <w:tab/>
        <w:t>Парламентский комитет по правам человека и равным возможностям мужчин и женщин (ПКПЧРВМЖ) является парламентским механизмом мон</w:t>
      </w:r>
      <w:r w:rsidRPr="00861BFA">
        <w:t>и</w:t>
      </w:r>
      <w:r w:rsidRPr="00861BFA">
        <w:t>торинга соблюдения прав человека. Он рассматривает вопросы применения г</w:t>
      </w:r>
      <w:r w:rsidRPr="00861BFA">
        <w:t>а</w:t>
      </w:r>
      <w:r w:rsidRPr="00861BFA">
        <w:t>рантирующих права человека положений Конституции, международных дог</w:t>
      </w:r>
      <w:r w:rsidRPr="00861BFA">
        <w:t>о</w:t>
      </w:r>
      <w:r w:rsidRPr="00861BFA">
        <w:t>воров и национальных законов. Комитет занимается вопросам нарушения прав человека всех лиц, проживающих на Кипре, и выносит соответствующие д</w:t>
      </w:r>
      <w:r w:rsidRPr="00861BFA">
        <w:t>о</w:t>
      </w:r>
      <w:r w:rsidRPr="00861BFA">
        <w:t>клады на рассмотрение пленарного заседания Палаты представителей. ПКПЧРВМЖ периодически рассматривает вопросы, касающиеся насилия в с</w:t>
      </w:r>
      <w:r w:rsidRPr="00861BFA">
        <w:t>е</w:t>
      </w:r>
      <w:r w:rsidRPr="00861BFA">
        <w:t>мье, торговли людьми, безработицы, миграции, молодежи, прав детей, прав женщин и прав инвалидов.</w:t>
      </w:r>
    </w:p>
    <w:p w:rsidR="00861BFA" w:rsidRPr="00861BFA" w:rsidRDefault="00861BFA" w:rsidP="0020401C">
      <w:pPr>
        <w:pStyle w:val="SingleTxtGR"/>
      </w:pPr>
      <w:r w:rsidRPr="00861BFA">
        <w:t>102.</w:t>
      </w:r>
      <w:r w:rsidRPr="00861BFA">
        <w:tab/>
        <w:t>Управление Уполномоченного по вопросам администрации и правам ч</w:t>
      </w:r>
      <w:r w:rsidRPr="00861BFA">
        <w:t>е</w:t>
      </w:r>
      <w:r w:rsidRPr="00861BFA">
        <w:t>ловека (Омбудсмена) было учреждено в 199</w:t>
      </w:r>
      <w:r w:rsidR="00A90A94">
        <w:t>1 году в соответствии с Зак</w:t>
      </w:r>
      <w:r w:rsidR="00A90A94">
        <w:t>о</w:t>
      </w:r>
      <w:r w:rsidR="00A90A94">
        <w:t>ном </w:t>
      </w:r>
      <w:r w:rsidRPr="00861BFA">
        <w:t>3</w:t>
      </w:r>
      <w:r w:rsidR="00E358C9">
        <w:t>(</w:t>
      </w:r>
      <w:r w:rsidRPr="00861BFA">
        <w:t>I)/1991 в качестве независимого органа, в обязанности которого входит рассмотрение жалоб от физических лиц, касающихся недобросовестного адм</w:t>
      </w:r>
      <w:r w:rsidRPr="00861BFA">
        <w:t>и</w:t>
      </w:r>
      <w:r w:rsidRPr="00861BFA">
        <w:t>нистрирования, неправомерного поведения и нарушения прав человека со ст</w:t>
      </w:r>
      <w:r w:rsidRPr="00861BFA">
        <w:t>о</w:t>
      </w:r>
      <w:r w:rsidRPr="00861BFA">
        <w:t>роны государственных органов и служащих. Впоследствии обязанности Омбудсмена были расширены Законом 1</w:t>
      </w:r>
      <w:r w:rsidR="00E358C9">
        <w:t>(</w:t>
      </w:r>
      <w:r w:rsidRPr="00861BFA">
        <w:t>I)/2000, который наделил его полном</w:t>
      </w:r>
      <w:r w:rsidRPr="00861BFA">
        <w:t>о</w:t>
      </w:r>
      <w:r w:rsidRPr="00861BFA">
        <w:t>чиями по расследованию ex proprio motu вопросов, сопряженных с общим и</w:t>
      </w:r>
      <w:r w:rsidRPr="00861BFA">
        <w:t>н</w:t>
      </w:r>
      <w:r w:rsidRPr="00861BFA">
        <w:t>тересом. Управление Омбудсмена наиболее часто выступает в качестве мех</w:t>
      </w:r>
      <w:r w:rsidRPr="00861BFA">
        <w:t>а</w:t>
      </w:r>
      <w:r w:rsidRPr="00861BFA">
        <w:t>низма внесудебного контроля администрирования и обеспечения защиты прав человека.</w:t>
      </w:r>
    </w:p>
    <w:p w:rsidR="00861BFA" w:rsidRPr="00861BFA" w:rsidRDefault="00861BFA" w:rsidP="0020401C">
      <w:pPr>
        <w:pStyle w:val="SingleTxtGR"/>
      </w:pPr>
      <w:r w:rsidRPr="00861BFA">
        <w:t>103.</w:t>
      </w:r>
      <w:r w:rsidRPr="00861BFA">
        <w:tab/>
      </w:r>
      <w:r w:rsidRPr="00861BFA">
        <w:rPr>
          <w:b/>
        </w:rPr>
        <w:t>Национальный механизм по предотвращению пыток и других жест</w:t>
      </w:r>
      <w:r w:rsidRPr="00861BFA">
        <w:rPr>
          <w:b/>
        </w:rPr>
        <w:t>о</w:t>
      </w:r>
      <w:r w:rsidRPr="00861BFA">
        <w:rPr>
          <w:b/>
        </w:rPr>
        <w:t>ких, бесчеловечных или унижающих достоинство видов обращения и нак</w:t>
      </w:r>
      <w:r w:rsidRPr="00861BFA">
        <w:rPr>
          <w:b/>
        </w:rPr>
        <w:t>а</w:t>
      </w:r>
      <w:r w:rsidRPr="00861BFA">
        <w:rPr>
          <w:b/>
        </w:rPr>
        <w:t>зания (НМППЖБУДОН)</w:t>
      </w:r>
      <w:r w:rsidRPr="00861BFA">
        <w:t xml:space="preserve"> был учрежден Законом L.2(III)/2009 о ратификации Факультативного протокола к Конвенции против пыток и других жестоких, бе</w:t>
      </w:r>
      <w:r w:rsidRPr="00861BFA">
        <w:t>с</w:t>
      </w:r>
      <w:r w:rsidRPr="00861BFA">
        <w:t>человечных или унижающих достоинство видов обращения и наказания. В к</w:t>
      </w:r>
      <w:r w:rsidRPr="00861BFA">
        <w:t>а</w:t>
      </w:r>
      <w:r w:rsidRPr="00861BFA">
        <w:t>честве НМППЖБУДОН назначен Омбудсмен. Омбудсмен уполномочен беспр</w:t>
      </w:r>
      <w:r w:rsidRPr="00861BFA">
        <w:t>е</w:t>
      </w:r>
      <w:r w:rsidRPr="00861BFA">
        <w:t>пятственно посещать места содержания под стражей в целях проверки собл</w:t>
      </w:r>
      <w:r w:rsidRPr="00861BFA">
        <w:t>ю</w:t>
      </w:r>
      <w:r w:rsidRPr="00861BFA">
        <w:t>дения Конвенции и проводить конфиденциальные личные беседы. Омбудсмен проверяет условия содержания под стражей и составляет соответствующие а</w:t>
      </w:r>
      <w:r w:rsidRPr="00861BFA">
        <w:t>к</w:t>
      </w:r>
      <w:r w:rsidRPr="00861BFA">
        <w:t>ты, а также выносит рекомендации по улучшению условий содержания и пер</w:t>
      </w:r>
      <w:r w:rsidRPr="00861BFA">
        <w:t>е</w:t>
      </w:r>
      <w:r w:rsidRPr="00861BFA">
        <w:t>смотру соответствующего законодательства.</w:t>
      </w:r>
    </w:p>
    <w:p w:rsidR="00861BFA" w:rsidRPr="00861BFA" w:rsidRDefault="00861BFA" w:rsidP="0020401C">
      <w:pPr>
        <w:pStyle w:val="SingleTxtGR"/>
      </w:pPr>
      <w:r w:rsidRPr="00861BFA">
        <w:t>104.</w:t>
      </w:r>
      <w:r w:rsidRPr="00861BFA">
        <w:tab/>
        <w:t>Ниже представлена более подробная информация об основных полож</w:t>
      </w:r>
      <w:r w:rsidRPr="00861BFA">
        <w:t>е</w:t>
      </w:r>
      <w:r w:rsidRPr="00861BFA">
        <w:t xml:space="preserve">ниях закона, касающегося НМППЖБУДОН: 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а) </w:t>
      </w:r>
      <w:r>
        <w:tab/>
      </w:r>
      <w:r w:rsidR="00861BFA" w:rsidRPr="00861BFA">
        <w:t>Уполномоченный по вопросам администрации назначен наци</w:t>
      </w:r>
      <w:r w:rsidR="00861BFA" w:rsidRPr="00861BFA">
        <w:t>о</w:t>
      </w:r>
      <w:r w:rsidR="00861BFA" w:rsidRPr="00861BFA">
        <w:t>нальным органом для посещений, который предусмотрен в Факультативном протоколе и действует в соответствии со статьей 3 Факультативного протокола;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b) </w:t>
      </w:r>
      <w:r>
        <w:tab/>
      </w:r>
      <w:r w:rsidR="00861BFA" w:rsidRPr="00861BFA">
        <w:t>в процессе исполнения этих обязанностей Уполномоченный по в</w:t>
      </w:r>
      <w:r w:rsidR="00861BFA" w:rsidRPr="00861BFA">
        <w:t>о</w:t>
      </w:r>
      <w:r w:rsidR="00861BFA" w:rsidRPr="00861BFA">
        <w:t>просам администрации имеет право после соответствующего письменного ув</w:t>
      </w:r>
      <w:r w:rsidR="00861BFA" w:rsidRPr="00861BFA">
        <w:t>е</w:t>
      </w:r>
      <w:r w:rsidR="00861BFA" w:rsidRPr="00861BFA">
        <w:t>домления свободно и регулярно посещать места содержания под стражей в ц</w:t>
      </w:r>
      <w:r w:rsidR="00861BFA" w:rsidRPr="00861BFA">
        <w:t>е</w:t>
      </w:r>
      <w:r w:rsidR="00861BFA" w:rsidRPr="00861BFA">
        <w:t>лях проверки соблюдения положений Конвенции</w:t>
      </w:r>
      <w:r w:rsidR="00E358C9">
        <w:t>.</w:t>
      </w:r>
      <w:r w:rsidR="00861BFA" w:rsidRPr="00861BFA">
        <w:t xml:space="preserve"> Во время таких посещений Омбудсмен имеет право на беспрепятственный доступ во все помещения и все места содержания под стражей и может проводить конфиденциальные личные беседы с любым лицом по его выбору;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с) </w:t>
      </w:r>
      <w:r>
        <w:tab/>
      </w:r>
      <w:r w:rsidR="00861BFA" w:rsidRPr="00861BFA">
        <w:t>компетентные государственные органы обязаны предоставлять Уполномоченному информацию, указанную в Факультативном протоколе;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d) </w:t>
      </w:r>
      <w:r>
        <w:tab/>
      </w:r>
      <w:r w:rsidR="00861BFA" w:rsidRPr="00861BFA">
        <w:t>Омбудсмен может выносить рекомендации и составлять отчеты, а все компетентные органы, в юрисдикции которых находится то или иное место содержания под стражей, обязаны информировать обо всех мерах, принятых в соответствии с отчетом или рекомендациями Омбудсмена;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е) </w:t>
      </w:r>
      <w:r>
        <w:tab/>
      </w:r>
      <w:r w:rsidR="00861BFA" w:rsidRPr="00861BFA">
        <w:t>Уполномоченный имеет право представлять предложения, напра</w:t>
      </w:r>
      <w:r w:rsidR="00861BFA" w:rsidRPr="00861BFA">
        <w:t>в</w:t>
      </w:r>
      <w:r w:rsidR="00861BFA" w:rsidRPr="00861BFA">
        <w:t>ленные на совершенствование законодательства, или выражать мнения в ходе рассмотрения соответствующих законопроектов в Палате представителей;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f) </w:t>
      </w:r>
      <w:r>
        <w:tab/>
      </w:r>
      <w:r w:rsidR="00861BFA" w:rsidRPr="00861BFA">
        <w:t>Уполномоченный по вопросам администрации может направлять Генеральному прокурору и Независимому органу по рассмотрению обвинений и жалоб в отношении сотрудников полиции жалобы заключенных на нарушения прав человека;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g) </w:t>
      </w:r>
      <w:r>
        <w:tab/>
      </w:r>
      <w:r w:rsidR="00861BFA" w:rsidRPr="00861BFA">
        <w:t>Уполномоченный по вопросам администрации представляет еж</w:t>
      </w:r>
      <w:r w:rsidR="00861BFA" w:rsidRPr="00861BFA">
        <w:t>е</w:t>
      </w:r>
      <w:r w:rsidR="00861BFA" w:rsidRPr="00861BFA">
        <w:t>годный доклад Президенту Республики, а также Совету министров, Палате представителей и Генеральному прокурору, а затем направляет его на публик</w:t>
      </w:r>
      <w:r w:rsidR="00861BFA" w:rsidRPr="00861BFA">
        <w:t>а</w:t>
      </w:r>
      <w:r w:rsidR="00861BFA" w:rsidRPr="00861BFA">
        <w:t>цию;</w:t>
      </w:r>
    </w:p>
    <w:p w:rsidR="00861BFA" w:rsidRPr="00861BFA" w:rsidRDefault="00A90A94" w:rsidP="0020401C">
      <w:pPr>
        <w:pStyle w:val="SingleTxtGR"/>
      </w:pPr>
      <w:r>
        <w:tab/>
      </w:r>
      <w:r w:rsidR="00861BFA" w:rsidRPr="00861BFA">
        <w:t xml:space="preserve">h) </w:t>
      </w:r>
      <w:r>
        <w:tab/>
      </w:r>
      <w:r w:rsidR="00861BFA" w:rsidRPr="00861BFA">
        <w:t>в соответствии с Законом об Уполномоченном по вопросам адм</w:t>
      </w:r>
      <w:r w:rsidR="00861BFA" w:rsidRPr="00861BFA">
        <w:t>и</w:t>
      </w:r>
      <w:r w:rsidR="00861BFA" w:rsidRPr="00861BFA">
        <w:t>нистрации Уполномоченный должен иметь в своем подчинении достаточное число сотрудников, либо любых других дополнительных сотрудников, чья кв</w:t>
      </w:r>
      <w:r w:rsidR="00861BFA" w:rsidRPr="00861BFA">
        <w:t>а</w:t>
      </w:r>
      <w:r w:rsidR="00861BFA" w:rsidRPr="00861BFA">
        <w:t>лификация и условия службы указаны в постановлениях Совета министров и Палаты представителей;</w:t>
      </w:r>
    </w:p>
    <w:p w:rsidR="00861BFA" w:rsidRPr="00861BFA" w:rsidRDefault="00861BFA" w:rsidP="0020401C">
      <w:pPr>
        <w:pStyle w:val="SingleTxtGR"/>
        <w:rPr>
          <w:iCs/>
        </w:rPr>
      </w:pPr>
      <w:r w:rsidRPr="00861BFA">
        <w:rPr>
          <w:iCs/>
        </w:rPr>
        <w:t>105.</w:t>
      </w:r>
      <w:r w:rsidRPr="00861BFA">
        <w:rPr>
          <w:iCs/>
        </w:rPr>
        <w:tab/>
      </w:r>
      <w:r w:rsidRPr="00861BFA">
        <w:t xml:space="preserve">Кроме того, в </w:t>
      </w:r>
      <w:r w:rsidRPr="00E358C9">
        <w:rPr>
          <w:i/>
        </w:rPr>
        <w:t>Закон 2009 года о равном вознаграждении мужчин и же</w:t>
      </w:r>
      <w:r w:rsidRPr="00E358C9">
        <w:rPr>
          <w:i/>
        </w:rPr>
        <w:t>н</w:t>
      </w:r>
      <w:r w:rsidRPr="00E358C9">
        <w:rPr>
          <w:i/>
        </w:rPr>
        <w:t>щин за равный или равноценный труд</w:t>
      </w:r>
      <w:r w:rsidRPr="00861BFA">
        <w:t xml:space="preserve"> [L.177(I)/2002] были внесены поправки Законом L.38(I)/2009, который наделяет Омбудсмена полномочиями проводить независимое разбирательство по жалобам на нарушение принципа равенства мужчин и женщин в части оплаты труда и обеспечивать соблюдение принципа равных возможностей и равного обращения с мужчинами и женщинами в сфере труда и занятости.</w:t>
      </w:r>
    </w:p>
    <w:p w:rsidR="00861BFA" w:rsidRPr="00861BFA" w:rsidRDefault="00861BFA" w:rsidP="0020401C">
      <w:pPr>
        <w:pStyle w:val="SingleTxtGR"/>
      </w:pPr>
      <w:r w:rsidRPr="00861BFA">
        <w:t>106.</w:t>
      </w:r>
      <w:r w:rsidRPr="00861BFA">
        <w:tab/>
        <w:t xml:space="preserve">Таким образом, в рамках реализации системы мер контроля и открытого взаимодействия с компетентными органами Омбудсмен обязан действовать </w:t>
      </w:r>
      <w:r w:rsidR="00A90A94">
        <w:br/>
      </w:r>
      <w:r w:rsidRPr="00861BFA">
        <w:t>"на опережение", особенно в том, что касается случаев пыток и бесчеловечного или унижающего достоинство обращения, представляя соответствующие пре</w:t>
      </w:r>
      <w:r w:rsidRPr="00861BFA">
        <w:t>д</w:t>
      </w:r>
      <w:r w:rsidRPr="00861BFA">
        <w:t>ложения и рекомендации.</w:t>
      </w:r>
    </w:p>
    <w:p w:rsidR="00861BFA" w:rsidRPr="00861BFA" w:rsidRDefault="00861BFA" w:rsidP="0020401C">
      <w:pPr>
        <w:pStyle w:val="SingleTxtGR"/>
      </w:pPr>
      <w:r w:rsidRPr="00861BFA">
        <w:t>107.</w:t>
      </w:r>
      <w:r w:rsidRPr="00861BFA">
        <w:tab/>
        <w:t>В конце 2011 года в результате принятия Закона о внесении поправок [L.158(I)/2011] в основной Закон об Уполномоченном по вопросам администр</w:t>
      </w:r>
      <w:r w:rsidRPr="00861BFA">
        <w:t>а</w:t>
      </w:r>
      <w:r w:rsidRPr="00861BFA">
        <w:t>ции [L.3/1991] функции Кипрского правозащитного учреждения, созданного в 1998 году, были переданы Омбудсмену. Таким образом, Омбудсмен взял на себя роль национального правозащитного учреждения с широкими функциями в о</w:t>
      </w:r>
      <w:r w:rsidRPr="00861BFA">
        <w:t>б</w:t>
      </w:r>
      <w:r w:rsidRPr="00861BFA">
        <w:t>ласти поощрения и защиты прав человека, поддержания и повышения уровня их защиты в Республике и осуществления принципов прав человека со стороны государственных органов. В 2014 году данное учреждение обратилось в Упра</w:t>
      </w:r>
      <w:r w:rsidRPr="00861BFA">
        <w:t>в</w:t>
      </w:r>
      <w:r w:rsidRPr="00861BFA">
        <w:t>ление Верховного комиссара Организации Объединенных Наций по правам ч</w:t>
      </w:r>
      <w:r w:rsidRPr="00861BFA">
        <w:t>е</w:t>
      </w:r>
      <w:r w:rsidRPr="00861BFA">
        <w:t>ловека с просьбой об аккредитации.</w:t>
      </w:r>
    </w:p>
    <w:p w:rsidR="00861BFA" w:rsidRPr="00861BFA" w:rsidRDefault="00861BFA" w:rsidP="0020401C">
      <w:pPr>
        <w:pStyle w:val="SingleTxtGR"/>
      </w:pPr>
      <w:r w:rsidRPr="00861BFA">
        <w:t>108.</w:t>
      </w:r>
      <w:r w:rsidRPr="00861BFA">
        <w:tab/>
        <w:t>В частности, Омбудсмен несет ответственность, в порядке осуществл</w:t>
      </w:r>
      <w:r w:rsidRPr="00861BFA">
        <w:t>е</w:t>
      </w:r>
      <w:r w:rsidRPr="00861BFA">
        <w:t>ния своих собственных полномочий, за представление мнений, рекомендаций, предложений и докладов, которые относятся к следующим областям:</w:t>
      </w:r>
    </w:p>
    <w:p w:rsidR="00861BFA" w:rsidRPr="00861BFA" w:rsidRDefault="00861BFA" w:rsidP="00A90A94">
      <w:pPr>
        <w:pStyle w:val="Bullet1GR"/>
      </w:pPr>
      <w:r w:rsidRPr="00861BFA">
        <w:t>любой случай нарушения прав человека, который он решает рассмотреть;</w:t>
      </w:r>
    </w:p>
    <w:p w:rsidR="00861BFA" w:rsidRPr="00861BFA" w:rsidRDefault="00861BFA" w:rsidP="00A90A94">
      <w:pPr>
        <w:pStyle w:val="Bullet1GR"/>
      </w:pPr>
      <w:r w:rsidRPr="00861BFA">
        <w:t>положение в стране с точки зрения прав человека в целом, а также более конкретных вопросов;</w:t>
      </w:r>
    </w:p>
    <w:p w:rsidR="00861BFA" w:rsidRPr="00861BFA" w:rsidRDefault="00861BFA" w:rsidP="00A90A94">
      <w:pPr>
        <w:pStyle w:val="Bullet1GR"/>
      </w:pPr>
      <w:r w:rsidRPr="00861BFA">
        <w:t>привлечение внимания правительства к случаям нарушения прав челов</w:t>
      </w:r>
      <w:r w:rsidRPr="00861BFA">
        <w:t>е</w:t>
      </w:r>
      <w:r w:rsidRPr="00861BFA">
        <w:t>ка в любой части страны и представление ему предложений относительно мер, направленных на пресечение таких нарушений.</w:t>
      </w:r>
    </w:p>
    <w:p w:rsidR="00861BFA" w:rsidRPr="00861BFA" w:rsidRDefault="00861BFA" w:rsidP="0020401C">
      <w:pPr>
        <w:pStyle w:val="SingleTxtGR"/>
      </w:pPr>
      <w:r w:rsidRPr="00861BFA">
        <w:t>109.</w:t>
      </w:r>
      <w:r w:rsidRPr="00861BFA">
        <w:tab/>
        <w:t>В рамках своих действий в качестве правозащитного учреждения Омбудсмен сотрудничает с Организацией Объединенных Наций и любыми др</w:t>
      </w:r>
      <w:r w:rsidRPr="00861BFA">
        <w:t>у</w:t>
      </w:r>
      <w:r w:rsidRPr="00861BFA">
        <w:t>гими организациями системы Организации Объединенных Наций, регионал</w:t>
      </w:r>
      <w:r w:rsidRPr="00861BFA">
        <w:t>ь</w:t>
      </w:r>
      <w:r w:rsidRPr="00861BFA">
        <w:t>ными учреждениями и национальными учреждениями других стран, комп</w:t>
      </w:r>
      <w:r w:rsidRPr="00861BFA">
        <w:t>е</w:t>
      </w:r>
      <w:r w:rsidRPr="00861BFA">
        <w:t>тентными в вопросах поощрения и защиты прав человека. Кроме того, он пр</w:t>
      </w:r>
      <w:r w:rsidRPr="00861BFA">
        <w:t>о</w:t>
      </w:r>
      <w:r w:rsidRPr="00861BFA">
        <w:t>водит консультации с неправительственными организациями и другими орг</w:t>
      </w:r>
      <w:r w:rsidRPr="00861BFA">
        <w:t>а</w:t>
      </w:r>
      <w:r w:rsidRPr="00861BFA">
        <w:t xml:space="preserve">нами, занимающимися поощрением и защитой прав человека. </w:t>
      </w:r>
    </w:p>
    <w:p w:rsidR="00861BFA" w:rsidRPr="00861BFA" w:rsidRDefault="00861BFA" w:rsidP="0020401C">
      <w:pPr>
        <w:pStyle w:val="SingleTxtGR"/>
      </w:pPr>
      <w:r w:rsidRPr="00861BFA">
        <w:t>110.</w:t>
      </w:r>
      <w:r w:rsidRPr="00861BFA">
        <w:tab/>
        <w:t>Вместе с тем, несмотря на то, что данное учреждение в основном соо</w:t>
      </w:r>
      <w:r w:rsidRPr="00861BFA">
        <w:t>т</w:t>
      </w:r>
      <w:r w:rsidRPr="00861BFA">
        <w:t>ветствует Принципам Организации Объединенных Наций, касающихся статуса национальных учреждений (Парижские принципы), оно еще не аккредитовано при Международном координационном комитете национальных учреждений по правам человека. Ожидается, что в 2014 году Управление направит официал</w:t>
      </w:r>
      <w:r w:rsidRPr="00861BFA">
        <w:t>ь</w:t>
      </w:r>
      <w:r w:rsidRPr="00861BFA">
        <w:t xml:space="preserve">ную просьбу об аккредитации. </w:t>
      </w:r>
    </w:p>
    <w:p w:rsidR="00861BFA" w:rsidRPr="00861BFA" w:rsidRDefault="00861BFA" w:rsidP="0020401C">
      <w:pPr>
        <w:pStyle w:val="SingleTxtGR"/>
      </w:pPr>
      <w:r w:rsidRPr="00861BFA">
        <w:t>111.</w:t>
      </w:r>
      <w:r w:rsidRPr="00861BFA">
        <w:tab/>
        <w:t>Следует также отметить, что функции по рассмотрению действующего законодательства и административных положений, а также законопроектов и предложений и предоставление рекомендаций для обеспечения того, чтобы эти положения соответствовали международным обязательствам страны в области прав человека, по-прежнему возложены на Генерального прокурора Республ</w:t>
      </w:r>
      <w:r w:rsidRPr="00861BFA">
        <w:t>и</w:t>
      </w:r>
      <w:r w:rsidRPr="00861BFA">
        <w:t>ки.</w:t>
      </w:r>
    </w:p>
    <w:p w:rsidR="00861BFA" w:rsidRPr="00861BFA" w:rsidRDefault="00861BFA" w:rsidP="0020401C">
      <w:pPr>
        <w:pStyle w:val="SingleTxtGR"/>
      </w:pPr>
      <w:r w:rsidRPr="00861BFA">
        <w:t>112.</w:t>
      </w:r>
      <w:r w:rsidRPr="00861BFA">
        <w:tab/>
        <w:t>В соответствии постановлением Совета министров от 9 мая 2012 года функции независимого механизма в плане поощрения, защиты прав инвалидов и наблюдения за осуществлением Конвенции о правах инвалидов (КПИ), с</w:t>
      </w:r>
      <w:r w:rsidRPr="00861BFA">
        <w:t>о</w:t>
      </w:r>
      <w:r w:rsidRPr="00861BFA">
        <w:t xml:space="preserve">гласно статье 33 (2) Конвенции, также возлагаются на Омбудсмена. После этого был учрежден Независимый орган по поощрению прав инвалидов, который стал мощной движущей силой в поддержку уже осуществляемых усилий в этой и других областях, что обусловлено возникновением разнообразных и сложных новых функций. </w:t>
      </w:r>
    </w:p>
    <w:p w:rsidR="00861BFA" w:rsidRPr="00861BFA" w:rsidRDefault="00861BFA" w:rsidP="0020401C">
      <w:pPr>
        <w:pStyle w:val="SingleTxtGR"/>
      </w:pPr>
      <w:r w:rsidRPr="00861BFA">
        <w:t>113.</w:t>
      </w:r>
      <w:r w:rsidRPr="00861BFA">
        <w:tab/>
        <w:t>Говоря более подробно, такие функции, порученные данному механизму наблюдения за осуществлением Конвенции на Кипре, включают в себя, среди прочего:</w:t>
      </w:r>
    </w:p>
    <w:p w:rsidR="00861BFA" w:rsidRPr="00861BFA" w:rsidRDefault="00861BFA" w:rsidP="00A90A94">
      <w:pPr>
        <w:pStyle w:val="Bullet1GR"/>
      </w:pPr>
      <w:r w:rsidRPr="00861BFA">
        <w:t>проведение расследований и сбор данных/информации в ходе наблюд</w:t>
      </w:r>
      <w:r w:rsidRPr="00861BFA">
        <w:t>е</w:t>
      </w:r>
      <w:r w:rsidRPr="00861BFA">
        <w:t>ния за осуществлением Конвенции и содействие осуществлению прав ч</w:t>
      </w:r>
      <w:r w:rsidRPr="00861BFA">
        <w:t>е</w:t>
      </w:r>
      <w:r w:rsidRPr="00861BFA">
        <w:t>ловека инвалидов на равной основе с другими лицами;</w:t>
      </w:r>
    </w:p>
    <w:p w:rsidR="00861BFA" w:rsidRPr="00861BFA" w:rsidRDefault="00861BFA" w:rsidP="00A90A94">
      <w:pPr>
        <w:pStyle w:val="Bullet1GR"/>
      </w:pPr>
      <w:r w:rsidRPr="00861BFA">
        <w:t>рассмотрение вопросов, связанных с дискриминацией и предполагаем</w:t>
      </w:r>
      <w:r w:rsidRPr="00861BFA">
        <w:t>ы</w:t>
      </w:r>
      <w:r w:rsidRPr="00861BFA">
        <w:t>ми нарушениями прав человека, на основе proprio motu или после пре</w:t>
      </w:r>
      <w:r w:rsidRPr="00861BFA">
        <w:t>д</w:t>
      </w:r>
      <w:r w:rsidRPr="00861BFA">
        <w:t>ставления индивидуальных жалоб. Могут проводиться консультации со всеми причастными к этому сторонами, а при необходимости − налагат</w:t>
      </w:r>
      <w:r w:rsidRPr="00861BFA">
        <w:t>ь</w:t>
      </w:r>
      <w:r w:rsidRPr="00861BFA">
        <w:t>ся штрафы в случае незаконной дискриминации и нарушения прав инв</w:t>
      </w:r>
      <w:r w:rsidRPr="00861BFA">
        <w:t>а</w:t>
      </w:r>
      <w:r w:rsidRPr="00861BFA">
        <w:t>лидов, в рамках соответствующей законодательной базы;</w:t>
      </w:r>
    </w:p>
    <w:p w:rsidR="00861BFA" w:rsidRPr="00861BFA" w:rsidRDefault="00861BFA" w:rsidP="00A90A94">
      <w:pPr>
        <w:pStyle w:val="Bullet1GR"/>
      </w:pPr>
      <w:r w:rsidRPr="00861BFA">
        <w:t>представление докладов в государственные или частные органы с рек</w:t>
      </w:r>
      <w:r w:rsidRPr="00861BFA">
        <w:t>о</w:t>
      </w:r>
      <w:r w:rsidRPr="00861BFA">
        <w:t>мендациями и предложениями в отношении политики и практики, кот</w:t>
      </w:r>
      <w:r w:rsidRPr="00861BFA">
        <w:t>о</w:t>
      </w:r>
      <w:r w:rsidRPr="00861BFA">
        <w:t>рые соответствуют требованиям Конвенции;</w:t>
      </w:r>
    </w:p>
    <w:p w:rsidR="00861BFA" w:rsidRPr="00861BFA" w:rsidRDefault="00861BFA" w:rsidP="00A90A94">
      <w:pPr>
        <w:pStyle w:val="Bullet1GR"/>
      </w:pPr>
      <w:r w:rsidRPr="00861BFA">
        <w:t>сотрудничество с Консультативным комитетом по наблюдению за ос</w:t>
      </w:r>
      <w:r w:rsidRPr="00861BFA">
        <w:t>у</w:t>
      </w:r>
      <w:r w:rsidRPr="00861BFA">
        <w:t>ществлением Конвенции в составе членов независимого механизма и Кипрской конфедерации организаций инвалидов (ККОИ);</w:t>
      </w:r>
    </w:p>
    <w:p w:rsidR="00861BFA" w:rsidRPr="00861BFA" w:rsidRDefault="00861BFA" w:rsidP="00A90A94">
      <w:pPr>
        <w:pStyle w:val="Bullet1GR"/>
      </w:pPr>
      <w:r w:rsidRPr="00861BFA">
        <w:t>сотрудничество с Координационным механизмом для наблюдения за в</w:t>
      </w:r>
      <w:r w:rsidRPr="00861BFA">
        <w:t>ы</w:t>
      </w:r>
      <w:r w:rsidRPr="00861BFA">
        <w:t>полнением Национального плана действий по осуществлению Конве</w:t>
      </w:r>
      <w:r w:rsidRPr="00861BFA">
        <w:t>н</w:t>
      </w:r>
      <w:r w:rsidRPr="00861BFA">
        <w:t>ции;</w:t>
      </w:r>
    </w:p>
    <w:p w:rsidR="00861BFA" w:rsidRPr="00861BFA" w:rsidRDefault="00861BFA" w:rsidP="00A90A94">
      <w:pPr>
        <w:pStyle w:val="Bullet1GR"/>
      </w:pPr>
      <w:r w:rsidRPr="00861BFA">
        <w:t xml:space="preserve">ознакомление государственных и частных субъектов с данной тематикой и поощрение и распространение прав и ценностей согласно Конвенции в сотрудничестве с координатором. </w:t>
      </w:r>
    </w:p>
    <w:p w:rsidR="00861BFA" w:rsidRPr="00861BFA" w:rsidRDefault="00861BFA" w:rsidP="0020401C">
      <w:pPr>
        <w:pStyle w:val="SingleTxtGR"/>
      </w:pPr>
      <w:r w:rsidRPr="00861BFA">
        <w:t>114.</w:t>
      </w:r>
      <w:r w:rsidRPr="00861BFA">
        <w:tab/>
        <w:t>В соответствии с новыми законодательными рамками Уполномоченный по вопросам администрации наделяется функциями по защите прав человека и борьбе с дискриминацией. Помимо расследования конкретных жалоб Омбудсмен также разрабатывает более общие "опережающие" мероприятия профилактического, образовательного и информационного характера, такие как:</w:t>
      </w:r>
    </w:p>
    <w:p w:rsidR="00861BFA" w:rsidRPr="00861BFA" w:rsidRDefault="00861BFA" w:rsidP="00A90A94">
      <w:pPr>
        <w:pStyle w:val="Bullet1GR"/>
      </w:pPr>
      <w:r w:rsidRPr="00861BFA">
        <w:t>составление и распространение кодексов эффективной практики;</w:t>
      </w:r>
    </w:p>
    <w:p w:rsidR="00861BFA" w:rsidRPr="00861BFA" w:rsidRDefault="00861BFA" w:rsidP="00A90A94">
      <w:pPr>
        <w:pStyle w:val="Bullet1GR"/>
      </w:pPr>
      <w:r w:rsidRPr="00861BFA">
        <w:t>организация информационно-пропагандистских кампаний в средствах массовой информации;</w:t>
      </w:r>
    </w:p>
    <w:p w:rsidR="00861BFA" w:rsidRPr="00861BFA" w:rsidRDefault="00861BFA" w:rsidP="00A90A94">
      <w:pPr>
        <w:pStyle w:val="Bullet1GR"/>
      </w:pPr>
      <w:r w:rsidRPr="00861BFA">
        <w:t>проведение учебных семинаров, рассчитанных на государственных ч</w:t>
      </w:r>
      <w:r w:rsidRPr="00861BFA">
        <w:t>и</w:t>
      </w:r>
      <w:r w:rsidRPr="00861BFA">
        <w:t>новников, сотрудников полиции и других специалистов, а также на пр</w:t>
      </w:r>
      <w:r w:rsidRPr="00861BFA">
        <w:t>е</w:t>
      </w:r>
      <w:r w:rsidRPr="00861BFA">
        <w:t>подавательский состав;</w:t>
      </w:r>
    </w:p>
    <w:p w:rsidR="00861BFA" w:rsidRPr="00861BFA" w:rsidRDefault="00861BFA" w:rsidP="00A90A94">
      <w:pPr>
        <w:pStyle w:val="Bullet1GR"/>
      </w:pPr>
      <w:r w:rsidRPr="00861BFA">
        <w:t>участие в международных и региональных сетях организаций с анал</w:t>
      </w:r>
      <w:r w:rsidRPr="00861BFA">
        <w:t>о</w:t>
      </w:r>
      <w:r w:rsidRPr="00861BFA">
        <w:t>гичным мандатом;</w:t>
      </w:r>
    </w:p>
    <w:p w:rsidR="00861BFA" w:rsidRPr="00861BFA" w:rsidRDefault="00861BFA" w:rsidP="00A90A94">
      <w:pPr>
        <w:pStyle w:val="Bullet1GR"/>
      </w:pPr>
      <w:r w:rsidRPr="00861BFA">
        <w:t>проведение обследований и статистических исследований.</w:t>
      </w:r>
    </w:p>
    <w:p w:rsidR="00861BFA" w:rsidRPr="00861BFA" w:rsidRDefault="00861BFA" w:rsidP="0020401C">
      <w:pPr>
        <w:pStyle w:val="SingleTxtGR"/>
      </w:pPr>
      <w:r w:rsidRPr="00861BFA">
        <w:t>115.</w:t>
      </w:r>
      <w:r w:rsidRPr="00861BFA">
        <w:tab/>
      </w:r>
      <w:r w:rsidRPr="00861BFA">
        <w:rPr>
          <w:b/>
        </w:rPr>
        <w:t>Комитет по надзору за центрами содержания незаконных иммигра</w:t>
      </w:r>
      <w:r w:rsidRPr="00861BFA">
        <w:rPr>
          <w:b/>
        </w:rPr>
        <w:t>н</w:t>
      </w:r>
      <w:r w:rsidRPr="00861BFA">
        <w:rPr>
          <w:b/>
        </w:rPr>
        <w:t>тов.</w:t>
      </w:r>
      <w:r w:rsidRPr="00861BFA">
        <w:t xml:space="preserve"> В разделе 5 </w:t>
      </w:r>
      <w:r w:rsidRPr="00F24594">
        <w:rPr>
          <w:i/>
        </w:rPr>
        <w:t>Закона об отведении помещений для незаконных иммигрантов и регулировании порядка их использования</w:t>
      </w:r>
      <w:r w:rsidRPr="00861BFA">
        <w:t xml:space="preserve"> [L.83(1)/2011] предусмотрено, что Комитет по надзору за центрами содержания незаконных иммигрантов (Надзорный комитет) учреждается решением Совета министров (реш</w:t>
      </w:r>
      <w:r w:rsidRPr="00861BFA">
        <w:t>е</w:t>
      </w:r>
      <w:r w:rsidRPr="00861BFA">
        <w:t>ние</w:t>
      </w:r>
      <w:r w:rsidR="00845377">
        <w:t> </w:t>
      </w:r>
      <w:r w:rsidRPr="00861BFA">
        <w:t>№</w:t>
      </w:r>
      <w:r w:rsidR="00845377">
        <w:t> </w:t>
      </w:r>
      <w:r w:rsidRPr="00861BFA">
        <w:t>74.638 от 5 февраля 2013 года). Согласно этому закону члены Комитета посещают центры для содержания незаконных иммигрантов не менее восьми раз в год, а также в случаях, когда они считают это необходимым для целей контроля.</w:t>
      </w:r>
    </w:p>
    <w:p w:rsidR="00861BFA" w:rsidRPr="00861BFA" w:rsidRDefault="00861BFA" w:rsidP="0020401C">
      <w:pPr>
        <w:pStyle w:val="SingleTxtGR"/>
      </w:pPr>
      <w:r w:rsidRPr="00861BFA">
        <w:t>116.</w:t>
      </w:r>
      <w:r w:rsidRPr="00861BFA">
        <w:tab/>
        <w:t>Комитет по рассмотрению жалоб, поступающих из центра для содерж</w:t>
      </w:r>
      <w:r w:rsidRPr="00861BFA">
        <w:t>а</w:t>
      </w:r>
      <w:r w:rsidRPr="00861BFA">
        <w:t xml:space="preserve">ния незаконных иммигрантов в Менойе: этот Комитет был учрежден решением министра от 5 мая 2013 года в соответствии с правилом 28 </w:t>
      </w:r>
      <w:r w:rsidRPr="00845377">
        <w:rPr>
          <w:i/>
        </w:rPr>
        <w:t>Инструкции, кас</w:t>
      </w:r>
      <w:r w:rsidRPr="00845377">
        <w:rPr>
          <w:i/>
        </w:rPr>
        <w:t>а</w:t>
      </w:r>
      <w:r w:rsidRPr="00845377">
        <w:rPr>
          <w:i/>
        </w:rPr>
        <w:t>ющейся отведения помещений для незаконных иммигрантов и регулирования порядка их использования</w:t>
      </w:r>
      <w:r w:rsidRPr="00861BFA">
        <w:t xml:space="preserve"> № 161/2011. Этот Комитет может либо в порядке ex</w:t>
      </w:r>
      <w:r w:rsidR="00845377">
        <w:t> </w:t>
      </w:r>
      <w:r w:rsidRPr="00861BFA">
        <w:t>propio motu, либо по жалобе задержанного: а) пересматривать решение Д</w:t>
      </w:r>
      <w:r w:rsidRPr="00861BFA">
        <w:t>и</w:t>
      </w:r>
      <w:r w:rsidRPr="00861BFA">
        <w:t>ректора центра содержания задержанных (ДЦСЗ) и b) рассматривать жалобы задержанных на условия содержания и обращение.</w:t>
      </w:r>
    </w:p>
    <w:p w:rsidR="00861BFA" w:rsidRPr="00861BFA" w:rsidRDefault="00861BFA" w:rsidP="0020401C">
      <w:pPr>
        <w:pStyle w:val="SingleTxtGR"/>
      </w:pPr>
      <w:r w:rsidRPr="00861BFA">
        <w:t>117.</w:t>
      </w:r>
      <w:r w:rsidRPr="00861BFA">
        <w:tab/>
      </w:r>
      <w:r w:rsidRPr="00861BFA">
        <w:rPr>
          <w:b/>
        </w:rPr>
        <w:t>Профильные министерства поддерживают регулярные контакты с НПО</w:t>
      </w:r>
      <w:r w:rsidRPr="00861BFA">
        <w:t>, особенно в связи с подготовкой законодательства, относящегося к сфере их ведения. Признавая важность взаимодействия с гражданским обществом, государственные учреждения сотрудничают с НПО в рамках междисциплина</w:t>
      </w:r>
      <w:r w:rsidRPr="00861BFA">
        <w:t>р</w:t>
      </w:r>
      <w:r w:rsidRPr="00861BFA">
        <w:t>ных групп по вопросам координации (МДГК), т.е. с организацией "Прекратить торговлю людьми на Кипре", движением "КИСА", Средиземноморским инст</w:t>
      </w:r>
      <w:r w:rsidRPr="00861BFA">
        <w:t>и</w:t>
      </w:r>
      <w:r w:rsidRPr="00861BFA">
        <w:t>тутом по изучению гендерной проблематики.</w:t>
      </w:r>
    </w:p>
    <w:p w:rsidR="00861BFA" w:rsidRPr="00861BFA" w:rsidRDefault="00861BFA" w:rsidP="0020401C">
      <w:pPr>
        <w:pStyle w:val="SingleTxtGR"/>
      </w:pPr>
      <w:r w:rsidRPr="00861BFA">
        <w:t>118.</w:t>
      </w:r>
      <w:r w:rsidRPr="00861BFA">
        <w:tab/>
        <w:t>Ведущую роль в рамках всей деятельности по поощрению гендерного р</w:t>
      </w:r>
      <w:r w:rsidRPr="00861BFA">
        <w:t>а</w:t>
      </w:r>
      <w:r w:rsidRPr="00861BFA">
        <w:t>венства и защите прав женщин по-прежнему играют подразделения по вопр</w:t>
      </w:r>
      <w:r w:rsidRPr="00861BFA">
        <w:t>о</w:t>
      </w:r>
      <w:r w:rsidRPr="00861BFA">
        <w:t>сам равенства МЮОП, а также НМЗЖП. Кроме того, новый импульс всест</w:t>
      </w:r>
      <w:r w:rsidRPr="00861BFA">
        <w:t>о</w:t>
      </w:r>
      <w:r w:rsidRPr="00861BFA">
        <w:t>роннему осуществлению законов и политики в области гендерного равенства придало создание новых органов, руководящих структур и комитетов по вопр</w:t>
      </w:r>
      <w:r w:rsidRPr="00861BFA">
        <w:t>о</w:t>
      </w:r>
      <w:r w:rsidRPr="00861BFA">
        <w:t>сам поощрения гендерного равенства. Существенно расширилось вовлечение женских организаций и НПО в разработку и осуществление политики в области гендерного равенства, а их вклад имеет жизненно важное значение для обесп</w:t>
      </w:r>
      <w:r w:rsidRPr="00861BFA">
        <w:t>е</w:t>
      </w:r>
      <w:r w:rsidRPr="00861BFA">
        <w:t>чения учета потребностей всех женщин, включая уязвимые группы.</w:t>
      </w:r>
    </w:p>
    <w:p w:rsidR="00861BFA" w:rsidRPr="00861BFA" w:rsidRDefault="00861BFA" w:rsidP="0020401C">
      <w:pPr>
        <w:pStyle w:val="SingleTxtGR"/>
      </w:pPr>
      <w:r w:rsidRPr="00861BFA">
        <w:t>119.</w:t>
      </w:r>
      <w:r w:rsidRPr="00861BFA">
        <w:tab/>
        <w:t>Важную роль в поощрении и защите прав человека играют средства ма</w:t>
      </w:r>
      <w:r w:rsidRPr="00861BFA">
        <w:t>с</w:t>
      </w:r>
      <w:r w:rsidRPr="00861BFA">
        <w:t>совой информации. Пресса является полностью свободной, и несколько еж</w:t>
      </w:r>
      <w:r w:rsidRPr="00861BFA">
        <w:t>е</w:t>
      </w:r>
      <w:r w:rsidRPr="00861BFA">
        <w:t>дневных, еженедельных и иных газет и периодических изданий принадлежат частным лицам. Это же касается радио- и телевещания: лишь одна радио- и о</w:t>
      </w:r>
      <w:r w:rsidRPr="00861BFA">
        <w:t>д</w:t>
      </w:r>
      <w:r w:rsidRPr="00861BFA">
        <w:t>на телевизионная станци</w:t>
      </w:r>
      <w:r w:rsidR="00845377">
        <w:t>и</w:t>
      </w:r>
      <w:r w:rsidRPr="00861BFA">
        <w:t xml:space="preserve"> принадлежат государству, но управляются независ</w:t>
      </w:r>
      <w:r w:rsidRPr="00861BFA">
        <w:t>и</w:t>
      </w:r>
      <w:r w:rsidRPr="00861BFA">
        <w:t>мой корпорацией.</w:t>
      </w:r>
    </w:p>
    <w:p w:rsidR="00861BFA" w:rsidRPr="00861BFA" w:rsidRDefault="00861BFA" w:rsidP="0020401C">
      <w:pPr>
        <w:pStyle w:val="SingleTxtGR"/>
      </w:pPr>
      <w:r w:rsidRPr="00861BFA">
        <w:t>120.</w:t>
      </w:r>
      <w:r w:rsidRPr="00861BFA">
        <w:tab/>
        <w:t>Кроме того, в соответствии с проектом по</w:t>
      </w:r>
      <w:r w:rsidR="0029430D">
        <w:t>правки к Закону о печати 2011 </w:t>
      </w:r>
      <w:r w:rsidRPr="00861BFA">
        <w:t>года (раздел 17) сотрудник, отвечающий согласно этому закону за газету (данный термин охватывает все документы в письменной или электронной форме), обязан направить письменный ответ лицу, в адрес которого в статье с</w:t>
      </w:r>
      <w:r w:rsidRPr="00861BFA">
        <w:t>о</w:t>
      </w:r>
      <w:r w:rsidRPr="00861BFA">
        <w:t>держатся оскорбления. Кроме того, Кипрская комиссия по жалобам на средства массовой информации располагает директивой, касающейся недопущения нег</w:t>
      </w:r>
      <w:r w:rsidRPr="00861BFA">
        <w:t>а</w:t>
      </w:r>
      <w:r w:rsidRPr="00861BFA">
        <w:t>тивной дискриминации. В проекте поправки к Закону о печати 2011 года (ра</w:t>
      </w:r>
      <w:r w:rsidRPr="00861BFA">
        <w:t>з</w:t>
      </w:r>
      <w:r w:rsidRPr="00861BFA">
        <w:t>дел II 3 (1)) содержится четкое положение в отношении свободы прессы. "Жу</w:t>
      </w:r>
      <w:r w:rsidRPr="00861BFA">
        <w:t>р</w:t>
      </w:r>
      <w:r w:rsidRPr="00861BFA">
        <w:t>налист имеет право свободно изыскивать и получать информацию из частных источников, без вмешательства со стороны правительственных органов и нез</w:t>
      </w:r>
      <w:r w:rsidRPr="00861BFA">
        <w:t>а</w:t>
      </w:r>
      <w:r w:rsidRPr="00861BFA">
        <w:t>висимо от границ, и свободно передавать эту информацию с использованием любых средств выражения мнения, за исключением случаев, когда имеются причины, относящиеся к безопасности Республики...".</w:t>
      </w:r>
    </w:p>
    <w:p w:rsidR="00861BFA" w:rsidRPr="00861BFA" w:rsidRDefault="00861BFA" w:rsidP="0020401C">
      <w:pPr>
        <w:pStyle w:val="SingleTxtGR"/>
      </w:pPr>
      <w:r w:rsidRPr="00861BFA">
        <w:t>121.</w:t>
      </w:r>
      <w:r w:rsidRPr="00861BFA">
        <w:tab/>
        <w:t>С тем чтобы избежать дискриминации</w:t>
      </w:r>
      <w:r w:rsidR="00845377">
        <w:t>,</w:t>
      </w:r>
      <w:r w:rsidRPr="00861BFA">
        <w:t xml:space="preserve"> существует Кипрская комиссия по рассмотрению жалоб на средства массовой информации. После вступления в силу проекта поправки Закона о печати в категорию материалов средств масс</w:t>
      </w:r>
      <w:r w:rsidRPr="00861BFA">
        <w:t>о</w:t>
      </w:r>
      <w:r w:rsidRPr="00861BFA">
        <w:t>вой информации будут также включены документы в электронном виде. В силу этого, любое оскорбленное каким-либо образом лицо сможет рассчитывать на публикацию статьи с извинением сотрудником, который несет ответственность согласно этому закону.</w:t>
      </w:r>
    </w:p>
    <w:p w:rsidR="00861BFA" w:rsidRPr="00861BFA" w:rsidRDefault="00861BFA" w:rsidP="0020401C">
      <w:pPr>
        <w:pStyle w:val="SingleTxtGR"/>
      </w:pPr>
      <w:r w:rsidRPr="00861BFA">
        <w:t>122.</w:t>
      </w:r>
      <w:r w:rsidRPr="00861BFA">
        <w:tab/>
        <w:t>Все международные конвенции и договоры, участником которых стан</w:t>
      </w:r>
      <w:r w:rsidRPr="00861BFA">
        <w:t>о</w:t>
      </w:r>
      <w:r w:rsidRPr="00861BFA">
        <w:t>вится Кипр, публикуются в "Официальном вестнике". Средства массовой и</w:t>
      </w:r>
      <w:r w:rsidRPr="00861BFA">
        <w:t>н</w:t>
      </w:r>
      <w:r w:rsidRPr="00861BFA">
        <w:t>формации, печатные издания и электронная пресса освещают соответствующим образом их положения, в том числе о признании предусмотренного факульт</w:t>
      </w:r>
      <w:r w:rsidRPr="00861BFA">
        <w:t>а</w:t>
      </w:r>
      <w:r w:rsidRPr="00861BFA">
        <w:t>тивными процедурами права направлять петиции или представлять сообщения в органы, занимающиеся вопросами прав человека.</w:t>
      </w:r>
    </w:p>
    <w:p w:rsidR="00861BFA" w:rsidRPr="00861BFA" w:rsidRDefault="00861BFA" w:rsidP="0020401C">
      <w:pPr>
        <w:pStyle w:val="SingleTxtGR"/>
      </w:pPr>
      <w:r w:rsidRPr="00861BFA">
        <w:t>123.</w:t>
      </w:r>
      <w:r w:rsidRPr="00861BFA">
        <w:tab/>
        <w:t>Права человека относятся к категории важнейших вопросов, при этом п</w:t>
      </w:r>
      <w:r w:rsidRPr="00861BFA">
        <w:t>о</w:t>
      </w:r>
      <w:r w:rsidRPr="00861BFA">
        <w:t>стоянно принимаются специальные меры для поощрения информированности населения и компетентных органов власти о правах, закрепленных в различных договорах о правах человека. Информированность, которая является одним из необходимых условий, в частности для отстаивания своих прав и предотвращ</w:t>
      </w:r>
      <w:r w:rsidRPr="00861BFA">
        <w:t>е</w:t>
      </w:r>
      <w:r w:rsidRPr="00861BFA">
        <w:t>ния злоупотреблений, обеспечивается главным образом посредством просвещ</w:t>
      </w:r>
      <w:r w:rsidRPr="00861BFA">
        <w:t>е</w:t>
      </w:r>
      <w:r w:rsidRPr="00861BFA">
        <w:t>ния, в том числе благодаря включению изучения прав человека в учебные пр</w:t>
      </w:r>
      <w:r w:rsidRPr="00861BFA">
        <w:t>о</w:t>
      </w:r>
      <w:r w:rsidRPr="00861BFA">
        <w:t>граммы на всех уровнях образования, в программы подготовки преподавателей и полицейских, в программы курсов для родителей и другие аналогичные пр</w:t>
      </w:r>
      <w:r w:rsidRPr="00861BFA">
        <w:t>о</w:t>
      </w:r>
      <w:r w:rsidRPr="00861BFA">
        <w:t>граммы.</w:t>
      </w:r>
    </w:p>
    <w:p w:rsidR="00861BFA" w:rsidRPr="00861BFA" w:rsidRDefault="00861BFA" w:rsidP="0020401C">
      <w:pPr>
        <w:pStyle w:val="SingleTxtGR"/>
      </w:pPr>
      <w:r w:rsidRPr="00861BFA">
        <w:t>124.</w:t>
      </w:r>
      <w:r w:rsidRPr="00861BFA">
        <w:tab/>
      </w:r>
      <w:r w:rsidRPr="00861BFA">
        <w:rPr>
          <w:iCs/>
        </w:rPr>
        <w:t>Кипр стремится продолжить работу по дальнейшему повышению уровня информированности и просвещения по вопросам прав человека.</w:t>
      </w:r>
      <w:r w:rsidRPr="00861BFA">
        <w:rPr>
          <w:i/>
          <w:iCs/>
        </w:rPr>
        <w:t xml:space="preserve"> </w:t>
      </w:r>
      <w:r w:rsidRPr="00861BFA">
        <w:t>Весь спектр прав человека был включен в школьную программу, которая поощряет распр</w:t>
      </w:r>
      <w:r w:rsidRPr="00861BFA">
        <w:t>о</w:t>
      </w:r>
      <w:r w:rsidRPr="00861BFA">
        <w:t>странение терпимости в условиях многообразия культур. Приняты конкретные меры для предотвращения и ликвидации практики дискриминации, такие как обновление политики в области образования, создание координационных мех</w:t>
      </w:r>
      <w:r w:rsidRPr="00861BFA">
        <w:t>а</w:t>
      </w:r>
      <w:r w:rsidRPr="00861BFA">
        <w:t>низмов, более рациональное распределение ресурсов и внедрение специальных воспитательных средств.</w:t>
      </w:r>
    </w:p>
    <w:p w:rsidR="00861BFA" w:rsidRPr="00861BFA" w:rsidRDefault="00861BFA" w:rsidP="0020401C">
      <w:pPr>
        <w:pStyle w:val="SingleTxtGR"/>
      </w:pPr>
      <w:r w:rsidRPr="00861BFA">
        <w:t>125.</w:t>
      </w:r>
      <w:r w:rsidRPr="00861BFA">
        <w:tab/>
        <w:t>Правительство, средства массовой информации и частный сектор издают книги и проспекты по вопросам, касающимся защиты и нарушений прав чел</w:t>
      </w:r>
      <w:r w:rsidRPr="00861BFA">
        <w:t>о</w:t>
      </w:r>
      <w:r w:rsidRPr="00861BFA">
        <w:t>века. В государственных учреждениях, школах, молодежных центрах и орган</w:t>
      </w:r>
      <w:r w:rsidRPr="00861BFA">
        <w:t>и</w:t>
      </w:r>
      <w:r w:rsidRPr="00861BFA">
        <w:t>зациях распространяются соответствующие плакаты и брошюры. По мере нео</w:t>
      </w:r>
      <w:r w:rsidRPr="00861BFA">
        <w:t>б</w:t>
      </w:r>
      <w:r w:rsidRPr="00861BFA">
        <w:t>ходимости публикуются специальные пресс-релизы по правам человека, кот</w:t>
      </w:r>
      <w:r w:rsidRPr="00861BFA">
        <w:t>о</w:t>
      </w:r>
      <w:r w:rsidRPr="00861BFA">
        <w:t>рые посвящены местным и международным событиям, в том числе конфере</w:t>
      </w:r>
      <w:r w:rsidRPr="00861BFA">
        <w:t>н</w:t>
      </w:r>
      <w:r w:rsidRPr="00861BFA">
        <w:t>циям, семинарам, лекциям, коллоквиумам и иным аналогичным мероприятиям. Статьи о правах человека нередко появляются в газетах и специальных публ</w:t>
      </w:r>
      <w:r w:rsidRPr="00861BFA">
        <w:t>и</w:t>
      </w:r>
      <w:r w:rsidRPr="00861BFA">
        <w:t>кациях, включая издания Ассоциации адвокатов и правозащитных организаций.</w:t>
      </w:r>
    </w:p>
    <w:p w:rsidR="00861BFA" w:rsidRPr="00627938" w:rsidRDefault="00861BFA" w:rsidP="00627938">
      <w:pPr>
        <w:pStyle w:val="H1GR"/>
      </w:pPr>
      <w:r w:rsidRPr="00627938">
        <w:tab/>
        <w:t>D.</w:t>
      </w:r>
      <w:r w:rsidRPr="00627938">
        <w:tab/>
        <w:t>Процесс подготовки докладов на национальном уровне</w:t>
      </w:r>
    </w:p>
    <w:p w:rsidR="00861BFA" w:rsidRPr="00861BFA" w:rsidRDefault="00861BFA" w:rsidP="0020401C">
      <w:pPr>
        <w:pStyle w:val="SingleTxtGR"/>
      </w:pPr>
      <w:r w:rsidRPr="00861BFA">
        <w:t>126.</w:t>
      </w:r>
      <w:r w:rsidRPr="00861BFA">
        <w:tab/>
        <w:t>В соответствии с постановлением Совета министров Республики Кипр (№ 38.958 от 25 февраля 1993 года) Уполномоченному по правовым вопросам в сотрудничестве с Министерством иностранных дел и соответствующими мин</w:t>
      </w:r>
      <w:r w:rsidRPr="00861BFA">
        <w:t>и</w:t>
      </w:r>
      <w:r w:rsidRPr="00861BFA">
        <w:t>стерствами поручено обеспечить выполнение Кипром обязательств в отнош</w:t>
      </w:r>
      <w:r w:rsidRPr="00861BFA">
        <w:t>е</w:t>
      </w:r>
      <w:r w:rsidRPr="00861BFA">
        <w:t>нии представления докладов согласно международным договорам в области прав человека. Кипр соблюдает сроки представления всех своих докладов, предусмотренных его обязательствами по международным договорам.</w:t>
      </w:r>
    </w:p>
    <w:p w:rsidR="00861BFA" w:rsidRPr="00861BFA" w:rsidRDefault="00861BFA" w:rsidP="0020401C">
      <w:pPr>
        <w:pStyle w:val="SingleTxtGR"/>
      </w:pPr>
      <w:r w:rsidRPr="00861BFA">
        <w:t>127.</w:t>
      </w:r>
      <w:r w:rsidRPr="00861BFA">
        <w:tab/>
        <w:t>Как правило, в каждом случае для подготовки и представления наци</w:t>
      </w:r>
      <w:r w:rsidRPr="00861BFA">
        <w:t>о</w:t>
      </w:r>
      <w:r w:rsidRPr="00861BFA">
        <w:t>нального доклада конкретному договорному органу по правам человека созд</w:t>
      </w:r>
      <w:r w:rsidRPr="00861BFA">
        <w:t>а</w:t>
      </w:r>
      <w:r w:rsidRPr="00861BFA">
        <w:t>ется специальная межведомственная рабочая группа, которой поручено ра</w:t>
      </w:r>
      <w:r w:rsidRPr="00861BFA">
        <w:t>с</w:t>
      </w:r>
      <w:r w:rsidRPr="00861BFA">
        <w:t xml:space="preserve">смотреть положение с точки зрения прав человека на Кипре в соответствующей правозащитной области. </w:t>
      </w:r>
    </w:p>
    <w:p w:rsidR="00861BFA" w:rsidRPr="00861BFA" w:rsidRDefault="00861BFA" w:rsidP="0020401C">
      <w:pPr>
        <w:pStyle w:val="SingleTxtGR"/>
      </w:pPr>
      <w:r w:rsidRPr="00861BFA">
        <w:t>128.</w:t>
      </w:r>
      <w:r w:rsidRPr="00861BFA">
        <w:tab/>
        <w:t>Содействие в сборе информации и помощь такой межведомственной р</w:t>
      </w:r>
      <w:r w:rsidRPr="00861BFA">
        <w:t>а</w:t>
      </w:r>
      <w:r w:rsidRPr="00861BFA">
        <w:t>бочей группе оказывают представители министерств и других правительстве</w:t>
      </w:r>
      <w:r w:rsidRPr="00861BFA">
        <w:t>н</w:t>
      </w:r>
      <w:r w:rsidRPr="00861BFA">
        <w:t>ных ведомств, независимых институтов (таких, как Омбудсмен и Уполномоче</w:t>
      </w:r>
      <w:r w:rsidRPr="00861BFA">
        <w:t>н</w:t>
      </w:r>
      <w:r w:rsidRPr="00861BFA">
        <w:t>ный по правовым вопросам), органов власти (например, Независимый орган по рассмотрению обвинений и жалоб в отношении сотрудников полиции) и непр</w:t>
      </w:r>
      <w:r w:rsidRPr="00861BFA">
        <w:t>а</w:t>
      </w:r>
      <w:r w:rsidRPr="00861BFA">
        <w:t>вительственных организаций, которые действуют в интересах поощрения и з</w:t>
      </w:r>
      <w:r w:rsidRPr="00861BFA">
        <w:t>а</w:t>
      </w:r>
      <w:r w:rsidRPr="00861BFA">
        <w:t xml:space="preserve">щиты прав человека. </w:t>
      </w:r>
    </w:p>
    <w:p w:rsidR="00861BFA" w:rsidRPr="00861BFA" w:rsidRDefault="00861BFA" w:rsidP="0020401C">
      <w:pPr>
        <w:pStyle w:val="SingleTxtGR"/>
      </w:pPr>
      <w:r w:rsidRPr="00861BFA">
        <w:t>129.</w:t>
      </w:r>
      <w:r w:rsidRPr="00861BFA">
        <w:tab/>
        <w:t>В конкретном случае – представление доклада Комитету Организации Объединенных Наций по правам инвалидов – Совет министров Республики Кипр 9 мая 2012 года принял решение (касательно осуществления статьи 33 Конвенции Организации Объединенных Наций о правах инвалидов) назначить конкретные структуры, которые будут отвечать за эффективное осуществление Конвенции и контроль за этой деятельностью, включая Департамент по соц</w:t>
      </w:r>
      <w:r w:rsidRPr="00861BFA">
        <w:t>и</w:t>
      </w:r>
      <w:r w:rsidRPr="00861BFA">
        <w:t>альной интеграции инвалидов при Министерстве труда и социального обесп</w:t>
      </w:r>
      <w:r w:rsidRPr="00861BFA">
        <w:t>е</w:t>
      </w:r>
      <w:r w:rsidRPr="00861BFA">
        <w:t>чения, Всекипрский совет по делам инвалидов и Омбудсмена и Уполномоче</w:t>
      </w:r>
      <w:r w:rsidRPr="00861BFA">
        <w:t>н</w:t>
      </w:r>
      <w:r w:rsidRPr="00861BFA">
        <w:t>ного по правам человека, образующих Комиссию по вопросам равенства.</w:t>
      </w:r>
    </w:p>
    <w:p w:rsidR="00861BFA" w:rsidRPr="00861BFA" w:rsidRDefault="00861BFA" w:rsidP="0020401C">
      <w:pPr>
        <w:pStyle w:val="SingleTxtGR"/>
      </w:pPr>
      <w:r w:rsidRPr="00861BFA">
        <w:t>130.</w:t>
      </w:r>
      <w:r w:rsidRPr="00861BFA">
        <w:tab/>
        <w:t>Департамент по социальной интеграции инвалидов в качестве координ</w:t>
      </w:r>
      <w:r w:rsidRPr="00861BFA">
        <w:t>а</w:t>
      </w:r>
      <w:r w:rsidRPr="00861BFA">
        <w:t>ционного центра несет ответственность, среди прочего, за подготовку и пре</w:t>
      </w:r>
      <w:r w:rsidRPr="00861BFA">
        <w:t>д</w:t>
      </w:r>
      <w:r w:rsidRPr="00861BFA">
        <w:t xml:space="preserve">ставление – в сотрудничестве с другими компетентными органами – докладов Комитету Организации Объединенных Наций по правам инвалидов. </w:t>
      </w:r>
    </w:p>
    <w:p w:rsidR="00861BFA" w:rsidRPr="00627938" w:rsidRDefault="00861BFA" w:rsidP="00627938">
      <w:pPr>
        <w:pStyle w:val="H1GR"/>
      </w:pPr>
      <w:r w:rsidRPr="00627938">
        <w:tab/>
        <w:t>E.</w:t>
      </w:r>
      <w:r w:rsidRPr="00627938">
        <w:tab/>
        <w:t>Прочие сведения о правах человека</w:t>
      </w:r>
    </w:p>
    <w:p w:rsidR="00861BFA" w:rsidRPr="00861BFA" w:rsidRDefault="00861BFA" w:rsidP="0020401C">
      <w:pPr>
        <w:pStyle w:val="SingleTxtGR"/>
        <w:rPr>
          <w:iCs/>
        </w:rPr>
      </w:pPr>
      <w:r w:rsidRPr="00861BFA">
        <w:rPr>
          <w:iCs/>
        </w:rPr>
        <w:t>131.</w:t>
      </w:r>
      <w:r w:rsidRPr="00861BFA">
        <w:rPr>
          <w:iCs/>
        </w:rPr>
        <w:tab/>
      </w:r>
      <w:r w:rsidRPr="00861BFA">
        <w:t>Кипр в качестве государства-участника большинства основных и иных международных документов по правам человека, принятых на общемировом уровне и в европейском регионе, регулярно представляет свои доклады комп</w:t>
      </w:r>
      <w:r w:rsidRPr="00861BFA">
        <w:t>е</w:t>
      </w:r>
      <w:r w:rsidRPr="00861BFA">
        <w:t xml:space="preserve">тентным договорным органам и должным образом принимает во внимание их рекомендации/замечания с целью улучшить положение в области соблюдения прав человека. </w:t>
      </w:r>
    </w:p>
    <w:p w:rsidR="00861BFA" w:rsidRPr="00101135" w:rsidRDefault="00861BFA" w:rsidP="00101135">
      <w:pPr>
        <w:pStyle w:val="HChGR"/>
      </w:pPr>
      <w:r w:rsidRPr="00101135">
        <w:tab/>
        <w:t>IV.</w:t>
      </w:r>
      <w:r w:rsidRPr="00101135">
        <w:tab/>
        <w:t xml:space="preserve">Сведения о недискриминации и равенстве, а также </w:t>
      </w:r>
      <w:r w:rsidR="0029430D">
        <w:br/>
      </w:r>
      <w:r w:rsidRPr="00101135">
        <w:t>об эффективных средствах правовой защиты</w:t>
      </w:r>
    </w:p>
    <w:p w:rsidR="00861BFA" w:rsidRPr="00861BFA" w:rsidRDefault="00861BFA" w:rsidP="0020401C">
      <w:pPr>
        <w:pStyle w:val="SingleTxtGR"/>
      </w:pPr>
      <w:r w:rsidRPr="00861BFA">
        <w:t>132.</w:t>
      </w:r>
      <w:r w:rsidRPr="00861BFA">
        <w:tab/>
        <w:t>Вступление в 2004 году Кипра в Европейский союз привело к созданию новых нормативных рамок для борьбы с расизмом и поощрению принципа ра</w:t>
      </w:r>
      <w:r w:rsidRPr="00861BFA">
        <w:t>в</w:t>
      </w:r>
      <w:r w:rsidRPr="00861BFA">
        <w:t>ного отношения ко всем людям без различия по признаку расового или этнич</w:t>
      </w:r>
      <w:r w:rsidRPr="00861BFA">
        <w:t>е</w:t>
      </w:r>
      <w:r w:rsidRPr="00861BFA">
        <w:t>ского происхождения. Было решено, что учреждение двух новых органов вл</w:t>
      </w:r>
      <w:r w:rsidRPr="00861BFA">
        <w:t>а</w:t>
      </w:r>
      <w:r w:rsidRPr="00861BFA">
        <w:t xml:space="preserve">сти, организационно вошедших в Управление Омбудсмена, будет в полной мере отвечать требованию эффективного выполнения нового законодательства по борьбе с дискриминацией. </w:t>
      </w:r>
    </w:p>
    <w:p w:rsidR="00861BFA" w:rsidRPr="00861BFA" w:rsidRDefault="00861BFA" w:rsidP="0020401C">
      <w:pPr>
        <w:pStyle w:val="SingleTxtGR"/>
      </w:pPr>
      <w:r w:rsidRPr="00861BFA">
        <w:t>133.</w:t>
      </w:r>
      <w:r w:rsidRPr="00861BFA">
        <w:tab/>
        <w:t>В связи с этим были созданы Кипрский орган по борьбе с дискриминац</w:t>
      </w:r>
      <w:r w:rsidRPr="00861BFA">
        <w:t>и</w:t>
      </w:r>
      <w:r w:rsidRPr="00861BFA">
        <w:t>ей и Комиссия по вопросам равенства, мандат которых распространяется как на государственный, так и на частных сектор. Их институциональные функции, в дополнение к расследованию жалоб отдельных лиц и предоставлению незав</w:t>
      </w:r>
      <w:r w:rsidRPr="00861BFA">
        <w:t>и</w:t>
      </w:r>
      <w:r w:rsidRPr="00861BFA">
        <w:t>симой помощи жертвам дискриминации, включают в себя широкий набор м</w:t>
      </w:r>
      <w:r w:rsidRPr="00861BFA">
        <w:t>е</w:t>
      </w:r>
      <w:r w:rsidRPr="00861BFA">
        <w:t>роприятий профилактического, посреднического, пресекающего и воспитател</w:t>
      </w:r>
      <w:r w:rsidRPr="00861BFA">
        <w:t>ь</w:t>
      </w:r>
      <w:r w:rsidRPr="00861BFA">
        <w:t>ного характера.</w:t>
      </w:r>
    </w:p>
    <w:p w:rsidR="00861BFA" w:rsidRPr="00861BFA" w:rsidRDefault="00861BFA" w:rsidP="0020401C">
      <w:pPr>
        <w:pStyle w:val="SingleTxtGR"/>
      </w:pPr>
      <w:r w:rsidRPr="00861BFA">
        <w:t>134.</w:t>
      </w:r>
      <w:r w:rsidRPr="00861BFA">
        <w:tab/>
        <w:t>Что касается Органа по борьбе с дискриминацией, то он в первую оч</w:t>
      </w:r>
      <w:r w:rsidRPr="00861BFA">
        <w:t>е</w:t>
      </w:r>
      <w:r w:rsidRPr="00861BFA">
        <w:t>редь борется с дискриминацией по признаку расы, принадлежности к соотве</w:t>
      </w:r>
      <w:r w:rsidRPr="00861BFA">
        <w:t>т</w:t>
      </w:r>
      <w:r w:rsidRPr="00861BFA">
        <w:t>ствующей общине, языка, цвета кожи, религии, политических или иных убе</w:t>
      </w:r>
      <w:r w:rsidRPr="00861BFA">
        <w:t>ж</w:t>
      </w:r>
      <w:r w:rsidRPr="00861BFA">
        <w:t>дений, этнического или национального происхождения и в целом поощрения равного обращения в сфере социальной защиты, социального страхования, с</w:t>
      </w:r>
      <w:r w:rsidRPr="00861BFA">
        <w:t>о</w:t>
      </w:r>
      <w:r w:rsidRPr="00861BFA">
        <w:t>циального обеспечения, здравоохранения, образования, участия в профсоюзах и профессиональных организациях и доступа к товарам и услугам, в том числе к жилью.</w:t>
      </w:r>
    </w:p>
    <w:p w:rsidR="00861BFA" w:rsidRPr="00861BFA" w:rsidRDefault="00861BFA" w:rsidP="0020401C">
      <w:pPr>
        <w:pStyle w:val="SingleTxtGR"/>
      </w:pPr>
      <w:r w:rsidRPr="00861BFA">
        <w:t>135.</w:t>
      </w:r>
      <w:r w:rsidRPr="00861BFA">
        <w:tab/>
        <w:t>Основной функцией Комиссии по вопросам равенства является рассмо</w:t>
      </w:r>
      <w:r w:rsidRPr="00861BFA">
        <w:t>т</w:t>
      </w:r>
      <w:r w:rsidRPr="00861BFA">
        <w:t>рение в качестве независимого органа внесудебных процедур, жалоб лиц, кот</w:t>
      </w:r>
      <w:r w:rsidRPr="00861BFA">
        <w:t>о</w:t>
      </w:r>
      <w:r w:rsidRPr="00861BFA">
        <w:t>рые считают, что они являются жертвами дискриминации в области труда и з</w:t>
      </w:r>
      <w:r w:rsidRPr="00861BFA">
        <w:t>а</w:t>
      </w:r>
      <w:r w:rsidRPr="00861BFA">
        <w:t>нятий как в частном, так и в государственном секторах по признакам их расов</w:t>
      </w:r>
      <w:r w:rsidRPr="00861BFA">
        <w:t>о</w:t>
      </w:r>
      <w:r w:rsidRPr="00861BFA">
        <w:t>го или этнического происхождения, религии или убеждений, возраста, особых потребностей, сексуальной ориентации или пола. Определенный законом з</w:t>
      </w:r>
      <w:r w:rsidRPr="00861BFA">
        <w:t>а</w:t>
      </w:r>
      <w:r w:rsidRPr="00861BFA">
        <w:t>прет на дискриминацию в области труда и занятий охватывает весь спектр тр</w:t>
      </w:r>
      <w:r w:rsidRPr="00861BFA">
        <w:t>у</w:t>
      </w:r>
      <w:r w:rsidRPr="00861BFA">
        <w:t>довых отношений. Кроме того, с 2008 года Комиссия по вопросам равенства имеет право расследовать жалобы на дискриминацию по признаку пола в обл</w:t>
      </w:r>
      <w:r w:rsidRPr="00861BFA">
        <w:t>а</w:t>
      </w:r>
      <w:r w:rsidRPr="00861BFA">
        <w:t xml:space="preserve">сти доступа к товарам и услугам и их предоставления, в том числе страховых и финансовых услуг как в частном, так и в государственном секторах. </w:t>
      </w:r>
    </w:p>
    <w:p w:rsidR="00861BFA" w:rsidRPr="00861BFA" w:rsidRDefault="00861BFA" w:rsidP="0020401C">
      <w:pPr>
        <w:pStyle w:val="SingleTxtGR"/>
      </w:pPr>
      <w:r w:rsidRPr="00861BFA">
        <w:t>136.</w:t>
      </w:r>
      <w:r w:rsidRPr="00861BFA">
        <w:tab/>
        <w:t>В результате ратификации Факультативного протокола к Конвенции пр</w:t>
      </w:r>
      <w:r w:rsidRPr="00861BFA">
        <w:t>о</w:t>
      </w:r>
      <w:r w:rsidRPr="00861BFA">
        <w:t>тив пыток обязанности Омбудсмена были значительно расширены. В настоящее время Омбудсмен посещает места содержания под стражей, пользуется дост</w:t>
      </w:r>
      <w:r w:rsidRPr="00861BFA">
        <w:t>у</w:t>
      </w:r>
      <w:r w:rsidRPr="00861BFA">
        <w:t>пом к информации и представляет доклады по результатам рассмотрения инд</w:t>
      </w:r>
      <w:r w:rsidRPr="00861BFA">
        <w:t>и</w:t>
      </w:r>
      <w:r w:rsidRPr="00861BFA">
        <w:t>видуальных жалоб. Кроме того, в силу своих новых функций Омбудсмен упо</w:t>
      </w:r>
      <w:r w:rsidRPr="00861BFA">
        <w:t>л</w:t>
      </w:r>
      <w:r w:rsidRPr="00861BFA">
        <w:t>номочен свободно посещать места содержания задержанных лиц в целях озн</w:t>
      </w:r>
      <w:r w:rsidRPr="00861BFA">
        <w:t>а</w:t>
      </w:r>
      <w:r w:rsidRPr="00861BFA">
        <w:t>комления и документального отражения общих условий содержания под стр</w:t>
      </w:r>
      <w:r w:rsidRPr="00861BFA">
        <w:t>а</w:t>
      </w:r>
      <w:r w:rsidRPr="00861BFA">
        <w:t>жей, связанных с пытками, и вынесения рекомендаций, направленных на улу</w:t>
      </w:r>
      <w:r w:rsidRPr="00861BFA">
        <w:t>ч</w:t>
      </w:r>
      <w:r w:rsidRPr="00861BFA">
        <w:t>шение как таких условий, так и соответствующего законодательства.</w:t>
      </w:r>
    </w:p>
    <w:p w:rsidR="00861BFA" w:rsidRPr="00861BFA" w:rsidRDefault="00861BFA" w:rsidP="0020401C">
      <w:pPr>
        <w:pStyle w:val="SingleTxtGR"/>
      </w:pPr>
      <w:r w:rsidRPr="00861BFA">
        <w:t>137.</w:t>
      </w:r>
      <w:r w:rsidRPr="00861BFA">
        <w:tab/>
        <w:t>В случае подтверждения факта дискриминации в ходе расследования Уполномоченный по вопросам администрации имеет право наложить штраф на государственного служащего или представителя частного сектора, который несет ответственность за такое нарушение. В дополнение к этому или в кач</w:t>
      </w:r>
      <w:r w:rsidRPr="00861BFA">
        <w:t>е</w:t>
      </w:r>
      <w:r w:rsidRPr="00861BFA">
        <w:t>стве альтернативной меры Уполномоченный после консультаций с затрагива</w:t>
      </w:r>
      <w:r w:rsidRPr="00861BFA">
        <w:t>е</w:t>
      </w:r>
      <w:r w:rsidRPr="00861BFA">
        <w:t>мыми этой жалобой сторонами может вынести рекомендацию лицу, ответстве</w:t>
      </w:r>
      <w:r w:rsidRPr="00861BFA">
        <w:t>н</w:t>
      </w:r>
      <w:r w:rsidRPr="00861BFA">
        <w:t>ному за такое нарушение. Данная рекомендация носит обязательный характер, и, в соответствующих случаях, может предусматривать принятие в установле</w:t>
      </w:r>
      <w:r w:rsidRPr="00861BFA">
        <w:t>н</w:t>
      </w:r>
      <w:r w:rsidRPr="00861BFA">
        <w:t>ные сроки практических мер по устранению или прекращению данного вида дискриминации, либо по ее недопущению в будущем. Если данная рекоменд</w:t>
      </w:r>
      <w:r w:rsidRPr="00861BFA">
        <w:t>а</w:t>
      </w:r>
      <w:r w:rsidRPr="00861BFA">
        <w:t>ция не выполняется, то Уполномоченный может опубликовать ее в "Официал</w:t>
      </w:r>
      <w:r w:rsidRPr="00861BFA">
        <w:t>ь</w:t>
      </w:r>
      <w:r w:rsidRPr="00861BFA">
        <w:t>ном вестнике" Республики и установить новый срок для ее выполнения. В том случае, если до истечения нового срока рекомендация вновь окажется невыпо</w:t>
      </w:r>
      <w:r w:rsidRPr="00861BFA">
        <w:t>л</w:t>
      </w:r>
      <w:r w:rsidRPr="00861BFA">
        <w:t>ненной, Уполномоченный может наложить штраф за ее невыполнение, а также за каждый день просрочки.</w:t>
      </w:r>
    </w:p>
    <w:p w:rsidR="00861BFA" w:rsidRPr="00861BFA" w:rsidRDefault="00861BFA" w:rsidP="0020401C">
      <w:pPr>
        <w:pStyle w:val="SingleTxtGR"/>
      </w:pPr>
      <w:r w:rsidRPr="00861BFA">
        <w:t>138.</w:t>
      </w:r>
      <w:r w:rsidRPr="00861BFA">
        <w:tab/>
        <w:t>Если установлено, что запрещенная законом дискриминация закреплена в положениях законодательства, то Уполномоченный по вопросам администрации сообщает об этом Генеральному прокурору Республики на предмет внесения в них соответствующей поправки.</w:t>
      </w:r>
    </w:p>
    <w:p w:rsidR="00861BFA" w:rsidRPr="00861BFA" w:rsidRDefault="00861BFA" w:rsidP="0020401C">
      <w:pPr>
        <w:pStyle w:val="SingleTxtGR"/>
      </w:pPr>
      <w:r w:rsidRPr="00861BFA">
        <w:t>139.</w:t>
      </w:r>
      <w:r w:rsidRPr="00861BFA">
        <w:tab/>
        <w:t>Уполномоченный по вопросам администрации, действуя в качестве Орг</w:t>
      </w:r>
      <w:r w:rsidRPr="00861BFA">
        <w:t>а</w:t>
      </w:r>
      <w:r w:rsidRPr="00861BFA">
        <w:t>на по борьбе с дискриминацией или Комиссии по вопросам равенства, не может присудить возмещение убытков жертвам дискриминации. По закону жертвы дискриминации и лица, считающие, что они подвергаются дискриминации в области труда и занятий, для возмещения убытков могут обратиться в комп</w:t>
      </w:r>
      <w:r w:rsidRPr="00861BFA">
        <w:t>е</w:t>
      </w:r>
      <w:r w:rsidRPr="00861BFA">
        <w:t>тентный суд. Такой суд в надлежащих случаях присуждает справедливое и р</w:t>
      </w:r>
      <w:r w:rsidRPr="00861BFA">
        <w:t>а</w:t>
      </w:r>
      <w:r w:rsidRPr="00861BFA">
        <w:t>зумное возмещение убытков, включающее весь материальный ущерб и прете</w:t>
      </w:r>
      <w:r w:rsidRPr="00861BFA">
        <w:t>н</w:t>
      </w:r>
      <w:r w:rsidRPr="00861BFA">
        <w:t>зии со дня нарушения до даты полного возмещения убытков.</w:t>
      </w:r>
    </w:p>
    <w:p w:rsidR="00861BFA" w:rsidRPr="00861BFA" w:rsidRDefault="00861BFA" w:rsidP="0020401C">
      <w:pPr>
        <w:pStyle w:val="SingleTxtGR"/>
      </w:pPr>
      <w:r w:rsidRPr="00861BFA">
        <w:t>140.</w:t>
      </w:r>
      <w:r w:rsidRPr="00861BFA">
        <w:tab/>
        <w:t>Новые институциональные рамки борьбы с дискриминацией имеют ко</w:t>
      </w:r>
      <w:r w:rsidRPr="00861BFA">
        <w:t>м</w:t>
      </w:r>
      <w:r w:rsidRPr="00861BFA">
        <w:t>плексный характер, поскольку они охватывают все запрещенные виды дискр</w:t>
      </w:r>
      <w:r w:rsidRPr="00861BFA">
        <w:t>и</w:t>
      </w:r>
      <w:r w:rsidRPr="00861BFA">
        <w:t>минации в государственном и частном секторах. Действительно, эти рамки предусматривают создание важных методологических правовых инструментов для борьбы с дискриминацией путем принятия четкого и детального определ</w:t>
      </w:r>
      <w:r w:rsidRPr="00861BFA">
        <w:t>е</w:t>
      </w:r>
      <w:r w:rsidRPr="00861BFA">
        <w:t>ния понятий прямой и косвенной (скрытой) дискриминации, запрещенной зак</w:t>
      </w:r>
      <w:r w:rsidRPr="00861BFA">
        <w:t>о</w:t>
      </w:r>
      <w:r w:rsidRPr="00861BFA">
        <w:t>ном. Кроме того, они предусматривают особую самостоятельную защиту от притеснения и сложившегося положения, при котором сохраняется неблагопр</w:t>
      </w:r>
      <w:r w:rsidRPr="00861BFA">
        <w:t>и</w:t>
      </w:r>
      <w:r w:rsidRPr="00861BFA">
        <w:t>ятное дискриминационное обращение по признаку расовой или этнической принадлежности.</w:t>
      </w:r>
    </w:p>
    <w:p w:rsidR="00861BFA" w:rsidRPr="00861BFA" w:rsidRDefault="00861BFA" w:rsidP="0020401C">
      <w:pPr>
        <w:pStyle w:val="SingleTxtGR"/>
      </w:pPr>
      <w:r w:rsidRPr="00861BFA">
        <w:t>141.</w:t>
      </w:r>
      <w:r w:rsidRPr="00861BFA">
        <w:tab/>
        <w:t>В целом, положения институциональных рамок составляют единую с</w:t>
      </w:r>
      <w:r w:rsidRPr="00861BFA">
        <w:t>и</w:t>
      </w:r>
      <w:r w:rsidRPr="00861BFA">
        <w:t>стему защиты жертв дискриминации, которая предусматривает не только пр</w:t>
      </w:r>
      <w:r w:rsidRPr="00861BFA">
        <w:t>и</w:t>
      </w:r>
      <w:r w:rsidRPr="00861BFA">
        <w:t>менение санкций по конкретным случаям, но и принятие промежуточных р</w:t>
      </w:r>
      <w:r w:rsidRPr="00861BFA">
        <w:t>е</w:t>
      </w:r>
      <w:r w:rsidRPr="00861BFA">
        <w:t xml:space="preserve">шений в целях поощрения принципа равенства. </w:t>
      </w:r>
    </w:p>
    <w:p w:rsidR="00861BFA" w:rsidRPr="00861BFA" w:rsidRDefault="00861BFA" w:rsidP="0020401C">
      <w:pPr>
        <w:pStyle w:val="SingleTxtGR"/>
      </w:pPr>
      <w:r w:rsidRPr="00861BFA">
        <w:t>142.</w:t>
      </w:r>
      <w:r w:rsidRPr="00861BFA">
        <w:tab/>
        <w:t>Кроме того, эти рамки обеспечивают основу для выдвижения превенти</w:t>
      </w:r>
      <w:r w:rsidRPr="00861BFA">
        <w:t>в</w:t>
      </w:r>
      <w:r w:rsidRPr="00861BFA">
        <w:t>ных и образовательных инициатив по борьбе с дискриминацией, а также моб</w:t>
      </w:r>
      <w:r w:rsidRPr="00861BFA">
        <w:t>и</w:t>
      </w:r>
      <w:r w:rsidRPr="00861BFA">
        <w:t>лизации гражданского общества на уровне общественного сознания и пре</w:t>
      </w:r>
      <w:r w:rsidRPr="00861BFA">
        <w:t>д</w:t>
      </w:r>
      <w:r w:rsidRPr="00861BFA">
        <w:t>ставления интересов жертв дискриминации. Помимо этого, в интересах оказ</w:t>
      </w:r>
      <w:r w:rsidRPr="00861BFA">
        <w:t>а</w:t>
      </w:r>
      <w:r w:rsidRPr="00861BFA">
        <w:t>ния помощи жертвам дискриминации данные институциональные рамки пред</w:t>
      </w:r>
      <w:r w:rsidRPr="00861BFA">
        <w:t>у</w:t>
      </w:r>
      <w:r w:rsidRPr="00861BFA">
        <w:t>сматривают возможность принятия позитивных мер, направленных на пред</w:t>
      </w:r>
      <w:r w:rsidRPr="00861BFA">
        <w:t>у</w:t>
      </w:r>
      <w:r w:rsidRPr="00861BFA">
        <w:t>преждение или смягчение неблагоприятного положения, обусловленного рас</w:t>
      </w:r>
      <w:r w:rsidRPr="00861BFA">
        <w:t>о</w:t>
      </w:r>
      <w:r w:rsidRPr="00861BFA">
        <w:t xml:space="preserve">вым или этническим происхождением. </w:t>
      </w:r>
    </w:p>
    <w:p w:rsidR="00861BFA" w:rsidRPr="00861BFA" w:rsidRDefault="00861BFA" w:rsidP="00101135">
      <w:pPr>
        <w:pStyle w:val="HChGR"/>
      </w:pPr>
      <w:r w:rsidRPr="00861BFA">
        <w:tab/>
        <w:t>V.</w:t>
      </w:r>
      <w:r w:rsidRPr="00861BFA">
        <w:tab/>
        <w:t xml:space="preserve">Последние события, касающиеся кипрского вопроса </w:t>
      </w:r>
    </w:p>
    <w:p w:rsidR="00861BFA" w:rsidRPr="00861BFA" w:rsidRDefault="00861BFA" w:rsidP="0020401C">
      <w:pPr>
        <w:pStyle w:val="SingleTxtGR"/>
      </w:pPr>
      <w:r w:rsidRPr="00861BFA">
        <w:t>143.</w:t>
      </w:r>
      <w:r w:rsidRPr="00861BFA">
        <w:tab/>
        <w:t>С 1974 года характер кипрской проблемы остается прежним. Речь идет об иностранном вторжении и оккупации, которые провоцируют массовые наруш</w:t>
      </w:r>
      <w:r w:rsidRPr="00861BFA">
        <w:t>е</w:t>
      </w:r>
      <w:r w:rsidRPr="00861BFA">
        <w:t>ния прав человека населения Кипра.</w:t>
      </w:r>
    </w:p>
    <w:p w:rsidR="00861BFA" w:rsidRPr="00861BFA" w:rsidRDefault="00861BFA" w:rsidP="0020401C">
      <w:pPr>
        <w:pStyle w:val="SingleTxtGR"/>
      </w:pPr>
      <w:r w:rsidRPr="00861BFA">
        <w:t>144.</w:t>
      </w:r>
      <w:r w:rsidRPr="00861BFA">
        <w:tab/>
        <w:t>В феврале 2013 года Президентом Республики Кипр был избран г-н Н</w:t>
      </w:r>
      <w:r w:rsidRPr="00861BFA">
        <w:t>и</w:t>
      </w:r>
      <w:r w:rsidRPr="00861BFA">
        <w:t>кос Анастасиадис. Среди первоочередных целей правительства – возобновл</w:t>
      </w:r>
      <w:r w:rsidRPr="00861BFA">
        <w:t>е</w:t>
      </w:r>
      <w:r w:rsidRPr="00861BFA">
        <w:t>ние всеобъемлющих и ориентированных на результаты переговоров по реш</w:t>
      </w:r>
      <w:r w:rsidRPr="00861BFA">
        <w:t>е</w:t>
      </w:r>
      <w:r w:rsidRPr="00861BFA">
        <w:t xml:space="preserve">нию кипрской проблемы. 16 июля 2013 года Национальный совет единогласно подтвердил политическую готовность назначить участника переговоров от лица киприотов-греков. Одновременно с этим на данную должность был назначен посол Андреас Мавройяннис. </w:t>
      </w:r>
    </w:p>
    <w:p w:rsidR="00861BFA" w:rsidRPr="00861BFA" w:rsidRDefault="00861BFA" w:rsidP="0020401C">
      <w:pPr>
        <w:pStyle w:val="SingleTxtGR"/>
      </w:pPr>
      <w:r w:rsidRPr="00861BFA">
        <w:t>145.</w:t>
      </w:r>
      <w:r w:rsidRPr="00861BFA">
        <w:tab/>
        <w:t>11 февраля 2014 года лидеры двух общин, Президент Н. Анастасиадис и д-р Д. Эроглу, приняли Совместное заявление о возобновлении переговоров по кипрской проблеме с изложением рамок основных принципов ее урегулиров</w:t>
      </w:r>
      <w:r w:rsidRPr="00861BFA">
        <w:t>а</w:t>
      </w:r>
      <w:r w:rsidRPr="00861BFA">
        <w:t>ния и уточненной методологии, которой необходимо следовать в ходе перег</w:t>
      </w:r>
      <w:r w:rsidRPr="00861BFA">
        <w:t>о</w:t>
      </w:r>
      <w:r w:rsidRPr="00861BFA">
        <w:t>ворного процесса. В Совместном заявлении подтверждается, что урегулиров</w:t>
      </w:r>
      <w:r w:rsidRPr="00861BFA">
        <w:t>а</w:t>
      </w:r>
      <w:r w:rsidRPr="00861BFA">
        <w:t>ние будет основано на двухобщинной и двухзональной федерации при собл</w:t>
      </w:r>
      <w:r w:rsidRPr="00861BFA">
        <w:t>ю</w:t>
      </w:r>
      <w:r w:rsidRPr="00861BFA">
        <w:t>дении принципа политического равенства, как это изложено в соответствующих резолюциях Совета Безопасности и Соглашениях высокого уровня. Кроме того, в нем подтверждается, что объединенный Кипр как член Организации Объед</w:t>
      </w:r>
      <w:r w:rsidRPr="00861BFA">
        <w:t>и</w:t>
      </w:r>
      <w:r w:rsidRPr="00861BFA">
        <w:t>ненных Наций и Европейского союза должен иметь одну международную пр</w:t>
      </w:r>
      <w:r w:rsidRPr="00861BFA">
        <w:t>а</w:t>
      </w:r>
      <w:r w:rsidRPr="00861BFA">
        <w:t>восубъектность, один суверенитет, который определяется как суверенитет, к</w:t>
      </w:r>
      <w:r w:rsidRPr="00861BFA">
        <w:t>о</w:t>
      </w:r>
      <w:r w:rsidRPr="00861BFA">
        <w:t>торым обладают все государства</w:t>
      </w:r>
      <w:r w:rsidR="00A470AE">
        <w:t xml:space="preserve"> − </w:t>
      </w:r>
      <w:r w:rsidRPr="00861BFA">
        <w:t xml:space="preserve">члены Организации Объединенных Наций в соответствии с Уставом Организации Объединенных Наций, а также одно гражданство. </w:t>
      </w:r>
    </w:p>
    <w:p w:rsidR="00861BFA" w:rsidRDefault="00861BFA" w:rsidP="0020401C">
      <w:pPr>
        <w:pStyle w:val="SingleTxtGR"/>
      </w:pPr>
      <w:r w:rsidRPr="00861BFA">
        <w:t>146.</w:t>
      </w:r>
      <w:r w:rsidRPr="00861BFA">
        <w:tab/>
        <w:t>Правительство Республики Кипр считает, что с целью восстановить веру народа Кипра в возможность достижения урегулирования процессу переговоров необходимо придать определенный динамичный импульс. В связи с этим, пр</w:t>
      </w:r>
      <w:r w:rsidRPr="00861BFA">
        <w:t>а</w:t>
      </w:r>
      <w:r w:rsidRPr="00861BFA">
        <w:t>вительство Республики Кипр внесло на рассмотрение пакет предложений, кот</w:t>
      </w:r>
      <w:r w:rsidRPr="00861BFA">
        <w:t>о</w:t>
      </w:r>
      <w:r w:rsidRPr="00861BFA">
        <w:t>рый в случае его принятия Турцией "изменит правила игры" и будет спосо</w:t>
      </w:r>
      <w:r w:rsidRPr="00861BFA">
        <w:t>б</w:t>
      </w:r>
      <w:r w:rsidRPr="00861BFA">
        <w:t>ствовать укреплению духа доверия и сотрудничества между двумя общинами. Этот пакет предложений предусматривает возвращение города Вароша его з</w:t>
      </w:r>
      <w:r w:rsidRPr="00861BFA">
        <w:t>а</w:t>
      </w:r>
      <w:r w:rsidRPr="00861BFA">
        <w:t>конным жителям в соответствии с резолюцией 550 (1984) Совета Безопасности в обмен на открытие порта Фамагуста в рамках Протокола 10 и начало перег</w:t>
      </w:r>
      <w:r w:rsidRPr="00861BFA">
        <w:t>о</w:t>
      </w:r>
      <w:r w:rsidRPr="00861BFA">
        <w:t>воров по ряду обсуждаемых вопросов, касающихся вступления Турции, при условии, что Турция в полной мере и на недискриминационной основе выпо</w:t>
      </w:r>
      <w:r w:rsidRPr="00861BFA">
        <w:t>л</w:t>
      </w:r>
      <w:r w:rsidRPr="00861BFA">
        <w:t>нит положения Дополнительного протокола к Соглашению о создании ассоци</w:t>
      </w:r>
      <w:r w:rsidRPr="00861BFA">
        <w:t>а</w:t>
      </w:r>
      <w:r w:rsidRPr="00861BFA">
        <w:t>ции между Европейским экономическим сообществом и Турцией (Дополн</w:t>
      </w:r>
      <w:r w:rsidRPr="00861BFA">
        <w:t>и</w:t>
      </w:r>
      <w:r w:rsidRPr="00861BFA">
        <w:t xml:space="preserve">тельный протокол к Соглашению об ассоциации с Европейским </w:t>
      </w:r>
      <w:r w:rsidR="0029430D">
        <w:t>с</w:t>
      </w:r>
      <w:r w:rsidRPr="00861BFA">
        <w:t xml:space="preserve">оюзом). </w:t>
      </w:r>
    </w:p>
    <w:p w:rsidR="0029430D" w:rsidRPr="0029430D" w:rsidRDefault="0029430D" w:rsidP="0029430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430D" w:rsidRPr="0029430D" w:rsidSect="005709C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5E" w:rsidRDefault="0086335E">
      <w:r>
        <w:rPr>
          <w:lang w:val="en-US"/>
        </w:rPr>
        <w:tab/>
      </w:r>
      <w:r>
        <w:separator/>
      </w:r>
    </w:p>
  </w:endnote>
  <w:endnote w:type="continuationSeparator" w:id="0">
    <w:p w:rsidR="0086335E" w:rsidRDefault="0086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B" w:rsidRPr="009A6F4A" w:rsidRDefault="00C361BB" w:rsidP="00011EC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43">
      <w:rPr>
        <w:rStyle w:val="PageNumber"/>
        <w:noProof/>
      </w:rPr>
      <w:t>40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5928A8">
      <w:rPr>
        <w:lang w:val="en-US"/>
      </w:rPr>
      <w:t>15-01676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B" w:rsidRPr="009A6F4A" w:rsidRDefault="00C361BB" w:rsidP="00011EC8">
    <w:pPr>
      <w:pStyle w:val="Footer"/>
      <w:rPr>
        <w:lang w:val="en-US"/>
      </w:rPr>
    </w:pPr>
    <w:r>
      <w:rPr>
        <w:lang w:val="en-US"/>
      </w:rPr>
      <w:t>GE.</w:t>
    </w:r>
    <w:r w:rsidRPr="005928A8">
      <w:rPr>
        <w:lang w:val="en-US"/>
      </w:rPr>
      <w:t>15-01676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43">
      <w:rPr>
        <w:rStyle w:val="PageNumber"/>
        <w:noProof/>
      </w:rPr>
      <w:t>39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34"/>
      <w:gridCol w:w="4625"/>
      <w:gridCol w:w="1596"/>
    </w:tblGrid>
    <w:tr w:rsidR="00C361BB" w:rsidTr="00924443">
      <w:trPr>
        <w:trHeight w:val="438"/>
      </w:trPr>
      <w:tc>
        <w:tcPr>
          <w:tcW w:w="4068" w:type="dxa"/>
          <w:tcBorders>
            <w:bottom w:val="nil"/>
          </w:tcBorders>
          <w:shd w:val="clear" w:color="auto" w:fill="auto"/>
          <w:vAlign w:val="bottom"/>
        </w:tcPr>
        <w:p w:rsidR="00C361BB" w:rsidRPr="00FF2DB4" w:rsidRDefault="00C361BB" w:rsidP="00924443">
          <w:pPr>
            <w:spacing w:before="40" w:after="40"/>
          </w:pPr>
          <w:r w:rsidRPr="00924443">
            <w:rPr>
              <w:lang w:val="en-US"/>
            </w:rPr>
            <w:t>GE.15-01676   (R)</w:t>
          </w:r>
          <w:r>
            <w:t xml:space="preserve">   120315  130315</w:t>
          </w:r>
        </w:p>
      </w:tc>
      <w:tc>
        <w:tcPr>
          <w:tcW w:w="4663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C361BB" w:rsidRPr="00924443" w:rsidRDefault="00924443" w:rsidP="00924443">
          <w:pPr>
            <w:spacing w:before="40" w:after="120"/>
            <w:jc w:val="right"/>
            <w:rPr>
              <w:sz w:val="18"/>
            </w:rPr>
          </w:pPr>
          <w:r w:rsidRPr="00924443">
            <w:rPr>
              <w:b/>
              <w:noProof/>
              <w:sz w:val="18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recycle_Russian" style="width:213pt;height:18pt;visibility:visible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C361BB" w:rsidRPr="00924443" w:rsidRDefault="00924443" w:rsidP="00924443">
          <w:pPr>
            <w:spacing w:before="40" w:after="40"/>
            <w:jc w:val="right"/>
            <w:rPr>
              <w:sz w:val="18"/>
            </w:rPr>
          </w:pPr>
          <w:r w:rsidRPr="00924443">
            <w:rPr>
              <w:noProof/>
              <w:sz w:val="18"/>
              <w:lang w:eastAsia="ru-RU"/>
            </w:rPr>
            <w:pict>
              <v:shape id="Рисунок 3" o:spid="_x0000_i1027" type="#_x0000_t75" alt="http://undocs.org/m2/QRCode2.ashx?DS=HRI/CORE/CYP/2014&amp;Size=2&amp;Lang=R" style="width:68.25pt;height:68.25pt;visibility:visible">
                <v:imagedata r:id="rId2" o:title="2014&amp;Size=2&amp;Lang=R"/>
              </v:shape>
            </w:pict>
          </w:r>
        </w:p>
      </w:tc>
    </w:tr>
    <w:tr w:rsidR="00C361BB" w:rsidRPr="00797A78" w:rsidTr="00924443">
      <w:tc>
        <w:tcPr>
          <w:tcW w:w="4068" w:type="dxa"/>
          <w:shd w:val="clear" w:color="auto" w:fill="auto"/>
          <w:vAlign w:val="bottom"/>
        </w:tcPr>
        <w:p w:rsidR="00C361BB" w:rsidRPr="00924443" w:rsidRDefault="00C361BB" w:rsidP="00924443">
          <w:pPr>
            <w:spacing w:before="40"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244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C361BB" w:rsidRPr="00924443" w:rsidRDefault="00C361BB" w:rsidP="00924443">
          <w:pPr>
            <w:spacing w:before="40" w:after="40"/>
            <w:rPr>
              <w:sz w:val="18"/>
            </w:rPr>
          </w:pPr>
        </w:p>
      </w:tc>
      <w:tc>
        <w:tcPr>
          <w:tcW w:w="1124" w:type="dxa"/>
          <w:vMerge/>
          <w:shd w:val="clear" w:color="auto" w:fill="auto"/>
        </w:tcPr>
        <w:p w:rsidR="00C361BB" w:rsidRPr="00924443" w:rsidRDefault="00C361BB" w:rsidP="00924443">
          <w:pPr>
            <w:spacing w:before="40" w:after="40"/>
            <w:rPr>
              <w:sz w:val="18"/>
            </w:rPr>
          </w:pPr>
        </w:p>
      </w:tc>
    </w:tr>
  </w:tbl>
  <w:p w:rsidR="00C361BB" w:rsidRDefault="00C361BB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5E" w:rsidRPr="00F71F63" w:rsidRDefault="0086335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6335E" w:rsidRPr="00F71F63" w:rsidRDefault="0086335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6335E" w:rsidRPr="00635E86" w:rsidRDefault="0086335E" w:rsidP="00635E86">
      <w:pPr>
        <w:pStyle w:val="Footer"/>
      </w:pPr>
    </w:p>
  </w:footnote>
  <w:footnote w:id="1">
    <w:p w:rsidR="00C361BB" w:rsidRPr="00861BFA" w:rsidRDefault="00C361BB" w:rsidP="00861BFA">
      <w:pPr>
        <w:pStyle w:val="FootnoteText"/>
        <w:rPr>
          <w:lang w:val="ru-RU"/>
        </w:rPr>
      </w:pPr>
      <w:r>
        <w:tab/>
      </w:r>
      <w:r w:rsidRPr="0020401C">
        <w:rPr>
          <w:rStyle w:val="FootnoteReference"/>
          <w:sz w:val="20"/>
          <w:vertAlign w:val="baseline"/>
          <w:lang w:val="ru-RU"/>
        </w:rPr>
        <w:t>*</w:t>
      </w:r>
      <w:r w:rsidRPr="00861BFA">
        <w:rPr>
          <w:sz w:val="20"/>
          <w:lang w:val="ru-RU"/>
        </w:rPr>
        <w:t xml:space="preserve"> </w:t>
      </w:r>
      <w:r w:rsidRPr="00861BFA">
        <w:rPr>
          <w:sz w:val="20"/>
          <w:lang w:val="ru-RU"/>
        </w:rPr>
        <w:tab/>
      </w:r>
      <w:r w:rsidRPr="00861BFA">
        <w:rPr>
          <w:lang w:val="ru-RU"/>
        </w:rPr>
        <w:t>Настоящий документ публикуется без официального редактирования.</w:t>
      </w:r>
    </w:p>
  </w:footnote>
  <w:footnote w:id="2">
    <w:p w:rsidR="00C361BB" w:rsidRPr="00627938" w:rsidRDefault="00C361BB" w:rsidP="00861BFA">
      <w:pPr>
        <w:pStyle w:val="FootnoteText"/>
        <w:rPr>
          <w:lang w:val="ru-RU"/>
        </w:rPr>
      </w:pPr>
      <w:r w:rsidRPr="00861BFA">
        <w:rPr>
          <w:lang w:val="ru-RU"/>
        </w:rPr>
        <w:tab/>
      </w:r>
      <w:r w:rsidRPr="00861BFA">
        <w:rPr>
          <w:rStyle w:val="FootnoteReference"/>
          <w:sz w:val="20"/>
          <w:lang w:val="ru-RU"/>
        </w:rPr>
        <w:t>**</w:t>
      </w:r>
      <w:r w:rsidRPr="00861BFA">
        <w:rPr>
          <w:lang w:val="ru-RU"/>
        </w:rPr>
        <w:t xml:space="preserve"> </w:t>
      </w:r>
      <w:r w:rsidRPr="00861BFA">
        <w:rPr>
          <w:lang w:val="ru-RU"/>
        </w:rPr>
        <w:tab/>
        <w:t>С</w:t>
      </w:r>
      <w:r w:rsidRPr="00627938">
        <w:rPr>
          <w:lang w:val="ru-RU"/>
        </w:rPr>
        <w:t xml:space="preserve"> приложениями можно ознакомиться по следующей ссылке: </w:t>
      </w:r>
      <w:hyperlink w:history="1">
        <w:r w:rsidRPr="00627938">
          <w:rPr>
            <w:rStyle w:val="Hyperlink"/>
            <w:u w:val="none"/>
            <w:lang w:val="en-US"/>
          </w:rPr>
          <w:t>http</w:t>
        </w:r>
        <w:r w:rsidRPr="00627938">
          <w:rPr>
            <w:rStyle w:val="Hyperlink"/>
            <w:u w:val="none"/>
            <w:lang w:val="ru-RU"/>
          </w:rPr>
          <w:t>://</w:t>
        </w:r>
        <w:r w:rsidRPr="00627938">
          <w:rPr>
            <w:rStyle w:val="Hyperlink"/>
            <w:u w:val="none"/>
            <w:lang w:val="en-US"/>
          </w:rPr>
          <w:t>tbinternet</w:t>
        </w:r>
        <w:r w:rsidRPr="00627938">
          <w:rPr>
            <w:rStyle w:val="Hyperlink"/>
            <w:u w:val="none"/>
            <w:lang w:val="ru-RU"/>
          </w:rPr>
          <w:t>.</w:t>
        </w:r>
        <w:r w:rsidRPr="00627938">
          <w:rPr>
            <w:rStyle w:val="Hyperlink"/>
            <w:u w:val="none"/>
            <w:lang w:val="en-US"/>
          </w:rPr>
          <w:t>ohchr</w:t>
        </w:r>
        <w:r w:rsidRPr="00627938">
          <w:rPr>
            <w:rStyle w:val="Hyperlink"/>
            <w:u w:val="none"/>
            <w:lang w:val="ru-RU"/>
          </w:rPr>
          <w:t xml:space="preserve">. </w:t>
        </w:r>
        <w:r w:rsidRPr="00627938">
          <w:rPr>
            <w:rStyle w:val="Hyperlink"/>
            <w:u w:val="none"/>
            <w:lang w:val="en-US"/>
          </w:rPr>
          <w:t>org</w:t>
        </w:r>
        <w:r w:rsidRPr="00627938">
          <w:rPr>
            <w:rStyle w:val="Hyperlink"/>
            <w:u w:val="none"/>
            <w:lang w:val="ru-RU"/>
          </w:rPr>
          <w:t>/_</w:t>
        </w:r>
        <w:r w:rsidRPr="00627938">
          <w:rPr>
            <w:rStyle w:val="Hyperlink"/>
            <w:u w:val="none"/>
            <w:lang w:val="en-US"/>
          </w:rPr>
          <w:t>layouts</w:t>
        </w:r>
        <w:r w:rsidRPr="00627938">
          <w:rPr>
            <w:rStyle w:val="Hyperlink"/>
            <w:u w:val="none"/>
            <w:lang w:val="ru-RU"/>
          </w:rPr>
          <w:t>/</w:t>
        </w:r>
        <w:r w:rsidRPr="00627938">
          <w:rPr>
            <w:rStyle w:val="Hyperlink"/>
            <w:u w:val="none"/>
            <w:lang w:val="en-US"/>
          </w:rPr>
          <w:t>treatybodyexternal</w:t>
        </w:r>
        <w:r w:rsidRPr="00627938">
          <w:rPr>
            <w:rStyle w:val="Hyperlink"/>
            <w:u w:val="none"/>
            <w:lang w:val="ru-RU"/>
          </w:rPr>
          <w:t>/</w:t>
        </w:r>
        <w:r w:rsidRPr="00627938">
          <w:rPr>
            <w:rStyle w:val="Hyperlink"/>
            <w:u w:val="none"/>
            <w:lang w:val="en-US"/>
          </w:rPr>
          <w:t>Download</w:t>
        </w:r>
        <w:r w:rsidRPr="00627938">
          <w:rPr>
            <w:rStyle w:val="Hyperlink"/>
            <w:u w:val="none"/>
            <w:lang w:val="ru-RU"/>
          </w:rPr>
          <w:t>.</w:t>
        </w:r>
        <w:r w:rsidRPr="00627938">
          <w:rPr>
            <w:rStyle w:val="Hyperlink"/>
            <w:u w:val="none"/>
            <w:lang w:val="en-US"/>
          </w:rPr>
          <w:t>as</w:t>
        </w:r>
        <w:bookmarkStart w:id="2" w:name="_Hlt407088345"/>
        <w:bookmarkStart w:id="3" w:name="_Hlt407088346"/>
        <w:r w:rsidRPr="00627938">
          <w:rPr>
            <w:rStyle w:val="Hyperlink"/>
            <w:u w:val="none"/>
            <w:lang w:val="en-US"/>
          </w:rPr>
          <w:t>p</w:t>
        </w:r>
        <w:bookmarkEnd w:id="2"/>
        <w:bookmarkEnd w:id="3"/>
        <w:r w:rsidRPr="00627938">
          <w:rPr>
            <w:rStyle w:val="Hyperlink"/>
            <w:u w:val="none"/>
            <w:lang w:val="en-US"/>
          </w:rPr>
          <w:t>x</w:t>
        </w:r>
        <w:r w:rsidRPr="00627938">
          <w:rPr>
            <w:rStyle w:val="Hyperlink"/>
            <w:u w:val="none"/>
            <w:lang w:val="ru-RU"/>
          </w:rPr>
          <w:t>?</w:t>
        </w:r>
        <w:r w:rsidRPr="00627938">
          <w:rPr>
            <w:rStyle w:val="Hyperlink"/>
            <w:u w:val="none"/>
            <w:lang w:val="en-US"/>
          </w:rPr>
          <w:t>symbolno</w:t>
        </w:r>
        <w:r w:rsidRPr="00627938">
          <w:rPr>
            <w:rStyle w:val="Hyperlink"/>
            <w:u w:val="none"/>
            <w:lang w:val="ru-RU"/>
          </w:rPr>
          <w:t>=</w:t>
        </w:r>
        <w:r w:rsidRPr="00627938">
          <w:rPr>
            <w:rStyle w:val="Hyperlink"/>
            <w:u w:val="none"/>
            <w:lang w:val="en-US"/>
          </w:rPr>
          <w:t>INT</w:t>
        </w:r>
        <w:r w:rsidRPr="00627938">
          <w:rPr>
            <w:rStyle w:val="Hyperlink"/>
            <w:u w:val="none"/>
            <w:lang w:val="ru-RU"/>
          </w:rPr>
          <w:t>%2</w:t>
        </w:r>
        <w:r w:rsidRPr="00627938">
          <w:rPr>
            <w:rStyle w:val="Hyperlink"/>
            <w:u w:val="none"/>
            <w:lang w:val="en-US"/>
          </w:rPr>
          <w:t>fAll</w:t>
        </w:r>
        <w:r w:rsidRPr="00627938">
          <w:rPr>
            <w:rStyle w:val="Hyperlink"/>
            <w:u w:val="none"/>
            <w:lang w:val="ru-RU"/>
          </w:rPr>
          <w:t>-</w:t>
        </w:r>
        <w:r w:rsidRPr="00627938">
          <w:rPr>
            <w:rStyle w:val="Hyperlink"/>
            <w:u w:val="none"/>
            <w:lang w:val="en-US"/>
          </w:rPr>
          <w:t>Treaties</w:t>
        </w:r>
        <w:r w:rsidRPr="00627938">
          <w:rPr>
            <w:rStyle w:val="Hyperlink"/>
            <w:u w:val="none"/>
            <w:lang w:val="ru-RU"/>
          </w:rPr>
          <w:t>%2</w:t>
        </w:r>
        <w:r w:rsidRPr="00627938">
          <w:rPr>
            <w:rStyle w:val="Hyperlink"/>
            <w:u w:val="none"/>
            <w:lang w:val="en-US"/>
          </w:rPr>
          <w:t>fACR</w:t>
        </w:r>
        <w:r w:rsidRPr="00627938">
          <w:rPr>
            <w:rStyle w:val="Hyperlink"/>
            <w:u w:val="none"/>
            <w:lang w:val="ru-RU"/>
          </w:rPr>
          <w:t>%2</w:t>
        </w:r>
        <w:r w:rsidRPr="00627938">
          <w:rPr>
            <w:rStyle w:val="Hyperlink"/>
            <w:u w:val="none"/>
            <w:lang w:val="en-US"/>
          </w:rPr>
          <w:t>fCYP</w:t>
        </w:r>
        <w:r w:rsidRPr="00627938">
          <w:rPr>
            <w:rStyle w:val="Hyperlink"/>
            <w:u w:val="none"/>
            <w:lang w:val="ru-RU"/>
          </w:rPr>
          <w:t>%2</w:t>
        </w:r>
        <w:r w:rsidRPr="00627938">
          <w:rPr>
            <w:rStyle w:val="Hyperlink"/>
            <w:u w:val="none"/>
            <w:lang w:val="en-US"/>
          </w:rPr>
          <w:t>f</w:t>
        </w:r>
        <w:r w:rsidRPr="00627938">
          <w:rPr>
            <w:rStyle w:val="Hyperlink"/>
            <w:u w:val="none"/>
            <w:lang w:val="ru-RU"/>
          </w:rPr>
          <w:t>7567&amp;</w:t>
        </w:r>
        <w:r w:rsidRPr="00627938">
          <w:rPr>
            <w:rStyle w:val="Hyperlink"/>
            <w:u w:val="none"/>
            <w:lang w:val="en-US"/>
          </w:rPr>
          <w:t>Lang</w:t>
        </w:r>
        <w:r w:rsidRPr="00627938">
          <w:rPr>
            <w:rStyle w:val="Hyperlink"/>
            <w:u w:val="none"/>
            <w:lang w:val="ru-RU"/>
          </w:rPr>
          <w:t>=</w:t>
        </w:r>
        <w:r w:rsidRPr="00627938">
          <w:rPr>
            <w:rStyle w:val="Hyperlink"/>
            <w:u w:val="none"/>
            <w:lang w:val="en-US"/>
          </w:rPr>
          <w:t>en</w:t>
        </w:r>
      </w:hyperlink>
      <w:r w:rsidRPr="00627938">
        <w:rPr>
          <w:lang w:val="ru-RU"/>
        </w:rPr>
        <w:t>.</w:t>
      </w:r>
    </w:p>
  </w:footnote>
  <w:footnote w:id="3">
    <w:p w:rsidR="00C361BB" w:rsidRPr="00861BFA" w:rsidRDefault="00C361BB" w:rsidP="00861BFA">
      <w:pPr>
        <w:pStyle w:val="FootnoteText"/>
        <w:rPr>
          <w:lang w:val="ru-RU"/>
        </w:rPr>
      </w:pPr>
      <w:r w:rsidRPr="00861BFA">
        <w:rPr>
          <w:color w:val="000000"/>
          <w:lang w:val="ru-RU"/>
        </w:rPr>
        <w:tab/>
      </w:r>
      <w:r>
        <w:rPr>
          <w:rStyle w:val="FootnoteReference"/>
          <w:color w:val="000000"/>
        </w:rPr>
        <w:footnoteRef/>
      </w:r>
      <w:r w:rsidRPr="00861BFA">
        <w:rPr>
          <w:color w:val="000000"/>
          <w:lang w:val="ru-RU"/>
        </w:rPr>
        <w:tab/>
        <w:t>См.</w:t>
      </w:r>
      <w:r>
        <w:rPr>
          <w:color w:val="000000"/>
          <w:lang w:val="ru-RU"/>
        </w:rPr>
        <w:t>,</w:t>
      </w:r>
      <w:r w:rsidRPr="00861BFA">
        <w:rPr>
          <w:color w:val="000000"/>
          <w:lang w:val="ru-RU"/>
        </w:rPr>
        <w:t xml:space="preserve"> в частности, резолюции Генеральной Ассамблеи 3212 (</w:t>
      </w:r>
      <w:r>
        <w:rPr>
          <w:color w:val="000000"/>
        </w:rPr>
        <w:t>XXIX</w:t>
      </w:r>
      <w:r>
        <w:rPr>
          <w:color w:val="000000"/>
          <w:lang w:val="ru-RU"/>
        </w:rPr>
        <w:t>) от 1 ноября 1974 </w:t>
      </w:r>
      <w:r w:rsidRPr="00861BFA">
        <w:rPr>
          <w:color w:val="000000"/>
          <w:lang w:val="ru-RU"/>
        </w:rPr>
        <w:t>года; 3395 (</w:t>
      </w:r>
      <w:r>
        <w:rPr>
          <w:color w:val="000000"/>
        </w:rPr>
        <w:t>XXX</w:t>
      </w:r>
      <w:r w:rsidRPr="00861BFA">
        <w:rPr>
          <w:color w:val="000000"/>
          <w:lang w:val="ru-RU"/>
        </w:rPr>
        <w:t xml:space="preserve">) от 20 ноября 1975 года; 31/12 (1976) от 12 ноября 1976 года; 32/15 (1977) от 9 ноября 1977 года; 33/15 (1978) от 9 ноября 1978 года; 34/30 (1979)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20 ноября 1979 года; 37/253 (1983) от 13 мая 1983 года; резолюции Совета Безопасности 353 (1974) от 20 июля 1974 года; 354 (1974) от 23 июля 1974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355 (1974) от 1 августа 1974 года; 357 (1974) от 14 августа 1974 года; 358 (1974)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15 августа 1974 года; 359 (1974) от 15 августа 1974 года; 360 (1974) от 16 августа 1974 года; 361 (1974) от 30 августа 1974 года; 364 (1974) от 13 декабря 1974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365 (1974) от 13 декабря 1974 года; 367 (1975) от 12 марта 1975 года; 370 (1975)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13 июня 1975 года; 414 (1977) от 15 сентября 1977 года; 440 (1978) от 27 ноября 1978 года; 541 (1983) от 18 ноября 1983 года; 550 (1984) от 11 мая 1984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649 (1990) от 12 марта 1990 года; 716 (1991) от 11 октября 1991 года; 750 (1992)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10 апреля 1992 года; 774 (1992) от 26 августа 1992 года; 789 (1992) от 25 ноября 1992 года; 939 (1994) от 29 июля 1994 года; 969 (1994) от 21 декабря 1994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>1</w:t>
      </w:r>
      <w:r>
        <w:rPr>
          <w:color w:val="000000"/>
          <w:lang w:val="ru-RU"/>
        </w:rPr>
        <w:t> </w:t>
      </w:r>
      <w:r w:rsidRPr="00861BFA">
        <w:rPr>
          <w:color w:val="000000"/>
          <w:lang w:val="ru-RU"/>
        </w:rPr>
        <w:t>000 (1995) от 23 июня 1995 года; 1032 (1995) от 19 декабря 1995</w:t>
      </w:r>
      <w:r>
        <w:rPr>
          <w:color w:val="000000"/>
          <w:lang w:val="ru-RU"/>
        </w:rPr>
        <w:t xml:space="preserve"> года</w:t>
      </w:r>
      <w:r w:rsidRPr="00861BFA">
        <w:rPr>
          <w:color w:val="000000"/>
          <w:lang w:val="ru-RU"/>
        </w:rPr>
        <w:t xml:space="preserve">; 1062 (1996)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28 июня 1996 года; 1092 (1996) от 23 декабря 1996 года; 1117 (1997) от 27 июня 1997 года; 1146 (1997) от 22 декабря 1997 года; 1178 (1998) от 29 июня 1998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1179 (1998) от 29 июня 1998 года; 1217 (1998) от 22 декабря 1998 года; 1218 (1998)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22 декабря 1998 года; 1250 (1999) от 26 июня 1999 года; 1251 (1999) от 29 июня 1999 года; 1283 (1999) от 15 декабря 1999 года; 1303 (2000) от 14 июня 2000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133 (2000) от 13 декабря 2000 года; 1354 (2001) от 12 июня 2001 года; 1384 (2001)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от 13 декабря 2001 года; 1416 (2002), июнь 2002 года; 1442 (2002), декабрь 2002 года; 1475 (2003) от 14 апреля 2003 года; 1486 (2003), июнь 2003 года; 1517 (2003), декабрь 2003 года; 1548 (2004) от 11 июня 2004 года; 1568 (2004), декабрь 2004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1604 (2005), июнь 2005 года; 1642 (2005), декабрь 2005 года; 1687 (2006), июнь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2006 года; 1728 (2006), декабрь 2006 года; 1758 (2007), июнь 2007 года; 1789 (2007), декабрь 2007 года; 1818 (2008), июнь 2008 года; 1847 (2008), декабрь 2008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1873 (2009), июнь 2009 года; 1898 (2009), декабрь 2009 года; 1930 (2010), июнь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2010 года; </w:t>
      </w:r>
      <w:r>
        <w:rPr>
          <w:color w:val="000000"/>
          <w:lang w:val="ru-RU"/>
        </w:rPr>
        <w:t xml:space="preserve">1953 (2010), декабрь 2010 года; </w:t>
      </w:r>
      <w:r w:rsidRPr="00861BFA">
        <w:rPr>
          <w:color w:val="000000"/>
          <w:lang w:val="ru-RU"/>
        </w:rPr>
        <w:t xml:space="preserve">1986 (2011), июль 2011 года; 2026 (2011), декабрь 2011 года; 2058 (2012), июль 2012 года; 2089 (2013), январь 2013 года; </w:t>
      </w:r>
      <w:r>
        <w:rPr>
          <w:color w:val="000000"/>
          <w:lang w:val="ru-RU"/>
        </w:rPr>
        <w:br/>
      </w:r>
      <w:r w:rsidRPr="00861BFA">
        <w:rPr>
          <w:color w:val="000000"/>
          <w:lang w:val="ru-RU"/>
        </w:rPr>
        <w:t xml:space="preserve">2114 (2013), июль 2013 года.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B" w:rsidRPr="00DA2EAC" w:rsidRDefault="00C361BB">
    <w:pPr>
      <w:pStyle w:val="Header"/>
      <w:rPr>
        <w:lang w:val="en-US"/>
      </w:rPr>
    </w:pPr>
    <w:r>
      <w:rPr>
        <w:lang w:val="en-US"/>
      </w:rPr>
      <w:t>HRI/</w:t>
    </w:r>
    <w:r w:rsidRPr="005928A8">
      <w:rPr>
        <w:lang w:val="en-US"/>
      </w:rPr>
      <w:t>CORE/CYP/2014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B" w:rsidRPr="009A6F4A" w:rsidRDefault="00C361BB">
    <w:pPr>
      <w:pStyle w:val="Header"/>
      <w:rPr>
        <w:lang w:val="en-US"/>
      </w:rPr>
    </w:pPr>
    <w:r>
      <w:rPr>
        <w:lang w:val="en-US"/>
      </w:rPr>
      <w:tab/>
      <w:t>HRI/</w:t>
    </w:r>
    <w:r w:rsidRPr="005928A8">
      <w:rPr>
        <w:lang w:val="en-US"/>
      </w:rPr>
      <w:t>CORE/CYP/2014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FFFFFFFF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253887"/>
    <w:multiLevelType w:val="hybridMultilevel"/>
    <w:tmpl w:val="497EC7CC"/>
    <w:lvl w:ilvl="0" w:tplc="FFFFFFFF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B13387"/>
    <w:multiLevelType w:val="hybridMultilevel"/>
    <w:tmpl w:val="C36EE534"/>
    <w:lvl w:ilvl="0" w:tplc="FFFFFFFF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1A12325"/>
    <w:multiLevelType w:val="hybridMultilevel"/>
    <w:tmpl w:val="FF0E5B48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36114"/>
    <w:multiLevelType w:val="hybridMultilevel"/>
    <w:tmpl w:val="91062716"/>
    <w:lvl w:ilvl="0" w:tplc="FFFFFFFF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17"/>
  </w:num>
  <w:num w:numId="19">
    <w:abstractNumId w:val="17"/>
  </w:num>
  <w:num w:numId="20">
    <w:abstractNumId w:val="22"/>
  </w:num>
  <w:num w:numId="21">
    <w:abstractNumId w:val="17"/>
  </w:num>
  <w:num w:numId="22">
    <w:abstractNumId w:val="20"/>
  </w:num>
  <w:num w:numId="23">
    <w:abstractNumId w:val="20"/>
  </w:num>
  <w:num w:numId="24">
    <w:abstractNumId w:val="16"/>
  </w:num>
  <w:num w:numId="25">
    <w:abstractNumId w:val="14"/>
  </w:num>
  <w:num w:numId="26">
    <w:abstractNumId w:val="10"/>
  </w:num>
  <w:num w:numId="27">
    <w:abstractNumId w:val="21"/>
  </w:num>
  <w:num w:numId="28">
    <w:abstractNumId w:val="13"/>
  </w:num>
  <w:num w:numId="29">
    <w:abstractNumId w:val="11"/>
  </w:num>
  <w:num w:numId="30">
    <w:abstractNumId w:val="18"/>
  </w:num>
  <w:num w:numId="31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8A8"/>
    <w:rsid w:val="000033D8"/>
    <w:rsid w:val="00005C1C"/>
    <w:rsid w:val="00011EC8"/>
    <w:rsid w:val="00016553"/>
    <w:rsid w:val="000233B3"/>
    <w:rsid w:val="00023E9E"/>
    <w:rsid w:val="00026B0C"/>
    <w:rsid w:val="00027872"/>
    <w:rsid w:val="0003638E"/>
    <w:rsid w:val="00036FF2"/>
    <w:rsid w:val="0004010A"/>
    <w:rsid w:val="00043D88"/>
    <w:rsid w:val="00046E4D"/>
    <w:rsid w:val="000570D0"/>
    <w:rsid w:val="0006401A"/>
    <w:rsid w:val="00072C27"/>
    <w:rsid w:val="00073DE7"/>
    <w:rsid w:val="00086182"/>
    <w:rsid w:val="00090891"/>
    <w:rsid w:val="00092E62"/>
    <w:rsid w:val="000952E9"/>
    <w:rsid w:val="00097227"/>
    <w:rsid w:val="00097975"/>
    <w:rsid w:val="000A3DDF"/>
    <w:rsid w:val="000A60A0"/>
    <w:rsid w:val="000A6F50"/>
    <w:rsid w:val="000C3688"/>
    <w:rsid w:val="000D6863"/>
    <w:rsid w:val="00101135"/>
    <w:rsid w:val="001132E1"/>
    <w:rsid w:val="00117AEE"/>
    <w:rsid w:val="001463F7"/>
    <w:rsid w:val="0015769C"/>
    <w:rsid w:val="001611E4"/>
    <w:rsid w:val="00180752"/>
    <w:rsid w:val="00185076"/>
    <w:rsid w:val="0018543C"/>
    <w:rsid w:val="00190231"/>
    <w:rsid w:val="00191456"/>
    <w:rsid w:val="00192ABD"/>
    <w:rsid w:val="00195784"/>
    <w:rsid w:val="001A6808"/>
    <w:rsid w:val="001A75D5"/>
    <w:rsid w:val="001A7D40"/>
    <w:rsid w:val="001B125F"/>
    <w:rsid w:val="001D07F7"/>
    <w:rsid w:val="001D7B8F"/>
    <w:rsid w:val="001E48EE"/>
    <w:rsid w:val="001F2D04"/>
    <w:rsid w:val="0020059C"/>
    <w:rsid w:val="002019BD"/>
    <w:rsid w:val="0020401C"/>
    <w:rsid w:val="00232D42"/>
    <w:rsid w:val="00237334"/>
    <w:rsid w:val="002444F4"/>
    <w:rsid w:val="00251062"/>
    <w:rsid w:val="002629A0"/>
    <w:rsid w:val="0028492B"/>
    <w:rsid w:val="00291A4C"/>
    <w:rsid w:val="00291C8F"/>
    <w:rsid w:val="0029430D"/>
    <w:rsid w:val="002C4A49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7180"/>
    <w:rsid w:val="00351552"/>
    <w:rsid w:val="00356BB2"/>
    <w:rsid w:val="00360477"/>
    <w:rsid w:val="00367FC9"/>
    <w:rsid w:val="003711A1"/>
    <w:rsid w:val="00372123"/>
    <w:rsid w:val="003823BE"/>
    <w:rsid w:val="00382B38"/>
    <w:rsid w:val="00386581"/>
    <w:rsid w:val="00387100"/>
    <w:rsid w:val="00393343"/>
    <w:rsid w:val="003951D3"/>
    <w:rsid w:val="003978C6"/>
    <w:rsid w:val="003A3F16"/>
    <w:rsid w:val="003B40A9"/>
    <w:rsid w:val="003C016E"/>
    <w:rsid w:val="003D39B0"/>
    <w:rsid w:val="003D5EBD"/>
    <w:rsid w:val="00401CE0"/>
    <w:rsid w:val="00403234"/>
    <w:rsid w:val="00407AC3"/>
    <w:rsid w:val="00414586"/>
    <w:rsid w:val="00415059"/>
    <w:rsid w:val="00424FDD"/>
    <w:rsid w:val="0043033D"/>
    <w:rsid w:val="00434286"/>
    <w:rsid w:val="00435FE4"/>
    <w:rsid w:val="00453AB4"/>
    <w:rsid w:val="00457634"/>
    <w:rsid w:val="00467B93"/>
    <w:rsid w:val="00473B01"/>
    <w:rsid w:val="00474F42"/>
    <w:rsid w:val="0048244D"/>
    <w:rsid w:val="00494825"/>
    <w:rsid w:val="004A0DE8"/>
    <w:rsid w:val="004A4858"/>
    <w:rsid w:val="004A4CB7"/>
    <w:rsid w:val="004A510E"/>
    <w:rsid w:val="004A57B5"/>
    <w:rsid w:val="004A6667"/>
    <w:rsid w:val="004B19DA"/>
    <w:rsid w:val="004C2A53"/>
    <w:rsid w:val="004C3B35"/>
    <w:rsid w:val="004C43EC"/>
    <w:rsid w:val="004D19A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29A6"/>
    <w:rsid w:val="005565E4"/>
    <w:rsid w:val="005620EA"/>
    <w:rsid w:val="00563B57"/>
    <w:rsid w:val="0056618E"/>
    <w:rsid w:val="005709C6"/>
    <w:rsid w:val="00576F59"/>
    <w:rsid w:val="00577A34"/>
    <w:rsid w:val="00580AAD"/>
    <w:rsid w:val="005928A8"/>
    <w:rsid w:val="00593A04"/>
    <w:rsid w:val="0059464F"/>
    <w:rsid w:val="00594672"/>
    <w:rsid w:val="005A6D5A"/>
    <w:rsid w:val="005B1B28"/>
    <w:rsid w:val="005B7D51"/>
    <w:rsid w:val="005B7F35"/>
    <w:rsid w:val="005C2081"/>
    <w:rsid w:val="005C678A"/>
    <w:rsid w:val="005D346D"/>
    <w:rsid w:val="005D39E3"/>
    <w:rsid w:val="005E74AB"/>
    <w:rsid w:val="006031EE"/>
    <w:rsid w:val="00606A3E"/>
    <w:rsid w:val="006115AA"/>
    <w:rsid w:val="006120AE"/>
    <w:rsid w:val="00627938"/>
    <w:rsid w:val="00635E86"/>
    <w:rsid w:val="00636A37"/>
    <w:rsid w:val="006501A5"/>
    <w:rsid w:val="006567B2"/>
    <w:rsid w:val="00662ADE"/>
    <w:rsid w:val="00664106"/>
    <w:rsid w:val="00671DC6"/>
    <w:rsid w:val="006756F1"/>
    <w:rsid w:val="00677773"/>
    <w:rsid w:val="006805FC"/>
    <w:rsid w:val="006926C7"/>
    <w:rsid w:val="00694C37"/>
    <w:rsid w:val="006A068C"/>
    <w:rsid w:val="006A1BEB"/>
    <w:rsid w:val="006A401C"/>
    <w:rsid w:val="006A7C6E"/>
    <w:rsid w:val="006B23D9"/>
    <w:rsid w:val="006B2804"/>
    <w:rsid w:val="006B3356"/>
    <w:rsid w:val="006C1814"/>
    <w:rsid w:val="006C2F45"/>
    <w:rsid w:val="006C361A"/>
    <w:rsid w:val="006C5657"/>
    <w:rsid w:val="006D5E4E"/>
    <w:rsid w:val="006E126A"/>
    <w:rsid w:val="006E546C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404E"/>
    <w:rsid w:val="00786C33"/>
    <w:rsid w:val="007A79EB"/>
    <w:rsid w:val="007D4CA0"/>
    <w:rsid w:val="007D7A23"/>
    <w:rsid w:val="007E38C3"/>
    <w:rsid w:val="007E549E"/>
    <w:rsid w:val="007E71C9"/>
    <w:rsid w:val="007F7553"/>
    <w:rsid w:val="00805CB6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377"/>
    <w:rsid w:val="008455CF"/>
    <w:rsid w:val="00847689"/>
    <w:rsid w:val="00861BFA"/>
    <w:rsid w:val="00861C52"/>
    <w:rsid w:val="0086335E"/>
    <w:rsid w:val="008727A1"/>
    <w:rsid w:val="00886B0F"/>
    <w:rsid w:val="00891C08"/>
    <w:rsid w:val="008A2C8F"/>
    <w:rsid w:val="008A3879"/>
    <w:rsid w:val="008A5FA8"/>
    <w:rsid w:val="008A7575"/>
    <w:rsid w:val="008B5F47"/>
    <w:rsid w:val="008B6442"/>
    <w:rsid w:val="008C0DCC"/>
    <w:rsid w:val="008C7B87"/>
    <w:rsid w:val="008D6A7A"/>
    <w:rsid w:val="008E358B"/>
    <w:rsid w:val="008E3E87"/>
    <w:rsid w:val="008E7F13"/>
    <w:rsid w:val="008F3185"/>
    <w:rsid w:val="00915B0A"/>
    <w:rsid w:val="00924443"/>
    <w:rsid w:val="00926904"/>
    <w:rsid w:val="009372F0"/>
    <w:rsid w:val="00955022"/>
    <w:rsid w:val="009565D5"/>
    <w:rsid w:val="00956732"/>
    <w:rsid w:val="00957B00"/>
    <w:rsid w:val="00957B4D"/>
    <w:rsid w:val="009647FA"/>
    <w:rsid w:val="00964EEA"/>
    <w:rsid w:val="0097274B"/>
    <w:rsid w:val="0097518A"/>
    <w:rsid w:val="00980C86"/>
    <w:rsid w:val="009B1D9B"/>
    <w:rsid w:val="009B4074"/>
    <w:rsid w:val="009C30BB"/>
    <w:rsid w:val="009C60BE"/>
    <w:rsid w:val="009D19C3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70AE"/>
    <w:rsid w:val="00A800D1"/>
    <w:rsid w:val="00A90A94"/>
    <w:rsid w:val="00A92699"/>
    <w:rsid w:val="00AA59FA"/>
    <w:rsid w:val="00AB5BF0"/>
    <w:rsid w:val="00AC1C95"/>
    <w:rsid w:val="00AC2CCB"/>
    <w:rsid w:val="00AC443A"/>
    <w:rsid w:val="00AE5855"/>
    <w:rsid w:val="00AE60E2"/>
    <w:rsid w:val="00AF02C1"/>
    <w:rsid w:val="00B0169F"/>
    <w:rsid w:val="00B024DC"/>
    <w:rsid w:val="00B05F21"/>
    <w:rsid w:val="00B14EA9"/>
    <w:rsid w:val="00B30A3C"/>
    <w:rsid w:val="00B501E5"/>
    <w:rsid w:val="00B81305"/>
    <w:rsid w:val="00BB17DC"/>
    <w:rsid w:val="00BB1AF9"/>
    <w:rsid w:val="00BB4C4A"/>
    <w:rsid w:val="00BD3CAE"/>
    <w:rsid w:val="00BD5F3C"/>
    <w:rsid w:val="00BE7B2E"/>
    <w:rsid w:val="00C07C0F"/>
    <w:rsid w:val="00C145C4"/>
    <w:rsid w:val="00C20D2F"/>
    <w:rsid w:val="00C2131B"/>
    <w:rsid w:val="00C3486D"/>
    <w:rsid w:val="00C361BB"/>
    <w:rsid w:val="00C37AF8"/>
    <w:rsid w:val="00C37C79"/>
    <w:rsid w:val="00C41BBC"/>
    <w:rsid w:val="00C51419"/>
    <w:rsid w:val="00C54056"/>
    <w:rsid w:val="00C663A3"/>
    <w:rsid w:val="00C75CB2"/>
    <w:rsid w:val="00C76D6D"/>
    <w:rsid w:val="00C90723"/>
    <w:rsid w:val="00C90D5C"/>
    <w:rsid w:val="00C97033"/>
    <w:rsid w:val="00CA3B79"/>
    <w:rsid w:val="00CA609E"/>
    <w:rsid w:val="00CA7DA4"/>
    <w:rsid w:val="00CB31FB"/>
    <w:rsid w:val="00CE39A9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3054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776F"/>
    <w:rsid w:val="00E307D1"/>
    <w:rsid w:val="00E358C9"/>
    <w:rsid w:val="00E46A04"/>
    <w:rsid w:val="00E717F3"/>
    <w:rsid w:val="00E72C5E"/>
    <w:rsid w:val="00E73451"/>
    <w:rsid w:val="00E7489F"/>
    <w:rsid w:val="00E75147"/>
    <w:rsid w:val="00E8167D"/>
    <w:rsid w:val="00E8168C"/>
    <w:rsid w:val="00E907E9"/>
    <w:rsid w:val="00E96BE7"/>
    <w:rsid w:val="00EA2CD0"/>
    <w:rsid w:val="00EC0044"/>
    <w:rsid w:val="00EC6B9F"/>
    <w:rsid w:val="00ED7FAC"/>
    <w:rsid w:val="00EE1AF2"/>
    <w:rsid w:val="00EE516D"/>
    <w:rsid w:val="00EF4D1B"/>
    <w:rsid w:val="00EF7295"/>
    <w:rsid w:val="00F069D1"/>
    <w:rsid w:val="00F11594"/>
    <w:rsid w:val="00F1503D"/>
    <w:rsid w:val="00F22712"/>
    <w:rsid w:val="00F24594"/>
    <w:rsid w:val="00F275F5"/>
    <w:rsid w:val="00F33188"/>
    <w:rsid w:val="00F35BDE"/>
    <w:rsid w:val="00F52A0E"/>
    <w:rsid w:val="00F61C5E"/>
    <w:rsid w:val="00F71F63"/>
    <w:rsid w:val="00F76C35"/>
    <w:rsid w:val="00F87506"/>
    <w:rsid w:val="00F92C41"/>
    <w:rsid w:val="00FA5522"/>
    <w:rsid w:val="00FA6E4A"/>
    <w:rsid w:val="00FA7955"/>
    <w:rsid w:val="00FB2B35"/>
    <w:rsid w:val="00FC4AE1"/>
    <w:rsid w:val="00FD02EC"/>
    <w:rsid w:val="00FD56D2"/>
    <w:rsid w:val="00FD78A3"/>
    <w:rsid w:val="00FF2DB4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b/>
      <w:bCs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1C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7E71C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7E71C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/>
    </w:rPr>
  </w:style>
  <w:style w:type="character" w:styleId="EndnoteReference">
    <w:name w:val="endnote reference"/>
    <w:aliases w:val="1_GR,1_G"/>
    <w:uiPriority w:val="99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/>
    </w:rPr>
  </w:style>
  <w:style w:type="character" w:styleId="PageNumber">
    <w:name w:val="page number"/>
    <w:aliases w:val="7_GR,7_G"/>
    <w:uiPriority w:val="99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uiPriority w:val="99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71C9"/>
    <w:rPr>
      <w:lang/>
    </w:rPr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7E71C9"/>
    <w:pPr>
      <w:ind w:left="283"/>
    </w:pPr>
    <w:rPr>
      <w:lang/>
    </w:r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link w:val="TitleChar"/>
    <w:uiPriority w:val="10"/>
    <w:qFormat/>
    <w:rsid w:val="007E71C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link w:val="BodyText2Char"/>
    <w:uiPriority w:val="99"/>
    <w:rsid w:val="007E71C9"/>
    <w:pPr>
      <w:spacing w:line="480" w:lineRule="auto"/>
    </w:pPr>
    <w:rPr>
      <w:lang/>
    </w:rPr>
  </w:style>
  <w:style w:type="paragraph" w:styleId="BodyText3">
    <w:name w:val="Body Text 3"/>
    <w:basedOn w:val="Normal"/>
    <w:link w:val="BodyText3Char"/>
    <w:uiPriority w:val="99"/>
    <w:rsid w:val="007E71C9"/>
    <w:rPr>
      <w:sz w:val="16"/>
      <w:szCs w:val="16"/>
      <w:lang/>
    </w:rPr>
  </w:style>
  <w:style w:type="paragraph" w:styleId="BodyTextIndent2">
    <w:name w:val="Body Text Indent 2"/>
    <w:basedOn w:val="Normal"/>
    <w:link w:val="BodyTextIndent2Char"/>
    <w:uiPriority w:val="99"/>
    <w:rsid w:val="007E71C9"/>
    <w:pPr>
      <w:spacing w:line="480" w:lineRule="auto"/>
      <w:ind w:left="283"/>
    </w:pPr>
    <w:rPr>
      <w:lang/>
    </w:r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uiPriority w:val="99"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uiPriority w:val="22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011EC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011EC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861BF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eastAsia="ru-RU"/>
    </w:rPr>
  </w:style>
  <w:style w:type="paragraph" w:customStyle="1" w:styleId="HChG">
    <w:name w:val="_ H _Ch_G"/>
    <w:basedOn w:val="Normal"/>
    <w:next w:val="Normal"/>
    <w:rsid w:val="00861BF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/>
    </w:rPr>
  </w:style>
  <w:style w:type="paragraph" w:customStyle="1" w:styleId="ParaNoG">
    <w:name w:val="_ParaNo._G"/>
    <w:basedOn w:val="SingleTxtG"/>
    <w:rsid w:val="00861BFA"/>
    <w:pPr>
      <w:numPr>
        <w:numId w:val="0"/>
      </w:numPr>
      <w:tabs>
        <w:tab w:val="num" w:pos="926"/>
      </w:tabs>
      <w:ind w:left="926" w:hanging="360"/>
    </w:pPr>
  </w:style>
  <w:style w:type="paragraph" w:customStyle="1" w:styleId="SingleTxtG">
    <w:name w:val="_ Single Txt_G"/>
    <w:basedOn w:val="Normal"/>
    <w:link w:val="SingleTxtGChar"/>
    <w:qFormat/>
    <w:rsid w:val="00861BFA"/>
    <w:pPr>
      <w:numPr>
        <w:numId w:val="26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eastAsia="ru-RU"/>
    </w:rPr>
  </w:style>
  <w:style w:type="paragraph" w:customStyle="1" w:styleId="SMG">
    <w:name w:val="__S_M_G"/>
    <w:basedOn w:val="Normal"/>
    <w:next w:val="Normal"/>
    <w:rsid w:val="00861BF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eastAsia="ru-RU"/>
    </w:rPr>
  </w:style>
  <w:style w:type="paragraph" w:customStyle="1" w:styleId="SLG">
    <w:name w:val="__S_L_G"/>
    <w:basedOn w:val="Normal"/>
    <w:next w:val="Normal"/>
    <w:rsid w:val="00861BFA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eastAsia="ru-RU"/>
    </w:rPr>
  </w:style>
  <w:style w:type="paragraph" w:customStyle="1" w:styleId="SSG">
    <w:name w:val="__S_S_G"/>
    <w:basedOn w:val="Normal"/>
    <w:next w:val="Normal"/>
    <w:rsid w:val="00861BFA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eastAsia="ru-RU"/>
    </w:rPr>
  </w:style>
  <w:style w:type="paragraph" w:customStyle="1" w:styleId="XLargeG">
    <w:name w:val="__XLarge_G"/>
    <w:basedOn w:val="Normal"/>
    <w:next w:val="Normal"/>
    <w:rsid w:val="00861BF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eastAsia="ru-RU"/>
    </w:rPr>
  </w:style>
  <w:style w:type="paragraph" w:customStyle="1" w:styleId="Bullet1G">
    <w:name w:val="_Bullet 1_G"/>
    <w:basedOn w:val="Normal"/>
    <w:rsid w:val="00861BFA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eastAsia="ru-RU"/>
    </w:rPr>
  </w:style>
  <w:style w:type="paragraph" w:styleId="CommentText">
    <w:name w:val="annotation text"/>
    <w:basedOn w:val="Normal"/>
    <w:link w:val="CommentTextChar"/>
    <w:rsid w:val="00861BFA"/>
    <w:pPr>
      <w:suppressAutoHyphens/>
    </w:pPr>
    <w:rPr>
      <w:spacing w:val="0"/>
      <w:w w:val="100"/>
      <w:kern w:val="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861BFA"/>
  </w:style>
  <w:style w:type="paragraph" w:customStyle="1" w:styleId="Bullet2G">
    <w:name w:val="_Bullet 2_G"/>
    <w:basedOn w:val="Normal"/>
    <w:rsid w:val="00861BFA"/>
    <w:pPr>
      <w:tabs>
        <w:tab w:val="num" w:pos="643"/>
      </w:tabs>
      <w:suppressAutoHyphens/>
      <w:spacing w:after="120"/>
      <w:ind w:left="643" w:right="1134" w:hanging="360"/>
      <w:jc w:val="both"/>
    </w:pPr>
    <w:rPr>
      <w:spacing w:val="0"/>
      <w:w w:val="100"/>
      <w:kern w:val="0"/>
      <w:lang w:eastAsia="ru-RU"/>
    </w:rPr>
  </w:style>
  <w:style w:type="paragraph" w:customStyle="1" w:styleId="H1G">
    <w:name w:val="_ H_1_G"/>
    <w:basedOn w:val="Normal"/>
    <w:next w:val="Normal"/>
    <w:rsid w:val="00861BF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/>
    </w:rPr>
  </w:style>
  <w:style w:type="paragraph" w:customStyle="1" w:styleId="H23G">
    <w:name w:val="_ H_2/3_G"/>
    <w:basedOn w:val="Normal"/>
    <w:next w:val="Normal"/>
    <w:rsid w:val="00861BF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eastAsia="ru-RU"/>
    </w:rPr>
  </w:style>
  <w:style w:type="paragraph" w:customStyle="1" w:styleId="H4G">
    <w:name w:val="_ H_4_G"/>
    <w:basedOn w:val="Normal"/>
    <w:next w:val="Normal"/>
    <w:rsid w:val="00861BF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eastAsia="ru-RU"/>
    </w:rPr>
  </w:style>
  <w:style w:type="paragraph" w:customStyle="1" w:styleId="H56G">
    <w:name w:val="_ H_5/6_G"/>
    <w:basedOn w:val="Normal"/>
    <w:next w:val="Normal"/>
    <w:rsid w:val="00861BFA"/>
    <w:pPr>
      <w:keepNext/>
      <w:keepLines/>
      <w:numPr>
        <w:numId w:val="25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eastAsia="ru-RU"/>
    </w:rPr>
  </w:style>
  <w:style w:type="table" w:styleId="TableWeb3">
    <w:name w:val="Table Web 3"/>
    <w:basedOn w:val="TableNormal"/>
    <w:rsid w:val="00861BFA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861BFA"/>
  </w:style>
  <w:style w:type="paragraph" w:styleId="TOC2">
    <w:name w:val="toc 2"/>
    <w:basedOn w:val="Normal"/>
    <w:next w:val="Normal"/>
    <w:autoRedefine/>
    <w:rsid w:val="00861BFA"/>
    <w:pPr>
      <w:suppressAutoHyphens/>
      <w:ind w:left="200"/>
    </w:pPr>
    <w:rPr>
      <w:spacing w:val="0"/>
      <w:w w:val="100"/>
      <w:kern w:val="0"/>
      <w:lang w:eastAsia="ru-RU"/>
    </w:rPr>
  </w:style>
  <w:style w:type="paragraph" w:styleId="TOC1">
    <w:name w:val="toc 1"/>
    <w:basedOn w:val="Normal"/>
    <w:next w:val="Normal"/>
    <w:autoRedefine/>
    <w:rsid w:val="00861BFA"/>
    <w:pPr>
      <w:suppressAutoHyphens/>
    </w:pPr>
    <w:rPr>
      <w:spacing w:val="0"/>
      <w:w w:val="100"/>
      <w:kern w:val="0"/>
      <w:lang w:eastAsia="ru-RU"/>
    </w:rPr>
  </w:style>
  <w:style w:type="paragraph" w:customStyle="1" w:styleId="Char">
    <w:name w:val="Char"/>
    <w:basedOn w:val="Normal"/>
    <w:rsid w:val="00861BFA"/>
    <w:pPr>
      <w:spacing w:after="160" w:line="240" w:lineRule="exact"/>
    </w:pPr>
    <w:rPr>
      <w:rFonts w:ascii="Arial" w:hAnsi="Arial" w:cs="Arial"/>
      <w:spacing w:val="0"/>
      <w:w w:val="100"/>
      <w:kern w:val="0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61BFA"/>
    <w:pPr>
      <w:spacing w:line="240" w:lineRule="auto"/>
      <w:ind w:left="720"/>
    </w:pPr>
    <w:rPr>
      <w:spacing w:val="0"/>
      <w:w w:val="100"/>
      <w:kern w:val="0"/>
      <w:sz w:val="24"/>
      <w:szCs w:val="24"/>
      <w:lang/>
    </w:rPr>
  </w:style>
  <w:style w:type="character" w:customStyle="1" w:styleId="TitleChar">
    <w:name w:val="Title Char"/>
    <w:link w:val="Title"/>
    <w:uiPriority w:val="10"/>
    <w:rsid w:val="00861BFA"/>
    <w:rPr>
      <w:rFonts w:ascii="Arial" w:hAnsi="Arial" w:cs="Arial"/>
      <w:b/>
      <w:bCs/>
      <w:spacing w:val="4"/>
      <w:w w:val="103"/>
      <w:kern w:val="28"/>
      <w:sz w:val="32"/>
      <w:szCs w:val="32"/>
      <w:lang w:eastAsia="en-US"/>
    </w:rPr>
  </w:style>
  <w:style w:type="character" w:customStyle="1" w:styleId="BodyText3Char">
    <w:name w:val="Body Text 3 Char"/>
    <w:link w:val="BodyText3"/>
    <w:uiPriority w:val="99"/>
    <w:rsid w:val="00861BFA"/>
    <w:rPr>
      <w:spacing w:val="4"/>
      <w:w w:val="103"/>
      <w:kern w:val="14"/>
      <w:sz w:val="16"/>
      <w:szCs w:val="16"/>
      <w:lang w:eastAsia="en-US"/>
    </w:rPr>
  </w:style>
  <w:style w:type="character" w:customStyle="1" w:styleId="Heading1Char">
    <w:name w:val="Heading 1 Char"/>
    <w:aliases w:val="Table_GR Char,Table_G Char"/>
    <w:link w:val="Heading1"/>
    <w:uiPriority w:val="9"/>
    <w:rsid w:val="00861BFA"/>
    <w:rPr>
      <w:rFonts w:cs="Arial"/>
      <w:b/>
      <w:bCs/>
      <w:spacing w:val="4"/>
      <w:w w:val="103"/>
      <w:kern w:val="14"/>
      <w:szCs w:val="32"/>
    </w:rPr>
  </w:style>
  <w:style w:type="character" w:customStyle="1" w:styleId="Heading2Char">
    <w:name w:val="Heading 2 Char"/>
    <w:link w:val="Heading2"/>
    <w:uiPriority w:val="9"/>
    <w:rsid w:val="00861BFA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61BFA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861BFA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861BFA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861BFA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FootnoteTextChar">
    <w:name w:val="Footnote Text Char"/>
    <w:aliases w:val="5_GR Char,5_G Char"/>
    <w:link w:val="FootnoteText"/>
    <w:rsid w:val="00861BFA"/>
    <w:rPr>
      <w:spacing w:val="5"/>
      <w:w w:val="104"/>
      <w:kern w:val="14"/>
      <w:sz w:val="18"/>
      <w:lang w:val="en-GB"/>
    </w:rPr>
  </w:style>
  <w:style w:type="character" w:customStyle="1" w:styleId="HeaderChar">
    <w:name w:val="Header Char"/>
    <w:aliases w:val="6_GR Char,6_G Char"/>
    <w:link w:val="Header"/>
    <w:uiPriority w:val="99"/>
    <w:rsid w:val="00861BFA"/>
    <w:rPr>
      <w:b/>
      <w:sz w:val="18"/>
      <w:lang w:val="en-GB"/>
    </w:rPr>
  </w:style>
  <w:style w:type="character" w:customStyle="1" w:styleId="FooterChar">
    <w:name w:val="Footer Char"/>
    <w:aliases w:val="3_GR Char,3_G Char"/>
    <w:link w:val="Footer"/>
    <w:uiPriority w:val="99"/>
    <w:rsid w:val="00861BFA"/>
    <w:rPr>
      <w:sz w:val="16"/>
      <w:lang w:val="en-GB"/>
    </w:rPr>
  </w:style>
  <w:style w:type="character" w:customStyle="1" w:styleId="EndnoteTextChar">
    <w:name w:val="Endnote Text Char"/>
    <w:aliases w:val="2_GR Char,2_G Char"/>
    <w:link w:val="EndnoteText"/>
    <w:uiPriority w:val="99"/>
    <w:rsid w:val="00861BFA"/>
    <w:rPr>
      <w:spacing w:val="5"/>
      <w:w w:val="104"/>
      <w:kern w:val="14"/>
      <w:sz w:val="18"/>
      <w:lang w:val="en-GB"/>
    </w:rPr>
  </w:style>
  <w:style w:type="character" w:customStyle="1" w:styleId="NoSpacingChar">
    <w:name w:val="No Spacing Char"/>
    <w:link w:val="NoSpacing"/>
    <w:uiPriority w:val="1"/>
    <w:locked/>
    <w:rsid w:val="00861BFA"/>
    <w:rPr>
      <w:rFonts w:ascii="Calibri" w:eastAsia="MS Mincho" w:hAnsi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61BFA"/>
    <w:rPr>
      <w:rFonts w:ascii="Calibri" w:eastAsia="MS Mincho" w:hAnsi="Calibri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861B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 w:eastAsia="ru-RU"/>
    </w:rPr>
  </w:style>
  <w:style w:type="character" w:customStyle="1" w:styleId="hps">
    <w:name w:val="hps"/>
    <w:rsid w:val="00861BFA"/>
  </w:style>
  <w:style w:type="character" w:customStyle="1" w:styleId="articleseparator">
    <w:name w:val="article_separator"/>
    <w:rsid w:val="00861BFA"/>
  </w:style>
  <w:style w:type="character" w:customStyle="1" w:styleId="ndesc1">
    <w:name w:val="ndesc1"/>
    <w:rsid w:val="00861BFA"/>
    <w:rPr>
      <w:rFonts w:ascii="Arial" w:hAnsi="Arial" w:cs="Arial" w:hint="default"/>
      <w:color w:val="000000"/>
      <w:sz w:val="24"/>
      <w:szCs w:val="24"/>
      <w:lang w:val="ru-RU" w:eastAsia="ru-RU"/>
    </w:rPr>
  </w:style>
  <w:style w:type="character" w:customStyle="1" w:styleId="editlink">
    <w:name w:val="editlink"/>
    <w:rsid w:val="00861BFA"/>
  </w:style>
  <w:style w:type="character" w:customStyle="1" w:styleId="toplink31">
    <w:name w:val="toplink31"/>
    <w:rsid w:val="00861BFA"/>
    <w:rPr>
      <w:rFonts w:ascii="Verdana" w:hAnsi="Verdana" w:hint="default"/>
      <w:b/>
      <w:bCs/>
      <w:color w:val="445579"/>
      <w:sz w:val="17"/>
      <w:szCs w:val="17"/>
      <w:u w:val="none"/>
      <w:effect w:val="none"/>
      <w:lang w:val="ru-RU" w:eastAsia="ru-RU"/>
    </w:rPr>
  </w:style>
  <w:style w:type="character" w:customStyle="1" w:styleId="text6">
    <w:name w:val="text6"/>
    <w:rsid w:val="00861BFA"/>
    <w:rPr>
      <w:rFonts w:ascii="Verdana" w:hAnsi="Verdana" w:hint="default"/>
      <w:color w:val="333333"/>
      <w:sz w:val="17"/>
      <w:szCs w:val="17"/>
      <w:lang w:val="ru-RU" w:eastAsia="ru-RU"/>
    </w:rPr>
  </w:style>
  <w:style w:type="character" w:customStyle="1" w:styleId="toplink3">
    <w:name w:val="toplink3"/>
    <w:rsid w:val="00861BFA"/>
  </w:style>
  <w:style w:type="character" w:customStyle="1" w:styleId="BodyTextIndentChar">
    <w:name w:val="Body Text Indent Char"/>
    <w:link w:val="BodyTextIndent"/>
    <w:uiPriority w:val="99"/>
    <w:rsid w:val="00861BFA"/>
    <w:rPr>
      <w:spacing w:val="4"/>
      <w:w w:val="103"/>
      <w:kern w:val="1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61BF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61BFA"/>
  </w:style>
  <w:style w:type="character" w:customStyle="1" w:styleId="longtext">
    <w:name w:val="long_text"/>
    <w:rsid w:val="00861BFA"/>
    <w:rPr>
      <w:rFonts w:cs="Times New Roman"/>
      <w:lang w:val="ru-RU" w:eastAsia="ru-RU"/>
    </w:rPr>
  </w:style>
  <w:style w:type="character" w:customStyle="1" w:styleId="BodyText2Char">
    <w:name w:val="Body Text 2 Char"/>
    <w:link w:val="BodyText2"/>
    <w:uiPriority w:val="99"/>
    <w:rsid w:val="00861BFA"/>
    <w:rPr>
      <w:spacing w:val="4"/>
      <w:w w:val="103"/>
      <w:kern w:val="14"/>
      <w:lang w:eastAsia="en-US"/>
    </w:rPr>
  </w:style>
  <w:style w:type="paragraph" w:customStyle="1" w:styleId="WW-Default1">
    <w:name w:val="WW-Default1"/>
    <w:rsid w:val="00861BF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uiPriority w:val="99"/>
    <w:rsid w:val="00861BFA"/>
    <w:rPr>
      <w:spacing w:val="4"/>
      <w:w w:val="103"/>
      <w:kern w:val="14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861BFA"/>
    <w:rPr>
      <w:spacing w:val="4"/>
      <w:w w:val="103"/>
      <w:kern w:val="14"/>
      <w:lang w:eastAsia="en-US"/>
    </w:rPr>
  </w:style>
  <w:style w:type="paragraph" w:customStyle="1" w:styleId="Char0">
    <w:name w:val="Char"/>
    <w:basedOn w:val="Normal"/>
    <w:rsid w:val="00861BFA"/>
    <w:pPr>
      <w:spacing w:after="160" w:line="240" w:lineRule="exact"/>
    </w:pPr>
    <w:rPr>
      <w:rFonts w:ascii="Arial" w:hAnsi="Arial" w:cs="Arial"/>
      <w:spacing w:val="0"/>
      <w:w w:val="100"/>
      <w:kern w:val="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61BFA"/>
    <w:rPr>
      <w:b/>
      <w:bCs/>
      <w:lang/>
    </w:rPr>
  </w:style>
  <w:style w:type="character" w:customStyle="1" w:styleId="CommentSubjectChar">
    <w:name w:val="Comment Subject Char"/>
    <w:link w:val="CommentSubject"/>
    <w:rsid w:val="00861BFA"/>
    <w:rPr>
      <w:b/>
      <w:bCs/>
    </w:rPr>
  </w:style>
  <w:style w:type="paragraph" w:styleId="Revision">
    <w:name w:val="Revision"/>
    <w:hidden/>
    <w:uiPriority w:val="99"/>
    <w:semiHidden/>
    <w:rsid w:val="00861BFA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\\conf-tps\RUS\DATA\COMMON\TRADRUS\AppData\AppData\Users\Orru\AppData\Local\AppData\Local\Microsoft\Windows\Temporary%20Internet%20Files\Content.Outlook\Documents%20and%20Settings\npnicolaou\Local%20Settings\Temporary%20Internet%20Files\Documents%20and%20Settings\eselipa\Local%20Settings\Temporary%20Internet%20Files\Content.Outlook\YLWOFXE2\Appendix%20I_Age%20Composition.xl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\\conf-tps\RUS\DATA\COMMON\TRADRUS\AppData\AppData\Users\Orru\AppData\Local\AppData\Local\Microsoft\Windows\Temporary%20Internet%20Files\Content.Outlook\Documents%20and%20Settings\npnicolaou\Local%20Settings\Temporary%20Internet%20Files\Documents%20and%20Settings\eselipa\Local%20Settings\Temporary%20Internet%20Files\Content.Outlook\YLWOFXE2\Appendix%20IV_Average%20backlog%20of%20cases%20per%20judge%20at%20different%20levels%20of%20the%20judicial%20system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\\conf-tps\RUS\DATA\COMMON\TRADRUS\AppData\AppData\Users\Orru\AppData\Local\AppData\Local\Microsoft\Windows\Temporary%20Internet%20Files\Content.Outlook\Documents%20and%20Settings\npnicolaou\Local%20Settings\Temporary%20Internet%20Files\Documents%20and%20Settings\eselipa\Local%20Settings\Temporary%20Internet%20Files\Content.Outlook\YLWOFXE2\Appendix%20III_Employment%20by%20major%20sectors%20of%20economic%20activity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\\conf-tps\RUS\DATA\COMMON\TRADRUS\AppData\AppData\Users\Orru\AppData\Local\AppData\Local\Microsoft\Windows\Temporary%20Internet%20Files\Content.Outlook\Documents%20and%20Settings\npnicolaou\Local%20Settings\Temporary%20Internet%20Files\Documents%20and%20Settings\eselipa\Local%20Settings\Temporary%20Internet%20Files\Content.Outlook\YLWOFXE2\Appendix%20II_Prevalence%20of%20major%20communicable%20and%20non-communicable%20diseases.xls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40</Pages>
  <Words>13705</Words>
  <Characters>78124</Characters>
  <Application>Microsoft Office Outlook</Application>
  <DocSecurity>4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91646</CharactersWithSpaces>
  <SharedDoc>false</SharedDoc>
  <HLinks>
    <vt:vector size="24" baseType="variant">
      <vt:variant>
        <vt:i4>7798905</vt:i4>
      </vt:variant>
      <vt:variant>
        <vt:i4>18</vt:i4>
      </vt:variant>
      <vt:variant>
        <vt:i4>0</vt:i4>
      </vt:variant>
      <vt:variant>
        <vt:i4>5</vt:i4>
      </vt:variant>
      <vt:variant>
        <vt:lpwstr>file://\\conf-tps\RUS\DATA\COMMON\TRADRUS\AppData\AppData\Users\Orru\AppData\Local\AppData\Local\Microsoft\Windows\Temporary Internet Files\Content.Outlook\Documents and Settings\npnicolaou\Local Settings\Temporary Internet Files\Documents and Settings\eselipa\Local Settings\Temporary Internet Files\Content.Outlook\YLWOFXE2\Appendix IV_Average backlog of cases per judge at different levels of the judicial system.doc</vt:lpwstr>
      </vt:variant>
      <vt:variant>
        <vt:lpwstr/>
      </vt:variant>
      <vt:variant>
        <vt:i4>7798905</vt:i4>
      </vt:variant>
      <vt:variant>
        <vt:i4>15</vt:i4>
      </vt:variant>
      <vt:variant>
        <vt:i4>0</vt:i4>
      </vt:variant>
      <vt:variant>
        <vt:i4>5</vt:i4>
      </vt:variant>
      <vt:variant>
        <vt:lpwstr>file://\\conf-tps\RUS\DATA\COMMON\TRADRUS\AppData\AppData\Users\Orru\AppData\Local\AppData\Local\Microsoft\Windows\Temporary Internet Files\Content.Outlook\Documents and Settings\npnicolaou\Local Settings\Temporary Internet Files\Documents and Settings\eselipa\Local Settings\Temporary Internet Files\Content.Outlook\YLWOFXE2\Appendix III_Employment by major sectors of economic activity.xls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file://\\conf-tps\RUS\DATA\COMMON\TRADRUS\AppData\AppData\Users\Orru\AppData\Local\AppData\Local\Microsoft\Windows\Temporary Internet Files\Content.Outlook\Documents and Settings\npnicolaou\Local Settings\Temporary Internet Files\Documents and Settings\eselipa\Local Settings\Temporary Internet Files\Content.Outlook\YLWOFXE2\Appendix II_Prevalence of major communicable and non-communicable diseases.xlsx</vt:lpwstr>
      </vt:variant>
      <vt:variant>
        <vt:lpwstr/>
      </vt:variant>
      <vt:variant>
        <vt:i4>7798905</vt:i4>
      </vt:variant>
      <vt:variant>
        <vt:i4>9</vt:i4>
      </vt:variant>
      <vt:variant>
        <vt:i4>0</vt:i4>
      </vt:variant>
      <vt:variant>
        <vt:i4>5</vt:i4>
      </vt:variant>
      <vt:variant>
        <vt:lpwstr>file://\\conf-tps\RUS\DATA\COMMON\TRADRUS\AppData\AppData\Users\Orru\AppData\Local\AppData\Local\Microsoft\Windows\Temporary Internet Files\Content.Outlook\Documents and Settings\npnicolaou\Local Settings\Temporary Internet Files\Documents and Settings\eselipa\Local Settings\Temporary Internet Files\Content.Outlook\YLWOFXE2\Appendix I_Age Composition.xls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Благодатских</dc:creator>
  <cp:keywords/>
  <cp:lastModifiedBy>Prokoudina S.</cp:lastModifiedBy>
  <cp:revision>2</cp:revision>
  <cp:lastPrinted>2015-03-13T14:22:00Z</cp:lastPrinted>
  <dcterms:created xsi:type="dcterms:W3CDTF">2015-03-13T14:22:00Z</dcterms:created>
  <dcterms:modified xsi:type="dcterms:W3CDTF">2015-03-13T14:22:00Z</dcterms:modified>
</cp:coreProperties>
</file>