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220"/>
        <w:gridCol w:w="2819"/>
      </w:tblGrid>
      <w:tr w:rsidR="005709C6" w:rsidRPr="00553754" w:rsidTr="004D19A6">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5709C6" w:rsidRPr="00260E88" w:rsidRDefault="005709C6" w:rsidP="004D19A6">
            <w:pPr>
              <w:spacing w:after="80" w:line="300" w:lineRule="exact"/>
              <w:rPr>
                <w:sz w:val="28"/>
              </w:rPr>
            </w:pPr>
            <w:bookmarkStart w:id="0" w:name="_GoBack"/>
            <w:bookmarkEnd w:id="0"/>
            <w:r>
              <w:rPr>
                <w:sz w:val="28"/>
              </w:rPr>
              <w:t>Организация Объединенных Наций</w:t>
            </w:r>
          </w:p>
        </w:tc>
        <w:tc>
          <w:tcPr>
            <w:tcW w:w="5039" w:type="dxa"/>
            <w:gridSpan w:val="2"/>
            <w:tcBorders>
              <w:bottom w:val="single" w:sz="4" w:space="0" w:color="auto"/>
            </w:tcBorders>
            <w:vAlign w:val="bottom"/>
          </w:tcPr>
          <w:p w:rsidR="005709C6" w:rsidRPr="00553754" w:rsidRDefault="005709C6" w:rsidP="004D19A6">
            <w:pPr>
              <w:jc w:val="right"/>
              <w:rPr>
                <w:sz w:val="20"/>
              </w:rPr>
            </w:pPr>
            <w:proofErr w:type="spellStart"/>
            <w:r w:rsidRPr="00F32BC9">
              <w:rPr>
                <w:sz w:val="40"/>
                <w:szCs w:val="40"/>
                <w:lang w:val="en-US"/>
              </w:rPr>
              <w:t>HRI</w:t>
            </w:r>
            <w:proofErr w:type="spellEnd"/>
            <w:r w:rsidRPr="00553754">
              <w:rPr>
                <w:sz w:val="20"/>
              </w:rPr>
              <w:t>/</w:t>
            </w:r>
            <w:proofErr w:type="spellStart"/>
            <w:r w:rsidR="00011EC8">
              <w:fldChar w:fldCharType="begin"/>
            </w:r>
            <w:r w:rsidR="00011EC8">
              <w:instrText xml:space="preserve"> FILLIN  "Введите часть символа после HRI/"  \* MERGEFORMAT </w:instrText>
            </w:r>
            <w:r w:rsidR="00011EC8">
              <w:fldChar w:fldCharType="separate"/>
            </w:r>
            <w:r w:rsidR="004D7F6D">
              <w:t>CORE</w:t>
            </w:r>
            <w:proofErr w:type="spellEnd"/>
            <w:r w:rsidR="004D7F6D">
              <w:t>/</w:t>
            </w:r>
            <w:proofErr w:type="spellStart"/>
            <w:r w:rsidR="004D7F6D">
              <w:t>ESP</w:t>
            </w:r>
            <w:proofErr w:type="spellEnd"/>
            <w:r w:rsidR="004D7F6D">
              <w:t>/2015</w:t>
            </w:r>
            <w:r w:rsidR="00011EC8">
              <w:fldChar w:fldCharType="end"/>
            </w:r>
          </w:p>
        </w:tc>
      </w:tr>
      <w:tr w:rsidR="005709C6" w:rsidRPr="00767C58" w:rsidTr="004D19A6">
        <w:trPr>
          <w:trHeight w:hRule="exact" w:val="2835"/>
        </w:trPr>
        <w:tc>
          <w:tcPr>
            <w:tcW w:w="1280" w:type="dxa"/>
            <w:tcBorders>
              <w:top w:val="single" w:sz="4" w:space="0" w:color="auto"/>
              <w:bottom w:val="single" w:sz="12" w:space="0" w:color="auto"/>
            </w:tcBorders>
          </w:tcPr>
          <w:p w:rsidR="005709C6" w:rsidRPr="00635870" w:rsidRDefault="00594672" w:rsidP="004D19A6">
            <w:pPr>
              <w:spacing w:before="120"/>
              <w:jc w:val="center"/>
            </w:pPr>
            <w:r>
              <w:rPr>
                <w:noProof/>
                <w:lang w:eastAsia="ru-RU"/>
              </w:rPr>
              <w:drawing>
                <wp:inline distT="0" distB="0" distL="0" distR="0" wp14:anchorId="414E1D7F" wp14:editId="6CCE69A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5709C6" w:rsidRPr="005709C6" w:rsidRDefault="005709C6" w:rsidP="004D19A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5709C6" w:rsidRPr="00553754" w:rsidRDefault="005709C6" w:rsidP="004D19A6">
            <w:pPr>
              <w:spacing w:before="240" w:after="0"/>
              <w:rPr>
                <w:sz w:val="20"/>
                <w:lang w:val="en-US"/>
              </w:rPr>
            </w:pPr>
            <w:proofErr w:type="spellStart"/>
            <w:r w:rsidRPr="00553754">
              <w:rPr>
                <w:sz w:val="20"/>
                <w:lang w:val="en-US"/>
              </w:rPr>
              <w:t>Distr</w:t>
            </w:r>
            <w:proofErr w:type="spellEnd"/>
            <w:r w:rsidRPr="00553754">
              <w:rPr>
                <w:sz w:val="20"/>
              </w:rPr>
              <w:t>.:</w:t>
            </w:r>
            <w:r w:rsidRPr="00553754">
              <w:rPr>
                <w:sz w:val="20"/>
                <w:lang w:val="en-US"/>
              </w:rPr>
              <w:t xml:space="preserve"> </w:t>
            </w:r>
            <w:bookmarkStart w:id="1" w:name="ПолеСоСписком1"/>
            <w:r w:rsidRPr="00553754">
              <w:fldChar w:fldCharType="begin">
                <w:ffData>
                  <w:name w:val="ПолеСоСписком1"/>
                  <w:enabled/>
                  <w:calcOnExit w:val="0"/>
                  <w:ddList>
                    <w:listEntry w:val="General"/>
                    <w:listEntry w:val="Limited"/>
                    <w:listEntry w:val="Restricted"/>
                  </w:ddList>
                </w:ffData>
              </w:fldChar>
            </w:r>
            <w:r w:rsidRPr="00553754">
              <w:rPr>
                <w:sz w:val="20"/>
                <w:lang w:val="en-US"/>
              </w:rPr>
              <w:instrText xml:space="preserve"> FORMDROPDOWN </w:instrText>
            </w:r>
            <w:r w:rsidR="00481514">
              <w:fldChar w:fldCharType="separate"/>
            </w:r>
            <w:r w:rsidRPr="00553754">
              <w:fldChar w:fldCharType="end"/>
            </w:r>
            <w:bookmarkEnd w:id="1"/>
          </w:p>
          <w:p w:rsidR="005709C6" w:rsidRPr="00553754" w:rsidRDefault="005709C6" w:rsidP="004D19A6">
            <w:pPr>
              <w:spacing w:before="0" w:after="0"/>
              <w:rPr>
                <w:sz w:val="20"/>
                <w:lang w:val="en-US"/>
              </w:rPr>
            </w:pPr>
            <w:r w:rsidRPr="00553754">
              <w:rPr>
                <w:lang w:val="en-US"/>
              </w:rPr>
              <w:fldChar w:fldCharType="begin"/>
            </w:r>
            <w:r w:rsidRPr="00553754">
              <w:rPr>
                <w:sz w:val="20"/>
                <w:lang w:val="en-US"/>
              </w:rPr>
              <w:instrText xml:space="preserve"> FILLIN  "Введите дату документа" \* MERGEFORMAT </w:instrText>
            </w:r>
            <w:r w:rsidRPr="00553754">
              <w:rPr>
                <w:lang w:val="en-US"/>
              </w:rPr>
              <w:fldChar w:fldCharType="separate"/>
            </w:r>
            <w:r w:rsidR="004D7F6D">
              <w:rPr>
                <w:sz w:val="20"/>
                <w:lang w:val="en-US"/>
              </w:rPr>
              <w:t>30 March 2015</w:t>
            </w:r>
            <w:r w:rsidRPr="00553754">
              <w:rPr>
                <w:lang w:val="en-US"/>
              </w:rPr>
              <w:fldChar w:fldCharType="end"/>
            </w:r>
          </w:p>
          <w:p w:rsidR="005709C6" w:rsidRPr="00553754" w:rsidRDefault="005709C6" w:rsidP="004D19A6">
            <w:pPr>
              <w:spacing w:before="0" w:after="0"/>
              <w:rPr>
                <w:sz w:val="20"/>
              </w:rPr>
            </w:pPr>
            <w:r w:rsidRPr="00553754">
              <w:rPr>
                <w:sz w:val="20"/>
                <w:lang w:val="en-US"/>
              </w:rPr>
              <w:t>Russian</w:t>
            </w:r>
          </w:p>
          <w:p w:rsidR="005709C6" w:rsidRPr="00553754" w:rsidRDefault="005709C6" w:rsidP="004D19A6">
            <w:pPr>
              <w:spacing w:before="0" w:after="0"/>
              <w:rPr>
                <w:sz w:val="20"/>
              </w:rPr>
            </w:pPr>
            <w:r w:rsidRPr="00553754">
              <w:rPr>
                <w:sz w:val="20"/>
                <w:lang w:val="en-US"/>
              </w:rPr>
              <w:t>Original</w:t>
            </w:r>
            <w:r w:rsidRPr="00553754">
              <w:rPr>
                <w:sz w:val="20"/>
              </w:rPr>
              <w:t xml:space="preserve">: </w:t>
            </w:r>
            <w:bookmarkStart w:id="2" w:name="ПолеСоСписком2"/>
            <w:r w:rsidRPr="00553754">
              <w:fldChar w:fldCharType="begin">
                <w:ffData>
                  <w:name w:val="ПолеСоСписком2"/>
                  <w:enabled/>
                  <w:calcOnExit w:val="0"/>
                  <w:ddList>
                    <w:result w:val="2"/>
                    <w:listEntry w:val="English"/>
                    <w:listEntry w:val="French"/>
                    <w:listEntry w:val="Spanish"/>
                    <w:listEntry w:val="Arabic"/>
                    <w:listEntry w:val="Chinese"/>
                    <w:listEntry w:val="English/French"/>
                    <w:listEntry w:val="English and French"/>
                  </w:ddList>
                </w:ffData>
              </w:fldChar>
            </w:r>
            <w:r w:rsidRPr="00553754">
              <w:rPr>
                <w:sz w:val="20"/>
                <w:lang w:val="en-US"/>
              </w:rPr>
              <w:instrText xml:space="preserve"> FORMDROPDOWN </w:instrText>
            </w:r>
            <w:r w:rsidR="00481514">
              <w:fldChar w:fldCharType="separate"/>
            </w:r>
            <w:r w:rsidRPr="00553754">
              <w:fldChar w:fldCharType="end"/>
            </w:r>
            <w:bookmarkEnd w:id="2"/>
          </w:p>
          <w:p w:rsidR="005709C6" w:rsidRPr="00553754" w:rsidRDefault="005709C6" w:rsidP="004D19A6">
            <w:pPr>
              <w:rPr>
                <w:sz w:val="20"/>
              </w:rPr>
            </w:pPr>
          </w:p>
        </w:tc>
      </w:tr>
    </w:tbl>
    <w:p w:rsidR="000231A1" w:rsidRPr="000231A1" w:rsidRDefault="000231A1" w:rsidP="000231A1">
      <w:pPr>
        <w:pStyle w:val="HMGR"/>
      </w:pPr>
      <w:r w:rsidRPr="005507FC">
        <w:tab/>
      </w:r>
      <w:r w:rsidRPr="005507FC">
        <w:tab/>
      </w:r>
      <w:r w:rsidRPr="000231A1">
        <w:t>Базовый документ, являющийся составной частью докладов государств-участников</w:t>
      </w:r>
    </w:p>
    <w:p w:rsidR="000231A1" w:rsidRPr="000231A1" w:rsidRDefault="000231A1" w:rsidP="000231A1">
      <w:pPr>
        <w:pStyle w:val="HMGR"/>
      </w:pPr>
      <w:r w:rsidRPr="000231A1">
        <w:tab/>
      </w:r>
      <w:r w:rsidRPr="000231A1">
        <w:tab/>
        <w:t>Испания</w:t>
      </w:r>
      <w:r w:rsidRPr="000231A1">
        <w:rPr>
          <w:b w:val="0"/>
          <w:bCs/>
          <w:sz w:val="20"/>
        </w:rPr>
        <w:footnoteReference w:customMarkFollows="1" w:id="1"/>
        <w:t xml:space="preserve">* </w:t>
      </w:r>
      <w:r w:rsidRPr="000231A1">
        <w:rPr>
          <w:b w:val="0"/>
          <w:bCs/>
          <w:sz w:val="20"/>
        </w:rPr>
        <w:footnoteReference w:customMarkFollows="1" w:id="2"/>
        <w:t>**</w:t>
      </w:r>
    </w:p>
    <w:p w:rsidR="005507FC" w:rsidRPr="005507FC" w:rsidRDefault="000231A1" w:rsidP="000231A1">
      <w:pPr>
        <w:pStyle w:val="SingleTxtGR"/>
        <w:jc w:val="right"/>
      </w:pPr>
      <w:r w:rsidRPr="005507FC">
        <w:t>[</w:t>
      </w:r>
      <w:r w:rsidRPr="000231A1">
        <w:t>13 февраля 2015</w:t>
      </w:r>
      <w:r w:rsidR="005507FC" w:rsidRPr="005507FC">
        <w:t xml:space="preserve"> </w:t>
      </w:r>
      <w:r w:rsidRPr="000231A1">
        <w:t>года</w:t>
      </w:r>
      <w:r w:rsidRPr="005507FC">
        <w:t>]</w:t>
      </w:r>
    </w:p>
    <w:p w:rsidR="000231A1" w:rsidRPr="0046269B" w:rsidRDefault="000231A1" w:rsidP="0046269B">
      <w:pPr>
        <w:suppressAutoHyphens/>
        <w:spacing w:after="120"/>
        <w:rPr>
          <w:sz w:val="28"/>
        </w:rPr>
      </w:pPr>
      <w:r w:rsidRPr="0046269B">
        <w:br w:type="page"/>
      </w:r>
      <w:r w:rsidR="0046269B" w:rsidRPr="0046269B">
        <w:rPr>
          <w:sz w:val="28"/>
        </w:rPr>
        <w:lastRenderedPageBreak/>
        <w:t>Содержание</w:t>
      </w:r>
    </w:p>
    <w:p w:rsidR="0046269B" w:rsidRDefault="0046269B" w:rsidP="0046269B">
      <w:pPr>
        <w:tabs>
          <w:tab w:val="right" w:pos="8929"/>
          <w:tab w:val="right" w:pos="9638"/>
        </w:tabs>
        <w:suppressAutoHyphens/>
        <w:spacing w:after="120"/>
        <w:ind w:left="283"/>
      </w:pPr>
      <w:r>
        <w:rPr>
          <w:i/>
          <w:sz w:val="18"/>
        </w:rPr>
        <w:tab/>
        <w:t>Пункты</w:t>
      </w:r>
      <w:proofErr w:type="gramStart"/>
      <w:r>
        <w:rPr>
          <w:i/>
          <w:sz w:val="18"/>
        </w:rPr>
        <w:tab/>
        <w:t>С</w:t>
      </w:r>
      <w:proofErr w:type="gramEnd"/>
      <w:r>
        <w:rPr>
          <w:i/>
          <w:sz w:val="18"/>
        </w:rPr>
        <w:t>тр.</w:t>
      </w:r>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5507FC">
        <w:tab/>
      </w:r>
      <w:hyperlink w:anchor="_Toc420072037" w:history="1">
        <w:r w:rsidRPr="0046269B">
          <w:rPr>
            <w:rStyle w:val="affa"/>
            <w:u w:val="none"/>
          </w:rPr>
          <w:t>I.</w:t>
        </w:r>
        <w:r w:rsidRPr="0046269B">
          <w:rPr>
            <w:rStyle w:val="affa"/>
            <w:u w:val="none"/>
          </w:rPr>
          <w:tab/>
          <w:t>Общие сведения о государстве</w:t>
        </w:r>
        <w:r w:rsidRPr="0046269B">
          <w:rPr>
            <w:rStyle w:val="affa"/>
            <w:webHidden/>
            <w:u w:val="none"/>
          </w:rPr>
          <w:tab/>
        </w:r>
        <w:r w:rsidRPr="0046269B">
          <w:rPr>
            <w:rStyle w:val="affa"/>
            <w:webHidden/>
            <w:u w:val="none"/>
          </w:rPr>
          <w:tab/>
          <w:t>1–132</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420072037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3</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38" w:history="1">
        <w:r w:rsidRPr="0046269B">
          <w:rPr>
            <w:rStyle w:val="affa"/>
            <w:u w:val="none"/>
            <w:lang w:val="es-ES"/>
          </w:rPr>
          <w:t>A</w:t>
        </w:r>
        <w:r w:rsidRPr="0046269B">
          <w:rPr>
            <w:rStyle w:val="affa"/>
            <w:u w:val="none"/>
          </w:rPr>
          <w:t>.</w:t>
        </w:r>
        <w:r w:rsidRPr="0046269B">
          <w:rPr>
            <w:rStyle w:val="affa"/>
            <w:u w:val="none"/>
          </w:rPr>
          <w:tab/>
        </w:r>
        <w:r w:rsidR="00256FF3">
          <w:rPr>
            <w:rStyle w:val="affa"/>
            <w:u w:val="none"/>
          </w:rPr>
          <w:t>Основные д</w:t>
        </w:r>
        <w:r w:rsidRPr="0046269B">
          <w:rPr>
            <w:rStyle w:val="affa"/>
            <w:u w:val="none"/>
          </w:rPr>
          <w:t xml:space="preserve">емографические, экономические, социальные </w:t>
        </w:r>
        <w:r w:rsidR="00256FF3">
          <w:rPr>
            <w:rStyle w:val="affa"/>
            <w:u w:val="none"/>
          </w:rPr>
          <w:br/>
        </w:r>
        <w:r w:rsidR="00256FF3">
          <w:rPr>
            <w:rStyle w:val="affa"/>
            <w:u w:val="none"/>
          </w:rPr>
          <w:tab/>
        </w:r>
        <w:r w:rsidR="00256FF3">
          <w:rPr>
            <w:rStyle w:val="affa"/>
            <w:u w:val="none"/>
          </w:rPr>
          <w:tab/>
        </w:r>
        <w:r w:rsidR="00256FF3">
          <w:rPr>
            <w:rStyle w:val="affa"/>
            <w:u w:val="none"/>
          </w:rPr>
          <w:tab/>
        </w:r>
        <w:r w:rsidRPr="0046269B">
          <w:rPr>
            <w:rStyle w:val="affa"/>
            <w:u w:val="none"/>
          </w:rPr>
          <w:t>и культурные характеристики государства</w:t>
        </w:r>
        <w:r w:rsidRPr="0046269B">
          <w:rPr>
            <w:rStyle w:val="affa"/>
            <w:webHidden/>
            <w:u w:val="none"/>
          </w:rPr>
          <w:tab/>
        </w:r>
        <w:r w:rsidRPr="0046269B">
          <w:rPr>
            <w:rStyle w:val="affa"/>
            <w:webHidden/>
            <w:u w:val="none"/>
          </w:rPr>
          <w:tab/>
          <w:t>1–81</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420072038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3</w:t>
        </w:r>
        <w:r w:rsidRPr="0046269B">
          <w:rPr>
            <w:rStyle w:val="affa"/>
            <w:webHidden/>
            <w:u w:val="none"/>
          </w:rPr>
          <w:fldChar w:fldCharType="end"/>
        </w:r>
      </w:hyperlink>
    </w:p>
    <w:p w:rsidR="0046269B" w:rsidRPr="0046269B" w:rsidRDefault="0046269B" w:rsidP="00256FF3">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39" w:history="1">
        <w:r w:rsidRPr="0046269B">
          <w:rPr>
            <w:rStyle w:val="affa"/>
            <w:u w:val="none"/>
            <w:lang w:val="es-ES"/>
          </w:rPr>
          <w:t>B</w:t>
        </w:r>
        <w:r w:rsidRPr="0046269B">
          <w:rPr>
            <w:rStyle w:val="affa"/>
            <w:u w:val="none"/>
          </w:rPr>
          <w:t>.</w:t>
        </w:r>
        <w:r w:rsidRPr="0046269B">
          <w:rPr>
            <w:rStyle w:val="affa"/>
            <w:u w:val="none"/>
          </w:rPr>
          <w:tab/>
          <w:t>Конституционная, политическая и правовая структура</w:t>
        </w:r>
        <w:r w:rsidRPr="0046269B">
          <w:rPr>
            <w:rStyle w:val="affa"/>
            <w:u w:val="none"/>
          </w:rPr>
          <w:br/>
        </w:r>
        <w:r w:rsidRPr="0046269B">
          <w:rPr>
            <w:rStyle w:val="affa"/>
            <w:u w:val="none"/>
          </w:rPr>
          <w:tab/>
        </w:r>
        <w:r w:rsidRPr="0046269B">
          <w:rPr>
            <w:rStyle w:val="affa"/>
            <w:u w:val="none"/>
          </w:rPr>
          <w:tab/>
        </w:r>
        <w:r w:rsidRPr="0046269B">
          <w:rPr>
            <w:rStyle w:val="affa"/>
            <w:u w:val="none"/>
          </w:rPr>
          <w:tab/>
          <w:t>государства</w:t>
        </w:r>
        <w:r w:rsidRPr="0046269B">
          <w:rPr>
            <w:rStyle w:val="affa"/>
            <w:webHidden/>
            <w:u w:val="none"/>
          </w:rPr>
          <w:tab/>
        </w:r>
        <w:r w:rsidRPr="0046269B">
          <w:rPr>
            <w:rStyle w:val="affa"/>
            <w:webHidden/>
            <w:u w:val="none"/>
          </w:rPr>
          <w:tab/>
          <w:t>82–132</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420072039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32</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hyperlink w:anchor="_Toc420072040" w:history="1">
        <w:proofErr w:type="spellStart"/>
        <w:r w:rsidRPr="0046269B">
          <w:rPr>
            <w:rStyle w:val="affa"/>
            <w:u w:val="none"/>
          </w:rPr>
          <w:t>II</w:t>
        </w:r>
        <w:proofErr w:type="spellEnd"/>
        <w:r w:rsidRPr="0046269B">
          <w:rPr>
            <w:rStyle w:val="affa"/>
            <w:u w:val="none"/>
          </w:rPr>
          <w:t>.</w:t>
        </w:r>
        <w:r w:rsidRPr="0046269B">
          <w:rPr>
            <w:rStyle w:val="affa"/>
            <w:u w:val="none"/>
          </w:rPr>
          <w:tab/>
          <w:t>Общие основы защиты и поощрения прав</w:t>
        </w:r>
        <w:r w:rsidR="005507FC">
          <w:rPr>
            <w:rStyle w:val="affa"/>
            <w:u w:val="none"/>
          </w:rPr>
          <w:t xml:space="preserve"> </w:t>
        </w:r>
        <w:r w:rsidRPr="0046269B">
          <w:rPr>
            <w:rStyle w:val="affa"/>
            <w:u w:val="none"/>
          </w:rPr>
          <w:t>человека</w:t>
        </w:r>
        <w:r w:rsidRPr="0046269B">
          <w:rPr>
            <w:rStyle w:val="affa"/>
            <w:webHidden/>
            <w:u w:val="none"/>
          </w:rPr>
          <w:tab/>
        </w:r>
        <w:r w:rsidRPr="0046269B">
          <w:rPr>
            <w:rStyle w:val="affa"/>
            <w:webHidden/>
            <w:u w:val="none"/>
          </w:rPr>
          <w:tab/>
          <w:t>133–164</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420072040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41</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41" w:history="1">
        <w:r w:rsidRPr="0046269B">
          <w:rPr>
            <w:rStyle w:val="affa"/>
            <w:u w:val="none"/>
            <w:lang w:val="es-ES"/>
          </w:rPr>
          <w:t>A</w:t>
        </w:r>
        <w:r w:rsidRPr="0046269B">
          <w:rPr>
            <w:rStyle w:val="affa"/>
            <w:u w:val="none"/>
          </w:rPr>
          <w:t>.</w:t>
        </w:r>
        <w:r w:rsidRPr="0046269B">
          <w:rPr>
            <w:rStyle w:val="affa"/>
            <w:u w:val="none"/>
          </w:rPr>
          <w:tab/>
          <w:t>Признание международных норм в области прав</w:t>
        </w:r>
        <w:r w:rsidR="005507FC" w:rsidRPr="005507FC">
          <w:rPr>
            <w:rStyle w:val="affa"/>
            <w:u w:val="none"/>
          </w:rPr>
          <w:t xml:space="preserve"> </w:t>
        </w:r>
        <w:r w:rsidRPr="0046269B">
          <w:rPr>
            <w:rStyle w:val="affa"/>
            <w:u w:val="none"/>
          </w:rPr>
          <w:t>человека</w:t>
        </w:r>
        <w:r w:rsidRPr="0046269B">
          <w:rPr>
            <w:rStyle w:val="affa"/>
            <w:webHidden/>
            <w:u w:val="none"/>
          </w:rPr>
          <w:tab/>
        </w:r>
        <w:r w:rsidRPr="0046269B">
          <w:rPr>
            <w:rStyle w:val="affa"/>
            <w:webHidden/>
            <w:u w:val="none"/>
          </w:rPr>
          <w:tab/>
          <w:t>133–135</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420072041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41</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42" w:history="1">
        <w:r w:rsidRPr="0046269B">
          <w:rPr>
            <w:rStyle w:val="affa"/>
            <w:u w:val="none"/>
            <w:lang w:val="es-ES"/>
          </w:rPr>
          <w:t>B</w:t>
        </w:r>
        <w:r w:rsidRPr="0046269B">
          <w:rPr>
            <w:rStyle w:val="affa"/>
            <w:u w:val="none"/>
          </w:rPr>
          <w:t>.</w:t>
        </w:r>
        <w:r w:rsidRPr="0046269B">
          <w:rPr>
            <w:rStyle w:val="affa"/>
            <w:u w:val="none"/>
          </w:rPr>
          <w:tab/>
          <w:t>Правовые основы защиты прав</w:t>
        </w:r>
        <w:r w:rsidR="005507FC" w:rsidRPr="005507FC">
          <w:rPr>
            <w:rStyle w:val="affa"/>
            <w:u w:val="none"/>
          </w:rPr>
          <w:t xml:space="preserve"> </w:t>
        </w:r>
        <w:r w:rsidRPr="0046269B">
          <w:rPr>
            <w:rStyle w:val="affa"/>
            <w:u w:val="none"/>
          </w:rPr>
          <w:t>человека на национальном уровне</w:t>
        </w:r>
        <w:r w:rsidRPr="0046269B">
          <w:rPr>
            <w:rStyle w:val="affa"/>
            <w:webHidden/>
            <w:u w:val="none"/>
          </w:rPr>
          <w:tab/>
        </w:r>
        <w:r w:rsidRPr="0046269B">
          <w:rPr>
            <w:rStyle w:val="affa"/>
            <w:webHidden/>
            <w:u w:val="none"/>
          </w:rPr>
          <w:tab/>
          <w:t>136–146</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420072042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42</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43" w:history="1">
        <w:r w:rsidRPr="0046269B">
          <w:rPr>
            <w:rStyle w:val="affa"/>
            <w:u w:val="none"/>
            <w:lang w:val="es-ES"/>
          </w:rPr>
          <w:t>C</w:t>
        </w:r>
        <w:r w:rsidRPr="0046269B">
          <w:rPr>
            <w:rStyle w:val="affa"/>
            <w:u w:val="none"/>
          </w:rPr>
          <w:t>.</w:t>
        </w:r>
        <w:r w:rsidRPr="0046269B">
          <w:rPr>
            <w:rStyle w:val="affa"/>
            <w:u w:val="none"/>
          </w:rPr>
          <w:tab/>
          <w:t>Основы поощрения прав человека на национальном уровне</w:t>
        </w:r>
        <w:r w:rsidRPr="0046269B">
          <w:rPr>
            <w:rStyle w:val="affa"/>
            <w:webHidden/>
            <w:u w:val="none"/>
          </w:rPr>
          <w:tab/>
        </w:r>
        <w:r w:rsidRPr="0046269B">
          <w:rPr>
            <w:rStyle w:val="affa"/>
            <w:webHidden/>
            <w:u w:val="none"/>
          </w:rPr>
          <w:tab/>
          <w:t>147–149</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420072043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46</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44" w:history="1">
        <w:r w:rsidRPr="0046269B">
          <w:rPr>
            <w:rStyle w:val="affa"/>
            <w:u w:val="none"/>
            <w:lang w:val="es-ES"/>
          </w:rPr>
          <w:t>D</w:t>
        </w:r>
        <w:r w:rsidRPr="0046269B">
          <w:rPr>
            <w:rStyle w:val="affa"/>
            <w:u w:val="none"/>
          </w:rPr>
          <w:t>.</w:t>
        </w:r>
        <w:r w:rsidRPr="0046269B">
          <w:rPr>
            <w:rStyle w:val="affa"/>
            <w:u w:val="none"/>
          </w:rPr>
          <w:tab/>
          <w:t>Процесс подготовки докладов</w:t>
        </w:r>
        <w:r w:rsidRPr="0046269B">
          <w:rPr>
            <w:rStyle w:val="affa"/>
            <w:webHidden/>
            <w:u w:val="none"/>
          </w:rPr>
          <w:tab/>
        </w:r>
        <w:r w:rsidRPr="0046269B">
          <w:rPr>
            <w:rStyle w:val="affa"/>
            <w:webHidden/>
            <w:u w:val="none"/>
          </w:rPr>
          <w:tab/>
          <w:t>150–151</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420072044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47</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45" w:history="1">
        <w:r w:rsidRPr="0046269B">
          <w:rPr>
            <w:rStyle w:val="affa"/>
            <w:u w:val="none"/>
            <w:lang w:val="es-ES"/>
          </w:rPr>
          <w:t>E</w:t>
        </w:r>
        <w:r w:rsidRPr="0046269B">
          <w:rPr>
            <w:rStyle w:val="affa"/>
            <w:u w:val="none"/>
          </w:rPr>
          <w:t>.</w:t>
        </w:r>
        <w:r w:rsidRPr="0046269B">
          <w:rPr>
            <w:rStyle w:val="affa"/>
            <w:u w:val="none"/>
          </w:rPr>
          <w:tab/>
          <w:t>Другая информация, касающаяся прав человека</w:t>
        </w:r>
        <w:r w:rsidRPr="0046269B">
          <w:rPr>
            <w:rStyle w:val="affa"/>
            <w:webHidden/>
            <w:u w:val="none"/>
          </w:rPr>
          <w:tab/>
        </w:r>
        <w:r w:rsidRPr="0046269B">
          <w:rPr>
            <w:rStyle w:val="affa"/>
            <w:webHidden/>
            <w:u w:val="none"/>
          </w:rPr>
          <w:tab/>
          <w:t>152–164</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420072045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47</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hyperlink w:anchor="_Toc420072046" w:history="1">
        <w:proofErr w:type="spellStart"/>
        <w:r w:rsidRPr="0046269B">
          <w:rPr>
            <w:rStyle w:val="affa"/>
            <w:u w:val="none"/>
          </w:rPr>
          <w:t>III</w:t>
        </w:r>
        <w:proofErr w:type="spellEnd"/>
        <w:r w:rsidRPr="0046269B">
          <w:rPr>
            <w:rStyle w:val="affa"/>
            <w:u w:val="none"/>
          </w:rPr>
          <w:t>.</w:t>
        </w:r>
        <w:r w:rsidRPr="0046269B">
          <w:rPr>
            <w:rStyle w:val="affa"/>
            <w:u w:val="none"/>
          </w:rPr>
          <w:tab/>
          <w:t>Информация, касающаяся равенства и</w:t>
        </w:r>
        <w:r w:rsidR="00646C19" w:rsidRPr="00646C19">
          <w:rPr>
            <w:rStyle w:val="affa"/>
            <w:u w:val="none"/>
          </w:rPr>
          <w:t xml:space="preserve"> </w:t>
        </w:r>
        <w:proofErr w:type="spellStart"/>
        <w:r w:rsidRPr="0046269B">
          <w:rPr>
            <w:rStyle w:val="affa"/>
            <w:u w:val="none"/>
          </w:rPr>
          <w:t>недискриминации</w:t>
        </w:r>
        <w:proofErr w:type="spellEnd"/>
        <w:r w:rsidRPr="0046269B">
          <w:rPr>
            <w:rStyle w:val="affa"/>
            <w:webHidden/>
            <w:u w:val="none"/>
          </w:rPr>
          <w:tab/>
        </w:r>
        <w:r w:rsidRPr="0046269B">
          <w:rPr>
            <w:rStyle w:val="affa"/>
            <w:webHidden/>
            <w:u w:val="none"/>
          </w:rPr>
          <w:tab/>
          <w:t>165–195</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420072046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51</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47" w:history="1">
        <w:r w:rsidRPr="0046269B">
          <w:rPr>
            <w:rStyle w:val="affa"/>
            <w:u w:val="none"/>
            <w:lang w:val="es-ES"/>
          </w:rPr>
          <w:t>A</w:t>
        </w:r>
        <w:r w:rsidRPr="0046269B">
          <w:rPr>
            <w:rStyle w:val="affa"/>
            <w:u w:val="none"/>
          </w:rPr>
          <w:t>.</w:t>
        </w:r>
        <w:r w:rsidRPr="0046269B">
          <w:rPr>
            <w:rStyle w:val="affa"/>
            <w:u w:val="none"/>
          </w:rPr>
          <w:tab/>
          <w:t>Недопущение дискриминации</w:t>
        </w:r>
        <w:r w:rsidRPr="0046269B">
          <w:rPr>
            <w:rStyle w:val="affa"/>
            <w:webHidden/>
            <w:u w:val="none"/>
          </w:rPr>
          <w:tab/>
        </w:r>
        <w:r w:rsidRPr="0046269B">
          <w:rPr>
            <w:rStyle w:val="affa"/>
            <w:webHidden/>
            <w:u w:val="none"/>
          </w:rPr>
          <w:tab/>
          <w:t>165–167</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420072047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51</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48" w:history="1">
        <w:r w:rsidRPr="0046269B">
          <w:rPr>
            <w:rStyle w:val="affa"/>
            <w:u w:val="none"/>
            <w:lang w:val="es-ES"/>
          </w:rPr>
          <w:t>B</w:t>
        </w:r>
        <w:r w:rsidRPr="0046269B">
          <w:rPr>
            <w:rStyle w:val="affa"/>
            <w:u w:val="none"/>
          </w:rPr>
          <w:t>.</w:t>
        </w:r>
        <w:r w:rsidRPr="0046269B">
          <w:rPr>
            <w:rStyle w:val="affa"/>
            <w:u w:val="none"/>
          </w:rPr>
          <w:tab/>
          <w:t>Борьба против расизма и ксенофобии</w:t>
        </w:r>
        <w:r w:rsidRPr="0046269B">
          <w:rPr>
            <w:rStyle w:val="affa"/>
            <w:webHidden/>
            <w:u w:val="none"/>
          </w:rPr>
          <w:tab/>
        </w:r>
        <w:r w:rsidRPr="0046269B">
          <w:rPr>
            <w:rStyle w:val="affa"/>
            <w:webHidden/>
            <w:u w:val="none"/>
          </w:rPr>
          <w:tab/>
          <w:t>168–177</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420072048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52</w:t>
        </w:r>
        <w:r w:rsidRPr="0046269B">
          <w:rPr>
            <w:rStyle w:val="affa"/>
            <w:webHidden/>
            <w:u w:val="none"/>
          </w:rPr>
          <w:fldChar w:fldCharType="end"/>
        </w:r>
      </w:hyperlink>
    </w:p>
    <w:p w:rsidR="0046269B" w:rsidRPr="0046269B" w:rsidRDefault="0046269B" w:rsidP="0046269B">
      <w:pPr>
        <w:tabs>
          <w:tab w:val="right" w:pos="850"/>
          <w:tab w:val="left" w:pos="1134"/>
          <w:tab w:val="left" w:pos="1559"/>
          <w:tab w:val="left" w:pos="1984"/>
          <w:tab w:val="left" w:leader="dot" w:pos="7938"/>
          <w:tab w:val="right" w:pos="8931"/>
          <w:tab w:val="right" w:pos="9638"/>
        </w:tabs>
        <w:suppressAutoHyphens/>
        <w:spacing w:after="120"/>
      </w:pPr>
      <w:r w:rsidRPr="0046269B">
        <w:tab/>
      </w:r>
      <w:r w:rsidRPr="0046269B">
        <w:tab/>
      </w:r>
      <w:hyperlink w:anchor="_Toc420072049" w:history="1">
        <w:r w:rsidRPr="0046269B">
          <w:rPr>
            <w:rStyle w:val="affa"/>
            <w:u w:val="none"/>
            <w:lang w:val="es-ES"/>
          </w:rPr>
          <w:t>C</w:t>
        </w:r>
        <w:r w:rsidRPr="0046269B">
          <w:rPr>
            <w:rStyle w:val="affa"/>
            <w:u w:val="none"/>
          </w:rPr>
          <w:t>.</w:t>
        </w:r>
        <w:r w:rsidRPr="0046269B">
          <w:rPr>
            <w:rStyle w:val="affa"/>
            <w:u w:val="none"/>
          </w:rPr>
          <w:tab/>
          <w:t xml:space="preserve">Равенство между мужчинами и женщинами и недопущение </w:t>
        </w:r>
        <w:r w:rsidRPr="0046269B">
          <w:rPr>
            <w:rStyle w:val="affa"/>
            <w:u w:val="none"/>
          </w:rPr>
          <w:br/>
        </w:r>
        <w:r w:rsidR="00306041" w:rsidRPr="00306041">
          <w:rPr>
            <w:rStyle w:val="affa"/>
            <w:u w:val="none"/>
          </w:rPr>
          <w:tab/>
        </w:r>
        <w:r w:rsidR="00306041" w:rsidRPr="00306041">
          <w:rPr>
            <w:rStyle w:val="affa"/>
            <w:u w:val="none"/>
          </w:rPr>
          <w:tab/>
        </w:r>
        <w:r w:rsidR="00306041" w:rsidRPr="00306041">
          <w:rPr>
            <w:rStyle w:val="affa"/>
            <w:u w:val="none"/>
          </w:rPr>
          <w:tab/>
        </w:r>
        <w:r w:rsidRPr="0046269B">
          <w:rPr>
            <w:rStyle w:val="affa"/>
            <w:u w:val="none"/>
          </w:rPr>
          <w:t>дискриминации по признаку сексуальной ориентации</w:t>
        </w:r>
        <w:r w:rsidRPr="0046269B">
          <w:rPr>
            <w:rStyle w:val="affa"/>
            <w:webHidden/>
            <w:u w:val="none"/>
          </w:rPr>
          <w:tab/>
        </w:r>
        <w:r w:rsidRPr="0046269B">
          <w:rPr>
            <w:rStyle w:val="affa"/>
            <w:webHidden/>
            <w:u w:val="none"/>
          </w:rPr>
          <w:tab/>
          <w:t>178–195</w:t>
        </w:r>
        <w:r w:rsidRPr="0046269B">
          <w:rPr>
            <w:rStyle w:val="affa"/>
            <w:webHidden/>
            <w:u w:val="none"/>
          </w:rPr>
          <w:tab/>
        </w:r>
        <w:r w:rsidRPr="0046269B">
          <w:rPr>
            <w:rStyle w:val="affa"/>
            <w:webHidden/>
            <w:u w:val="none"/>
            <w:lang w:val="es-ES"/>
          </w:rPr>
          <w:fldChar w:fldCharType="begin"/>
        </w:r>
        <w:r w:rsidRPr="0046269B">
          <w:rPr>
            <w:rStyle w:val="affa"/>
            <w:webHidden/>
            <w:u w:val="none"/>
          </w:rPr>
          <w:instrText xml:space="preserve"> </w:instrText>
        </w:r>
        <w:r w:rsidRPr="0046269B">
          <w:rPr>
            <w:rStyle w:val="affa"/>
            <w:webHidden/>
            <w:u w:val="none"/>
            <w:lang w:val="es-ES"/>
          </w:rPr>
          <w:instrText>PAGEREF</w:instrText>
        </w:r>
        <w:r w:rsidRPr="0046269B">
          <w:rPr>
            <w:rStyle w:val="affa"/>
            <w:webHidden/>
            <w:u w:val="none"/>
          </w:rPr>
          <w:instrText xml:space="preserve"> _</w:instrText>
        </w:r>
        <w:r w:rsidRPr="0046269B">
          <w:rPr>
            <w:rStyle w:val="affa"/>
            <w:webHidden/>
            <w:u w:val="none"/>
            <w:lang w:val="es-ES"/>
          </w:rPr>
          <w:instrText>Toc</w:instrText>
        </w:r>
        <w:r w:rsidRPr="0046269B">
          <w:rPr>
            <w:rStyle w:val="affa"/>
            <w:webHidden/>
            <w:u w:val="none"/>
          </w:rPr>
          <w:instrText>420072049 \</w:instrText>
        </w:r>
        <w:r w:rsidRPr="0046269B">
          <w:rPr>
            <w:rStyle w:val="affa"/>
            <w:webHidden/>
            <w:u w:val="none"/>
            <w:lang w:val="es-ES"/>
          </w:rPr>
          <w:instrText>h</w:instrText>
        </w:r>
        <w:r w:rsidRPr="0046269B">
          <w:rPr>
            <w:rStyle w:val="affa"/>
            <w:webHidden/>
            <w:u w:val="none"/>
          </w:rPr>
          <w:instrText xml:space="preserve"> </w:instrText>
        </w:r>
        <w:r w:rsidRPr="0046269B">
          <w:rPr>
            <w:rStyle w:val="affa"/>
            <w:webHidden/>
            <w:u w:val="none"/>
            <w:lang w:val="es-ES"/>
          </w:rPr>
        </w:r>
        <w:r w:rsidRPr="0046269B">
          <w:rPr>
            <w:rStyle w:val="affa"/>
            <w:webHidden/>
            <w:u w:val="none"/>
            <w:lang w:val="es-ES"/>
          </w:rPr>
          <w:fldChar w:fldCharType="separate"/>
        </w:r>
        <w:r w:rsidR="00481514">
          <w:rPr>
            <w:rStyle w:val="affa"/>
            <w:noProof/>
            <w:webHidden/>
            <w:u w:val="none"/>
            <w:lang w:val="es-ES"/>
          </w:rPr>
          <w:t>56</w:t>
        </w:r>
        <w:r w:rsidRPr="0046269B">
          <w:rPr>
            <w:rStyle w:val="affa"/>
            <w:webHidden/>
            <w:u w:val="none"/>
          </w:rPr>
          <w:fldChar w:fldCharType="end"/>
        </w:r>
      </w:hyperlink>
    </w:p>
    <w:p w:rsidR="0046269B" w:rsidRPr="00256FF3" w:rsidRDefault="000F3FDD" w:rsidP="0046269B">
      <w:pPr>
        <w:tabs>
          <w:tab w:val="right" w:pos="850"/>
          <w:tab w:val="left" w:pos="1134"/>
          <w:tab w:val="left" w:pos="1559"/>
          <w:tab w:val="left" w:pos="1984"/>
          <w:tab w:val="left" w:leader="dot" w:pos="7654"/>
          <w:tab w:val="right" w:pos="8931"/>
          <w:tab w:val="right" w:pos="9638"/>
        </w:tabs>
        <w:suppressAutoHyphens/>
        <w:spacing w:after="120"/>
        <w:rPr>
          <w:lang w:val="es-ES"/>
        </w:rPr>
      </w:pPr>
      <w:r w:rsidRPr="003B6359">
        <w:rPr>
          <w:lang w:val="es-ES"/>
        </w:rPr>
        <w:t>Anexo</w:t>
      </w:r>
      <w:r>
        <w:rPr>
          <w:lang w:val="es-ES"/>
        </w:rPr>
        <w:t>s</w:t>
      </w:r>
      <w:r w:rsidRPr="0046269B">
        <w:rPr>
          <w:lang w:val="es-ES"/>
        </w:rPr>
        <w:t xml:space="preserve"> </w:t>
      </w:r>
    </w:p>
    <w:p w:rsidR="0046269B" w:rsidRPr="00BC21A4" w:rsidRDefault="0046269B" w:rsidP="00306041">
      <w:pPr>
        <w:tabs>
          <w:tab w:val="right" w:pos="850"/>
          <w:tab w:val="left" w:pos="1134"/>
          <w:tab w:val="left" w:pos="1559"/>
          <w:tab w:val="left" w:pos="1984"/>
          <w:tab w:val="left" w:leader="dot" w:pos="8903"/>
          <w:tab w:val="right" w:pos="9214"/>
          <w:tab w:val="right" w:pos="9638"/>
        </w:tabs>
        <w:suppressAutoHyphens/>
        <w:spacing w:after="120"/>
        <w:rPr>
          <w:lang w:val="es-ES"/>
        </w:rPr>
      </w:pPr>
      <w:r w:rsidRPr="00256FF3">
        <w:rPr>
          <w:lang w:val="es-ES"/>
        </w:rPr>
        <w:tab/>
      </w:r>
      <w:hyperlink w:anchor="_Toc420072051" w:history="1">
        <w:r w:rsidRPr="0046269B">
          <w:rPr>
            <w:rStyle w:val="affa"/>
            <w:u w:val="none"/>
            <w:lang w:val="es-ES"/>
          </w:rPr>
          <w:t>I</w:t>
        </w:r>
        <w:r w:rsidRPr="00256FF3">
          <w:rPr>
            <w:rStyle w:val="affa"/>
            <w:u w:val="none"/>
            <w:lang w:val="es-ES"/>
          </w:rPr>
          <w:t xml:space="preserve">. </w:t>
        </w:r>
      </w:hyperlink>
      <w:r w:rsidRPr="00256FF3">
        <w:rPr>
          <w:lang w:val="es-ES"/>
        </w:rPr>
        <w:tab/>
      </w:r>
      <w:r w:rsidR="000853E5" w:rsidRPr="003B6359">
        <w:rPr>
          <w:lang w:val="es-ES"/>
        </w:rPr>
        <w:t>Partidos y coaliciones con representación en las Cortes Generales (X Legislatura)</w:t>
      </w:r>
      <w:r w:rsidR="000F3FDD" w:rsidRPr="000F3FDD">
        <w:rPr>
          <w:lang w:val="es-ES"/>
        </w:rPr>
        <w:tab/>
      </w:r>
      <w:r w:rsidR="000F3FDD" w:rsidRPr="000853E5">
        <w:rPr>
          <w:lang w:val="es-ES"/>
        </w:rPr>
        <w:t xml:space="preserve"> </w:t>
      </w:r>
      <w:r w:rsidR="000F3FDD" w:rsidRPr="00BC21A4">
        <w:rPr>
          <w:lang w:val="es-ES"/>
        </w:rPr>
        <w:tab/>
      </w:r>
      <w:r w:rsidR="000F3FDD" w:rsidRPr="00BC21A4">
        <w:rPr>
          <w:lang w:val="es-ES"/>
        </w:rPr>
        <w:tab/>
      </w:r>
      <w:r w:rsidR="00BC21A4" w:rsidRPr="00BC21A4">
        <w:rPr>
          <w:lang w:val="es-ES"/>
        </w:rPr>
        <w:t>63</w:t>
      </w:r>
    </w:p>
    <w:p w:rsidR="0046269B" w:rsidRPr="005259F3" w:rsidRDefault="0046269B" w:rsidP="00306041">
      <w:pPr>
        <w:tabs>
          <w:tab w:val="right" w:pos="850"/>
          <w:tab w:val="left" w:pos="1134"/>
          <w:tab w:val="left" w:pos="1559"/>
          <w:tab w:val="left" w:pos="1984"/>
          <w:tab w:val="left" w:leader="dot" w:pos="8917"/>
          <w:tab w:val="right" w:pos="9214"/>
          <w:tab w:val="right" w:pos="9638"/>
        </w:tabs>
        <w:suppressAutoHyphens/>
        <w:spacing w:after="120"/>
        <w:rPr>
          <w:lang w:val="en-US"/>
        </w:rPr>
      </w:pPr>
      <w:r w:rsidRPr="000853E5">
        <w:rPr>
          <w:lang w:val="es-ES"/>
        </w:rPr>
        <w:tab/>
      </w:r>
      <w:hyperlink w:anchor="_Toc420072053" w:history="1">
        <w:r w:rsidRPr="0046269B">
          <w:rPr>
            <w:rStyle w:val="affa"/>
            <w:u w:val="none"/>
            <w:lang w:val="es-ES"/>
          </w:rPr>
          <w:t>II</w:t>
        </w:r>
        <w:r w:rsidRPr="005259F3">
          <w:rPr>
            <w:rStyle w:val="affa"/>
            <w:u w:val="none"/>
          </w:rPr>
          <w:t>.</w:t>
        </w:r>
        <w:r w:rsidRPr="005259F3">
          <w:rPr>
            <w:rStyle w:val="affa"/>
            <w:u w:val="none"/>
          </w:rPr>
          <w:tab/>
        </w:r>
      </w:hyperlink>
      <w:hyperlink w:anchor="_Toc420072054" w:history="1">
        <w:r w:rsidR="00003951" w:rsidRPr="005D1CDD">
          <w:rPr>
            <w:lang w:val="es-ES"/>
          </w:rPr>
          <w:t>Presencia</w:t>
        </w:r>
        <w:r w:rsidR="00003951" w:rsidRPr="005259F3">
          <w:t xml:space="preserve"> </w:t>
        </w:r>
        <w:r w:rsidR="00003951" w:rsidRPr="005D1CDD">
          <w:rPr>
            <w:lang w:val="es-ES"/>
          </w:rPr>
          <w:t>de</w:t>
        </w:r>
        <w:r w:rsidR="00003951" w:rsidRPr="005259F3">
          <w:t xml:space="preserve"> </w:t>
        </w:r>
        <w:r w:rsidR="00003951" w:rsidRPr="005D1CDD">
          <w:rPr>
            <w:lang w:val="es-ES"/>
          </w:rPr>
          <w:t>organizaciones</w:t>
        </w:r>
        <w:r w:rsidR="00003951" w:rsidRPr="005259F3">
          <w:t xml:space="preserve"> </w:t>
        </w:r>
        <w:r w:rsidR="00003951" w:rsidRPr="005D1CDD">
          <w:rPr>
            <w:lang w:val="es-ES"/>
          </w:rPr>
          <w:t>no</w:t>
        </w:r>
        <w:r w:rsidR="00003951" w:rsidRPr="005259F3">
          <w:t xml:space="preserve"> </w:t>
        </w:r>
        <w:r w:rsidR="00003951" w:rsidRPr="005D1CDD">
          <w:rPr>
            <w:lang w:val="es-ES"/>
          </w:rPr>
          <w:t>gubernamentales</w:t>
        </w:r>
        <w:r w:rsidR="00003951" w:rsidRPr="005259F3">
          <w:t xml:space="preserve"> </w:t>
        </w:r>
        <w:r w:rsidR="00003951" w:rsidRPr="005D1CDD">
          <w:rPr>
            <w:lang w:val="es-ES"/>
          </w:rPr>
          <w:t>en</w:t>
        </w:r>
        <w:r w:rsidR="00003951" w:rsidRPr="005259F3">
          <w:t xml:space="preserve"> </w:t>
        </w:r>
        <w:proofErr w:type="spellStart"/>
        <w:r w:rsidR="00003951" w:rsidRPr="005D1CDD">
          <w:rPr>
            <w:lang w:val="es-ES"/>
          </w:rPr>
          <w:t>Espa</w:t>
        </w:r>
        <w:proofErr w:type="spellEnd"/>
        <w:r w:rsidR="00003951" w:rsidRPr="005259F3">
          <w:t>ñ</w:t>
        </w:r>
        <w:r w:rsidR="00003951" w:rsidRPr="005D1CDD">
          <w:rPr>
            <w:lang w:val="es-ES"/>
          </w:rPr>
          <w:t>a</w:t>
        </w:r>
      </w:hyperlink>
      <w:r w:rsidR="000F3FDD" w:rsidRPr="005259F3">
        <w:tab/>
      </w:r>
      <w:r w:rsidR="000F3FDD" w:rsidRPr="005259F3">
        <w:tab/>
      </w:r>
      <w:r w:rsidR="000F3FDD" w:rsidRPr="005259F3">
        <w:tab/>
      </w:r>
      <w:r w:rsidR="005259F3" w:rsidRPr="005259F3">
        <w:t>6</w:t>
      </w:r>
      <w:r w:rsidR="005259F3">
        <w:rPr>
          <w:lang w:val="en-US"/>
        </w:rPr>
        <w:t>5</w:t>
      </w:r>
    </w:p>
    <w:p w:rsidR="00646C19" w:rsidRPr="00646C19" w:rsidRDefault="00B14ABC" w:rsidP="00646C19">
      <w:pPr>
        <w:pStyle w:val="HChGR"/>
      </w:pPr>
      <w:r w:rsidRPr="00256FF3">
        <w:br w:type="page"/>
      </w:r>
      <w:bookmarkStart w:id="3" w:name="_Toc420072037"/>
      <w:r w:rsidR="00646C19" w:rsidRPr="00256FF3">
        <w:tab/>
      </w:r>
      <w:r w:rsidR="00646C19" w:rsidRPr="00646C19">
        <w:t>I.</w:t>
      </w:r>
      <w:r w:rsidR="00646C19" w:rsidRPr="00646C19">
        <w:tab/>
        <w:t>Общие сведения о государстве</w:t>
      </w:r>
      <w:bookmarkEnd w:id="3"/>
    </w:p>
    <w:p w:rsidR="00646C19" w:rsidRPr="00646C19" w:rsidRDefault="00646C19" w:rsidP="00646C19">
      <w:pPr>
        <w:pStyle w:val="H1GR"/>
      </w:pPr>
      <w:r w:rsidRPr="00256FF3">
        <w:tab/>
      </w:r>
      <w:bookmarkStart w:id="4" w:name="_Toc420072038"/>
      <w:r w:rsidRPr="00646C19">
        <w:t>A.</w:t>
      </w:r>
      <w:r w:rsidRPr="00646C19">
        <w:tab/>
      </w:r>
      <w:r>
        <w:t>Основные д</w:t>
      </w:r>
      <w:r w:rsidRPr="00646C19">
        <w:t>емографическ</w:t>
      </w:r>
      <w:r>
        <w:t>ие, экономические, социальные и</w:t>
      </w:r>
      <w:r w:rsidR="00ED5DE5">
        <w:t> </w:t>
      </w:r>
      <w:r w:rsidRPr="00646C19">
        <w:t>культурные характеристики государства</w:t>
      </w:r>
      <w:bookmarkEnd w:id="4"/>
    </w:p>
    <w:p w:rsidR="00646C19" w:rsidRPr="00646C19" w:rsidRDefault="00646C19" w:rsidP="00646C19">
      <w:pPr>
        <w:pStyle w:val="H23GR"/>
      </w:pPr>
      <w:r w:rsidRPr="00646C19">
        <w:tab/>
        <w:t>1.</w:t>
      </w:r>
      <w:r w:rsidRPr="00646C19">
        <w:tab/>
        <w:t>Демографические показатели</w:t>
      </w:r>
    </w:p>
    <w:p w:rsidR="00646C19" w:rsidRPr="00646C19" w:rsidRDefault="00646C19" w:rsidP="00646C19">
      <w:pPr>
        <w:pStyle w:val="SingleTxtGR"/>
      </w:pPr>
      <w:r w:rsidRPr="00646C19">
        <w:t>1.</w:t>
      </w:r>
      <w:r w:rsidRPr="00646C19">
        <w:tab/>
        <w:t xml:space="preserve">Большая часть территории Испании находится на образующем юго-западную оконечность Европы </w:t>
      </w:r>
      <w:r>
        <w:t>Пиренейском</w:t>
      </w:r>
      <w:r w:rsidRPr="00646C19">
        <w:t xml:space="preserve"> полуострове, где расположены</w:t>
      </w:r>
      <w:r w:rsidR="00A6625D" w:rsidRPr="00A6625D">
        <w:t xml:space="preserve"> </w:t>
      </w:r>
      <w:r w:rsidR="00A6625D" w:rsidRPr="00646C19">
        <w:t>также</w:t>
      </w:r>
      <w:r w:rsidRPr="00646C19">
        <w:t xml:space="preserve"> Португалия и Андорра. Кроме того, Испании принадлежат такие остро</w:t>
      </w:r>
      <w:r w:rsidRPr="00646C19">
        <w:t>в</w:t>
      </w:r>
      <w:r w:rsidRPr="00646C19">
        <w:t>ные территории, как Канарский и Балеарский архипелаги, другие менее кру</w:t>
      </w:r>
      <w:r w:rsidRPr="00646C19">
        <w:t>п</w:t>
      </w:r>
      <w:r w:rsidRPr="00646C19">
        <w:t>ные острова и города Сеута и Мелилья, расположенные в северной части Афр</w:t>
      </w:r>
      <w:r w:rsidRPr="00646C19">
        <w:t>и</w:t>
      </w:r>
      <w:r w:rsidRPr="00646C19">
        <w:t>канского континента. Поскольку общая площадь Испании составляет 506</w:t>
      </w:r>
      <w:r w:rsidR="005507FC">
        <w:t> </w:t>
      </w:r>
      <w:r w:rsidRPr="00646C19">
        <w:t>030</w:t>
      </w:r>
      <w:r w:rsidR="005507FC">
        <w:t> </w:t>
      </w:r>
      <w:r w:rsidRPr="00646C19">
        <w:t>кв. км, она входит в число 50 самых больших стран мира. Площадь и</w:t>
      </w:r>
      <w:r w:rsidRPr="00646C19">
        <w:t>с</w:t>
      </w:r>
      <w:r w:rsidRPr="00646C19">
        <w:t xml:space="preserve">панской территории на </w:t>
      </w:r>
      <w:r>
        <w:t>Пиренейском</w:t>
      </w:r>
      <w:r w:rsidRPr="00646C19">
        <w:t xml:space="preserve"> полуострове составляет 493</w:t>
      </w:r>
      <w:r w:rsidR="00ED5DE5">
        <w:t> </w:t>
      </w:r>
      <w:r w:rsidRPr="00646C19">
        <w:t>514</w:t>
      </w:r>
      <w:r w:rsidR="005507FC">
        <w:t xml:space="preserve"> </w:t>
      </w:r>
      <w:r w:rsidRPr="00646C19">
        <w:t>кв. км, площадь Балеарского архипелага – 4</w:t>
      </w:r>
      <w:r w:rsidR="00ED5DE5">
        <w:t> </w:t>
      </w:r>
      <w:r w:rsidRPr="00646C19">
        <w:t>992</w:t>
      </w:r>
      <w:r w:rsidR="005507FC">
        <w:t xml:space="preserve"> </w:t>
      </w:r>
      <w:r w:rsidRPr="00646C19">
        <w:t>кв.</w:t>
      </w:r>
      <w:r w:rsidR="005507FC">
        <w:t xml:space="preserve"> </w:t>
      </w:r>
      <w:r w:rsidRPr="00646C19">
        <w:t>км, Канарского архипелага − 7</w:t>
      </w:r>
      <w:r w:rsidR="005507FC">
        <w:t> </w:t>
      </w:r>
      <w:r w:rsidRPr="00646C19">
        <w:t>492</w:t>
      </w:r>
      <w:r w:rsidR="005507FC">
        <w:t> </w:t>
      </w:r>
      <w:r w:rsidRPr="00646C19">
        <w:t>кв.</w:t>
      </w:r>
      <w:r w:rsidR="005507FC">
        <w:t xml:space="preserve"> </w:t>
      </w:r>
      <w:r w:rsidRPr="00646C19">
        <w:t>км, а городов Сеута и Мелилья − 32</w:t>
      </w:r>
      <w:r w:rsidR="005507FC">
        <w:t xml:space="preserve"> </w:t>
      </w:r>
      <w:r w:rsidRPr="00646C19">
        <w:t>кв.</w:t>
      </w:r>
      <w:r w:rsidR="005507FC">
        <w:t xml:space="preserve"> </w:t>
      </w:r>
      <w:r w:rsidRPr="00646C19">
        <w:t>км.</w:t>
      </w:r>
    </w:p>
    <w:p w:rsidR="00646C19" w:rsidRPr="00646C19" w:rsidRDefault="00646C19" w:rsidP="00646C19">
      <w:pPr>
        <w:pStyle w:val="SingleTxtGR"/>
      </w:pPr>
      <w:r w:rsidRPr="00646C19">
        <w:t>2.</w:t>
      </w:r>
      <w:r w:rsidRPr="00646C19">
        <w:tab/>
        <w:t>Численность официально зарегистрированных жителей Испании в п</w:t>
      </w:r>
      <w:r w:rsidRPr="00646C19">
        <w:t>о</w:t>
      </w:r>
      <w:r w:rsidRPr="00646C19">
        <w:t>следние</w:t>
      </w:r>
      <w:r w:rsidR="005507FC">
        <w:t xml:space="preserve"> </w:t>
      </w:r>
      <w:r w:rsidRPr="00646C19">
        <w:t>годы росла невиданными до этого темпами. За период с начала 2001</w:t>
      </w:r>
      <w:r w:rsidR="00ED5DE5">
        <w:t> </w:t>
      </w:r>
      <w:r w:rsidR="00A6625D">
        <w:t>года</w:t>
      </w:r>
      <w:r w:rsidRPr="00646C19">
        <w:t xml:space="preserve"> по начало 2009</w:t>
      </w:r>
      <w:r w:rsidR="005507FC">
        <w:t xml:space="preserve"> </w:t>
      </w:r>
      <w:r w:rsidRPr="00646C19">
        <w:t>года численность зарегистрированного населения увеличивалась на 700</w:t>
      </w:r>
      <w:r w:rsidR="00ED5DE5">
        <w:t> </w:t>
      </w:r>
      <w:r w:rsidRPr="00646C19">
        <w:t>000</w:t>
      </w:r>
      <w:r w:rsidR="005507FC">
        <w:t xml:space="preserve"> </w:t>
      </w:r>
      <w:r w:rsidRPr="00646C19">
        <w:t>человек в</w:t>
      </w:r>
      <w:r w:rsidR="005507FC">
        <w:t xml:space="preserve"> </w:t>
      </w:r>
      <w:r w:rsidRPr="00646C19">
        <w:t>год, причем более полумиллиона из них с</w:t>
      </w:r>
      <w:r w:rsidRPr="00646C19">
        <w:t>о</w:t>
      </w:r>
      <w:r w:rsidRPr="00646C19">
        <w:t>ставляли иностранцы. По состоянию на 1 января 2009</w:t>
      </w:r>
      <w:r w:rsidR="005507FC">
        <w:t xml:space="preserve"> </w:t>
      </w:r>
      <w:r w:rsidRPr="00646C19">
        <w:t>года численность зарег</w:t>
      </w:r>
      <w:r w:rsidRPr="00646C19">
        <w:t>и</w:t>
      </w:r>
      <w:r w:rsidRPr="00646C19">
        <w:t>стрированных жителей составляла 46</w:t>
      </w:r>
      <w:r w:rsidR="00ED5DE5">
        <w:t> </w:t>
      </w:r>
      <w:r w:rsidRPr="00646C19">
        <w:t>745</w:t>
      </w:r>
      <w:r w:rsidR="00ED5DE5">
        <w:t> </w:t>
      </w:r>
      <w:r w:rsidRPr="00646C19">
        <w:t>807</w:t>
      </w:r>
      <w:r w:rsidR="005507FC">
        <w:t xml:space="preserve"> </w:t>
      </w:r>
      <w:r w:rsidRPr="00646C19">
        <w:t>человек</w:t>
      </w:r>
      <w:r w:rsidR="00A6625D">
        <w:t>, т.е.</w:t>
      </w:r>
      <w:r w:rsidRPr="00646C19">
        <w:t xml:space="preserve"> увеличи</w:t>
      </w:r>
      <w:r w:rsidR="00A6625D">
        <w:t>лась</w:t>
      </w:r>
      <w:r w:rsidRPr="00646C19">
        <w:t xml:space="preserve"> за п</w:t>
      </w:r>
      <w:r w:rsidRPr="00646C19">
        <w:t>о</w:t>
      </w:r>
      <w:r w:rsidRPr="00646C19">
        <w:t>следние восемь</w:t>
      </w:r>
      <w:r w:rsidR="005507FC">
        <w:t xml:space="preserve"> </w:t>
      </w:r>
      <w:r w:rsidRPr="00646C19">
        <w:t>лет на 5,5</w:t>
      </w:r>
      <w:r w:rsidR="005507FC">
        <w:t xml:space="preserve"> </w:t>
      </w:r>
      <w:r w:rsidRPr="00646C19">
        <w:t>млн. Этот прирост был связан, в числе прочего, со сложившейся на тот момент весьма благоприятной экономической ситуацией. Быстрый прирост был более чем на 75</w:t>
      </w:r>
      <w:r w:rsidR="005507FC">
        <w:t>%</w:t>
      </w:r>
      <w:r w:rsidRPr="00646C19">
        <w:t xml:space="preserve"> обусловлен увеличением числа ин</w:t>
      </w:r>
      <w:r w:rsidRPr="00646C19">
        <w:t>о</w:t>
      </w:r>
      <w:r w:rsidRPr="00646C19">
        <w:t>странцев, проживающих в стране (на начало 2009</w:t>
      </w:r>
      <w:r w:rsidR="005507FC">
        <w:t xml:space="preserve"> </w:t>
      </w:r>
      <w:r w:rsidRPr="00646C19">
        <w:t>года в стране был официал</w:t>
      </w:r>
      <w:r w:rsidRPr="00646C19">
        <w:t>ь</w:t>
      </w:r>
      <w:r w:rsidRPr="00646C19">
        <w:t>но зарегистрирован 5</w:t>
      </w:r>
      <w:r w:rsidR="00ED5DE5">
        <w:t> </w:t>
      </w:r>
      <w:r w:rsidRPr="00646C19">
        <w:t>648</w:t>
      </w:r>
      <w:r w:rsidR="00ED5DE5">
        <w:t> </w:t>
      </w:r>
      <w:r w:rsidRPr="00646C19">
        <w:t>671</w:t>
      </w:r>
      <w:r w:rsidR="005507FC">
        <w:t xml:space="preserve"> </w:t>
      </w:r>
      <w:r w:rsidRPr="00646C19">
        <w:t>иностранец). В течение трех последующих</w:t>
      </w:r>
      <w:r w:rsidR="005507FC">
        <w:t xml:space="preserve"> </w:t>
      </w:r>
      <w:r w:rsidRPr="00646C19">
        <w:t>лет общая численность населения увеличивалась примерно на 200</w:t>
      </w:r>
      <w:r w:rsidR="00ED5DE5">
        <w:t> </w:t>
      </w:r>
      <w:r w:rsidRPr="00646C19">
        <w:t>000</w:t>
      </w:r>
      <w:r w:rsidR="005507FC">
        <w:t xml:space="preserve"> </w:t>
      </w:r>
      <w:r w:rsidRPr="00646C19">
        <w:t>человек в</w:t>
      </w:r>
      <w:r w:rsidR="005507FC">
        <w:t xml:space="preserve"> </w:t>
      </w:r>
      <w:r w:rsidRPr="00646C19">
        <w:t>год, а иностранцев – только на 50</w:t>
      </w:r>
      <w:r w:rsidR="00ED5DE5">
        <w:t> </w:t>
      </w:r>
      <w:r w:rsidRPr="00646C19">
        <w:t>000. По состоянию на 1</w:t>
      </w:r>
      <w:r w:rsidR="005507FC">
        <w:t xml:space="preserve"> </w:t>
      </w:r>
      <w:r w:rsidRPr="00646C19">
        <w:t>января 2013</w:t>
      </w:r>
      <w:r w:rsidR="005507FC">
        <w:t xml:space="preserve"> </w:t>
      </w:r>
      <w:r w:rsidRPr="00646C19">
        <w:t>года чи</w:t>
      </w:r>
      <w:r w:rsidRPr="00646C19">
        <w:t>с</w:t>
      </w:r>
      <w:r w:rsidRPr="00646C19">
        <w:t>ло официально зарегистрированных жителей Испании – 47</w:t>
      </w:r>
      <w:r w:rsidR="00ED5DE5">
        <w:t> </w:t>
      </w:r>
      <w:r w:rsidRPr="00646C19">
        <w:t>129</w:t>
      </w:r>
      <w:r w:rsidR="00ED5DE5">
        <w:t> </w:t>
      </w:r>
      <w:r w:rsidRPr="00646C19">
        <w:t>783</w:t>
      </w:r>
      <w:r w:rsidR="005507FC">
        <w:t xml:space="preserve"> </w:t>
      </w:r>
      <w:r w:rsidRPr="00646C19">
        <w:t>человек – впервые сократилось на 135</w:t>
      </w:r>
      <w:r w:rsidR="00ED5DE5">
        <w:t> </w:t>
      </w:r>
      <w:r w:rsidRPr="00646C19">
        <w:t>000</w:t>
      </w:r>
      <w:r w:rsidR="005507FC">
        <w:t xml:space="preserve"> </w:t>
      </w:r>
      <w:r w:rsidRPr="00646C19">
        <w:t>человек. Это было связано с сокращением чи</w:t>
      </w:r>
      <w:r w:rsidRPr="00646C19">
        <w:t>с</w:t>
      </w:r>
      <w:r w:rsidRPr="00646C19">
        <w:t>ленности иностранцев, отчасти из-за того, что после приобретения испанского гражданства многие такие иностранцы отныне регистрировались как испанцы. По последним имеющимся оценкам численности населения по состоянию на середину 2013</w:t>
      </w:r>
      <w:r w:rsidR="005507FC">
        <w:t xml:space="preserve"> </w:t>
      </w:r>
      <w:r w:rsidRPr="00646C19">
        <w:t>года число иностранцев составляло менее 5</w:t>
      </w:r>
      <w:r w:rsidR="005507FC">
        <w:t xml:space="preserve"> </w:t>
      </w:r>
      <w:r w:rsidRPr="00646C19">
        <w:t>млн.</w:t>
      </w:r>
      <w:r w:rsidR="005507FC">
        <w:t xml:space="preserve"> </w:t>
      </w:r>
      <w:r w:rsidRPr="00646C19">
        <w:t xml:space="preserve">человек, </w:t>
      </w:r>
      <w:r w:rsidR="005507FC">
        <w:t>т.е.</w:t>
      </w:r>
      <w:r w:rsidRPr="00646C19">
        <w:t xml:space="preserve"> имеет место </w:t>
      </w:r>
      <w:r w:rsidR="005507FC">
        <w:t>сокращение</w:t>
      </w:r>
      <w:r w:rsidRPr="00646C19">
        <w:t xml:space="preserve"> их численности более чем на 700</w:t>
      </w:r>
      <w:r w:rsidR="005E76E2">
        <w:t> </w:t>
      </w:r>
      <w:r w:rsidRPr="00646C19">
        <w:t>000</w:t>
      </w:r>
      <w:r w:rsidR="005507FC">
        <w:t xml:space="preserve"> </w:t>
      </w:r>
      <w:r w:rsidRPr="00646C19">
        <w:t>человек. Это связано, с одной стороны, с натурализацией иностранцев, которые отныне уч</w:t>
      </w:r>
      <w:r w:rsidRPr="00646C19">
        <w:t>и</w:t>
      </w:r>
      <w:r w:rsidRPr="00646C19">
        <w:t xml:space="preserve">тываются как граждане Испании, а с другой – с возвращением иностранцев в страны происхождения. </w:t>
      </w:r>
    </w:p>
    <w:p w:rsidR="00646C19" w:rsidRPr="00646C19" w:rsidRDefault="00646C19" w:rsidP="00646C19">
      <w:pPr>
        <w:pStyle w:val="SingleTxtGR"/>
      </w:pPr>
      <w:r w:rsidRPr="00646C19">
        <w:t>3.</w:t>
      </w:r>
      <w:r w:rsidRPr="00646C19">
        <w:tab/>
        <w:t>Что касается половой структуры населения, то, по данным на 1</w:t>
      </w:r>
      <w:r w:rsidR="005507FC">
        <w:t xml:space="preserve"> </w:t>
      </w:r>
      <w:r w:rsidRPr="00646C19">
        <w:t>января 2013</w:t>
      </w:r>
      <w:r w:rsidR="005507FC">
        <w:t xml:space="preserve"> </w:t>
      </w:r>
      <w:r w:rsidRPr="00646C19">
        <w:t>года, мужчины составляли 49,2</w:t>
      </w:r>
      <w:r w:rsidR="005507FC">
        <w:t>%</w:t>
      </w:r>
      <w:r w:rsidRPr="00646C19">
        <w:t>, а женщины – 50,8</w:t>
      </w:r>
      <w:r w:rsidR="005507FC">
        <w:t>%</w:t>
      </w:r>
      <w:r w:rsidRPr="00646C19">
        <w:t xml:space="preserve"> официально зарег</w:t>
      </w:r>
      <w:r w:rsidRPr="00646C19">
        <w:t>и</w:t>
      </w:r>
      <w:r w:rsidRPr="00646C19">
        <w:t>стрированных жителей страны. Среди испанцев доля мужчин составляет 48,9</w:t>
      </w:r>
      <w:r w:rsidR="005507FC">
        <w:t>%</w:t>
      </w:r>
      <w:r w:rsidRPr="00646C19">
        <w:t>, а женщин − 51,1</w:t>
      </w:r>
      <w:r w:rsidR="005507FC">
        <w:t>%</w:t>
      </w:r>
      <w:r w:rsidRPr="00646C19">
        <w:t>. В то же время среди иностранцев на мужчин приходится 51,5</w:t>
      </w:r>
      <w:r w:rsidR="005507FC">
        <w:t>%</w:t>
      </w:r>
      <w:r w:rsidRPr="00646C19">
        <w:t>, а на женщин − 48,5</w:t>
      </w:r>
      <w:r w:rsidR="005507FC">
        <w:t>%</w:t>
      </w:r>
      <w:r w:rsidRPr="00646C19">
        <w:t>. Что касается возраста, то 15,0</w:t>
      </w:r>
      <w:r w:rsidR="005507FC">
        <w:t>%</w:t>
      </w:r>
      <w:r w:rsidRPr="00646C19">
        <w:t xml:space="preserve"> населения моложе 15</w:t>
      </w:r>
      <w:r w:rsidR="005507FC">
        <w:t xml:space="preserve"> </w:t>
      </w:r>
      <w:r w:rsidRPr="00646C19">
        <w:t>лет, 67,3</w:t>
      </w:r>
      <w:r w:rsidR="005507FC">
        <w:t>%</w:t>
      </w:r>
      <w:r w:rsidRPr="00646C19">
        <w:t xml:space="preserve"> относится к возрастной группе </w:t>
      </w:r>
      <w:r w:rsidR="005507FC">
        <w:t xml:space="preserve">от </w:t>
      </w:r>
      <w:r w:rsidRPr="00646C19">
        <w:t>16</w:t>
      </w:r>
      <w:r w:rsidR="005507FC">
        <w:t xml:space="preserve"> до </w:t>
      </w:r>
      <w:r w:rsidRPr="00646C19">
        <w:t>64</w:t>
      </w:r>
      <w:r w:rsidR="005507FC">
        <w:t xml:space="preserve"> лет</w:t>
      </w:r>
      <w:r w:rsidRPr="00646C19">
        <w:t>, а 17,7</w:t>
      </w:r>
      <w:r w:rsidR="005507FC">
        <w:t>%</w:t>
      </w:r>
      <w:r w:rsidRPr="00646C19">
        <w:t xml:space="preserve"> составл</w:t>
      </w:r>
      <w:r w:rsidRPr="00646C19">
        <w:t>я</w:t>
      </w:r>
      <w:r w:rsidRPr="00646C19">
        <w:t>ют лица в возрасте 65</w:t>
      </w:r>
      <w:r w:rsidR="005507FC">
        <w:t xml:space="preserve"> </w:t>
      </w:r>
      <w:r w:rsidRPr="00646C19">
        <w:t>лет и старше. Среди испанских граждан 15,0</w:t>
      </w:r>
      <w:r w:rsidR="005507FC">
        <w:t>%</w:t>
      </w:r>
      <w:r w:rsidRPr="00646C19">
        <w:t xml:space="preserve"> моложе 15</w:t>
      </w:r>
      <w:r w:rsidR="005507FC">
        <w:t> </w:t>
      </w:r>
      <w:r w:rsidRPr="00646C19">
        <w:t>лет, 65,8</w:t>
      </w:r>
      <w:r w:rsidR="005507FC">
        <w:t>%</w:t>
      </w:r>
      <w:r w:rsidRPr="00646C19">
        <w:t xml:space="preserve"> находятся в возрасте от 16 до 64</w:t>
      </w:r>
      <w:r w:rsidR="005507FC">
        <w:t xml:space="preserve"> </w:t>
      </w:r>
      <w:r w:rsidRPr="00646C19">
        <w:t>лет, а 19,2</w:t>
      </w:r>
      <w:r w:rsidR="005507FC">
        <w:t>%</w:t>
      </w:r>
      <w:r w:rsidRPr="00646C19">
        <w:t xml:space="preserve"> – в возрасте 65</w:t>
      </w:r>
      <w:r w:rsidR="005507FC">
        <w:t xml:space="preserve"> </w:t>
      </w:r>
      <w:r w:rsidRPr="00646C19">
        <w:t>лет и старше. Среди иностранцев доля несовершеннолетних моложе 15</w:t>
      </w:r>
      <w:r w:rsidR="005507FC">
        <w:t xml:space="preserve"> </w:t>
      </w:r>
      <w:r w:rsidRPr="00646C19">
        <w:t>лет</w:t>
      </w:r>
      <w:r w:rsidR="005507FC">
        <w:t xml:space="preserve"> </w:t>
      </w:r>
      <w:r w:rsidRPr="00646C19">
        <w:t>– 14,6</w:t>
      </w:r>
      <w:r w:rsidR="005507FC">
        <w:t>%</w:t>
      </w:r>
      <w:r w:rsidRPr="00646C19">
        <w:t>, лиц в возрасте от 16 до 64</w:t>
      </w:r>
      <w:r w:rsidR="005507FC">
        <w:t xml:space="preserve"> </w:t>
      </w:r>
      <w:r w:rsidRPr="00646C19">
        <w:t>лет</w:t>
      </w:r>
      <w:r w:rsidR="005507FC">
        <w:t xml:space="preserve"> </w:t>
      </w:r>
      <w:r w:rsidRPr="00646C19">
        <w:t>– 78,9</w:t>
      </w:r>
      <w:r w:rsidR="005507FC">
        <w:t>%</w:t>
      </w:r>
      <w:r w:rsidRPr="00646C19">
        <w:t>, а лиц в возрасте 65</w:t>
      </w:r>
      <w:r w:rsidR="005507FC">
        <w:t xml:space="preserve"> </w:t>
      </w:r>
      <w:r w:rsidRPr="00646C19">
        <w:t>лет и старше</w:t>
      </w:r>
      <w:r w:rsidR="005507FC">
        <w:t xml:space="preserve"> </w:t>
      </w:r>
      <w:r w:rsidRPr="00646C19">
        <w:t>– 6,5</w:t>
      </w:r>
      <w:r w:rsidR="005507FC">
        <w:t>%</w:t>
      </w:r>
      <w:r w:rsidRPr="00646C19">
        <w:t>.</w:t>
      </w:r>
    </w:p>
    <w:p w:rsidR="00646C19" w:rsidRPr="00646C19" w:rsidRDefault="00646C19" w:rsidP="00646C19">
      <w:pPr>
        <w:pStyle w:val="SingleTxtGR"/>
      </w:pPr>
      <w:r w:rsidRPr="00646C19">
        <w:t>4.</w:t>
      </w:r>
      <w:r w:rsidRPr="00646C19">
        <w:tab/>
        <w:t>По состоянию на 1 января 2013</w:t>
      </w:r>
      <w:r w:rsidR="005507FC">
        <w:t xml:space="preserve"> </w:t>
      </w:r>
      <w:r w:rsidRPr="00646C19">
        <w:t>года в Испании официально проживали 5</w:t>
      </w:r>
      <w:r w:rsidR="00083C96">
        <w:t> </w:t>
      </w:r>
      <w:r w:rsidRPr="00646C19">
        <w:t>546</w:t>
      </w:r>
      <w:r w:rsidR="00083C96">
        <w:t> </w:t>
      </w:r>
      <w:r w:rsidRPr="00646C19">
        <w:t>238</w:t>
      </w:r>
      <w:r w:rsidR="00083C96">
        <w:t> </w:t>
      </w:r>
      <w:r w:rsidRPr="00646C19">
        <w:t>иностранцев. Численность граждан 27</w:t>
      </w:r>
      <w:r w:rsidR="005507FC">
        <w:t xml:space="preserve"> </w:t>
      </w:r>
      <w:r w:rsidRPr="00646C19">
        <w:t>стран – членов ЕС составляла 2</w:t>
      </w:r>
      <w:r w:rsidR="00083C96">
        <w:t> </w:t>
      </w:r>
      <w:r w:rsidRPr="00646C19">
        <w:t>359</w:t>
      </w:r>
      <w:r w:rsidR="00083C96">
        <w:t> </w:t>
      </w:r>
      <w:r w:rsidRPr="00646C19">
        <w:t>371</w:t>
      </w:r>
      <w:r w:rsidR="00083C96">
        <w:t> </w:t>
      </w:r>
      <w:r w:rsidRPr="00646C19">
        <w:t>человек. На первом месте по численности среди них находятся гра</w:t>
      </w:r>
      <w:r w:rsidRPr="00646C19">
        <w:t>ж</w:t>
      </w:r>
      <w:r w:rsidRPr="00646C19">
        <w:t>дане Румынии (870</w:t>
      </w:r>
      <w:r w:rsidR="00083C96">
        <w:t> </w:t>
      </w:r>
      <w:r w:rsidRPr="00646C19">
        <w:t>258</w:t>
      </w:r>
      <w:r w:rsidR="00083C96">
        <w:t> </w:t>
      </w:r>
      <w:r w:rsidRPr="00646C19">
        <w:t>человек), а последующие места занимают граждане С</w:t>
      </w:r>
      <w:r w:rsidRPr="00646C19">
        <w:t>о</w:t>
      </w:r>
      <w:r w:rsidRPr="00646C19">
        <w:t>единенного Королевства (385</w:t>
      </w:r>
      <w:r w:rsidR="00083C96">
        <w:t> </w:t>
      </w:r>
      <w:r w:rsidRPr="00646C19">
        <w:t>179</w:t>
      </w:r>
      <w:r w:rsidR="00083C96">
        <w:t> </w:t>
      </w:r>
      <w:r w:rsidRPr="00646C19">
        <w:t>человек) и итальянцы (192</w:t>
      </w:r>
      <w:r w:rsidR="00083C96">
        <w:t> </w:t>
      </w:r>
      <w:r w:rsidRPr="00646C19">
        <w:t>431</w:t>
      </w:r>
      <w:r w:rsidR="00083C96">
        <w:t> </w:t>
      </w:r>
      <w:r w:rsidRPr="00646C19">
        <w:t>человек). Ср</w:t>
      </w:r>
      <w:r w:rsidRPr="00646C19">
        <w:t>е</w:t>
      </w:r>
      <w:r w:rsidRPr="00646C19">
        <w:t>ди групп иностранцев, не являющихся выходцами из стран Сообщества, наиб</w:t>
      </w:r>
      <w:r w:rsidRPr="00646C19">
        <w:t>о</w:t>
      </w:r>
      <w:r w:rsidRPr="00646C19">
        <w:t>лее многочисленными являются марокканцы (792</w:t>
      </w:r>
      <w:r w:rsidR="00083C96">
        <w:t> </w:t>
      </w:r>
      <w:r w:rsidRPr="00646C19">
        <w:t>158</w:t>
      </w:r>
      <w:r w:rsidR="00083C96">
        <w:t> </w:t>
      </w:r>
      <w:r w:rsidRPr="00646C19">
        <w:t>человек), за которыми</w:t>
      </w:r>
      <w:r w:rsidR="00083C96">
        <w:t xml:space="preserve"> следуют граждане Эквадора (263 </w:t>
      </w:r>
      <w:r w:rsidRPr="00646C19">
        <w:t>498</w:t>
      </w:r>
      <w:r w:rsidR="00083C96">
        <w:t> человек) и Колумбии (222 </w:t>
      </w:r>
      <w:r w:rsidRPr="00646C19">
        <w:t>542</w:t>
      </w:r>
      <w:r w:rsidR="00083C96">
        <w:t> </w:t>
      </w:r>
      <w:r w:rsidRPr="00646C19">
        <w:t>человека).</w:t>
      </w:r>
    </w:p>
    <w:p w:rsidR="00646C19" w:rsidRPr="00646C19" w:rsidRDefault="00646C19" w:rsidP="00646C19">
      <w:pPr>
        <w:pStyle w:val="SingleTxtGR"/>
      </w:pPr>
      <w:r w:rsidRPr="00646C19">
        <w:t>5.</w:t>
      </w:r>
      <w:r w:rsidRPr="00646C19">
        <w:tab/>
        <w:t>В 2012</w:t>
      </w:r>
      <w:r w:rsidR="005507FC">
        <w:t xml:space="preserve"> </w:t>
      </w:r>
      <w:r w:rsidRPr="00646C19">
        <w:t>году имело место сокращение численности иностранного насел</w:t>
      </w:r>
      <w:r w:rsidRPr="00646C19">
        <w:t>е</w:t>
      </w:r>
      <w:r w:rsidRPr="00646C19">
        <w:t>ния, прежде всего эквадорцев, румын и колумбийцев</w:t>
      </w:r>
      <w:r w:rsidR="005E76E2">
        <w:t>:</w:t>
      </w:r>
      <w:r w:rsidRPr="00646C19">
        <w:t xml:space="preserve"> численность каждой из этих групп </w:t>
      </w:r>
      <w:r w:rsidR="005E76E2">
        <w:t>сократилась</w:t>
      </w:r>
      <w:r w:rsidRPr="00646C19">
        <w:t xml:space="preserve"> более чем на 20</w:t>
      </w:r>
      <w:r w:rsidR="00083C96">
        <w:t> </w:t>
      </w:r>
      <w:r w:rsidRPr="00646C19">
        <w:t>000</w:t>
      </w:r>
      <w:r w:rsidR="005507FC">
        <w:t xml:space="preserve"> </w:t>
      </w:r>
      <w:r w:rsidRPr="00646C19">
        <w:t xml:space="preserve">человек. Что касается эквадорцев и колумбийцев, то это </w:t>
      </w:r>
      <w:r w:rsidR="005E76E2">
        <w:t>сокращение</w:t>
      </w:r>
      <w:r w:rsidRPr="00646C19">
        <w:t xml:space="preserve"> было обусловлено частично процессом пол</w:t>
      </w:r>
      <w:r w:rsidRPr="00646C19">
        <w:t>у</w:t>
      </w:r>
      <w:r w:rsidRPr="00646C19">
        <w:t>чения гражданства, о котором говорилось выше. В результате такие лица более не считаются иностранцами. Наиболее заметно возрастала численность выхо</w:t>
      </w:r>
      <w:r w:rsidRPr="00646C19">
        <w:t>д</w:t>
      </w:r>
      <w:r w:rsidRPr="00646C19">
        <w:t>цев из Китая, России и Марокко, хотя и здесь прирост был невысок – примерно на 4</w:t>
      </w:r>
      <w:r w:rsidR="00CE79AF">
        <w:t> </w:t>
      </w:r>
      <w:r w:rsidRPr="00646C19">
        <w:t>000</w:t>
      </w:r>
      <w:r w:rsidR="005507FC">
        <w:t xml:space="preserve"> </w:t>
      </w:r>
      <w:r w:rsidRPr="00646C19">
        <w:t>человек. По предварительным данным о численности населения в ст</w:t>
      </w:r>
      <w:r w:rsidRPr="00646C19">
        <w:t>а</w:t>
      </w:r>
      <w:r w:rsidRPr="00646C19">
        <w:t xml:space="preserve">тистических материалах, которые готовит НИС, </w:t>
      </w:r>
      <w:r w:rsidR="005E76E2">
        <w:t>в первом полугодии 2013 года</w:t>
      </w:r>
      <w:r w:rsidR="00083C96">
        <w:t xml:space="preserve"> </w:t>
      </w:r>
      <w:r w:rsidRPr="00646C19">
        <w:t>число иностранцев сократилось чуть более чем на 200</w:t>
      </w:r>
      <w:r w:rsidR="00083C96">
        <w:t> </w:t>
      </w:r>
      <w:r w:rsidRPr="00646C19">
        <w:t>000</w:t>
      </w:r>
      <w:r w:rsidR="005507FC">
        <w:t xml:space="preserve"> </w:t>
      </w:r>
      <w:r w:rsidRPr="00646C19">
        <w:t>человек и составляет 4</w:t>
      </w:r>
      <w:r w:rsidR="00083C96">
        <w:t> </w:t>
      </w:r>
      <w:r w:rsidRPr="00646C19">
        <w:t>870</w:t>
      </w:r>
      <w:r w:rsidR="00083C96">
        <w:t> </w:t>
      </w:r>
      <w:r w:rsidRPr="00646C19">
        <w:t>487</w:t>
      </w:r>
      <w:r w:rsidR="00083C96">
        <w:t> </w:t>
      </w:r>
      <w:r w:rsidRPr="00646C19">
        <w:t>человек. Больше всего – более чем на 28</w:t>
      </w:r>
      <w:r w:rsidR="00083C96">
        <w:t> </w:t>
      </w:r>
      <w:r w:rsidRPr="00646C19">
        <w:t>000</w:t>
      </w:r>
      <w:r w:rsidR="005507FC">
        <w:t xml:space="preserve"> </w:t>
      </w:r>
      <w:r w:rsidRPr="00646C19">
        <w:t>человек</w:t>
      </w:r>
      <w:r w:rsidR="005507FC">
        <w:t xml:space="preserve"> </w:t>
      </w:r>
      <w:r w:rsidRPr="00646C19">
        <w:t>– сократилась численность эквадорцев и колумбийцев, за которыми следуют румыны и маро</w:t>
      </w:r>
      <w:r w:rsidRPr="00646C19">
        <w:t>к</w:t>
      </w:r>
      <w:r w:rsidRPr="00646C19">
        <w:t>канцы – их численность снизилась более чем на 23</w:t>
      </w:r>
      <w:r w:rsidR="00083C96">
        <w:t> </w:t>
      </w:r>
      <w:r w:rsidRPr="00646C19">
        <w:t>000</w:t>
      </w:r>
      <w:r w:rsidR="005507FC">
        <w:t xml:space="preserve"> </w:t>
      </w:r>
      <w:r w:rsidRPr="00646C19">
        <w:t xml:space="preserve">человек. </w:t>
      </w:r>
    </w:p>
    <w:p w:rsidR="00646C19" w:rsidRPr="00646C19" w:rsidRDefault="00646C19" w:rsidP="00E7598A">
      <w:pPr>
        <w:pStyle w:val="H23GR"/>
      </w:pPr>
      <w:r w:rsidRPr="00646C19">
        <w:tab/>
        <w:t>2.</w:t>
      </w:r>
      <w:r w:rsidRPr="00646C19">
        <w:tab/>
        <w:t>Экономические показатели</w:t>
      </w:r>
    </w:p>
    <w:p w:rsidR="00646C19" w:rsidRPr="00646C19" w:rsidRDefault="00646C19" w:rsidP="00646C19">
      <w:pPr>
        <w:pStyle w:val="SingleTxtGR"/>
      </w:pPr>
      <w:r w:rsidRPr="00646C19">
        <w:t>6.</w:t>
      </w:r>
      <w:r w:rsidRPr="00646C19">
        <w:tab/>
        <w:t>В последние десятилетия испанская экономика переживала беспрец</w:t>
      </w:r>
      <w:r w:rsidRPr="00646C19">
        <w:t>е</w:t>
      </w:r>
      <w:r w:rsidRPr="00646C19">
        <w:t>дентные преобразования, затронувшие не только производственную структуру экономики, но и роль экономической политики. Испания перешла от эконом</w:t>
      </w:r>
      <w:r w:rsidRPr="00646C19">
        <w:t>и</w:t>
      </w:r>
      <w:r w:rsidRPr="00646C19">
        <w:t>ческой системы, унаследованной от продолжавшегося до 1970-х</w:t>
      </w:r>
      <w:r w:rsidR="005507FC">
        <w:t xml:space="preserve"> </w:t>
      </w:r>
      <w:r w:rsidRPr="00646C19">
        <w:t>годов периода жесткой автаркии и характеризовавшейся высокой степенью государственного вмешательства и слабой интеграцией с окружающим миром, к вхождению в Экономический и валютный союз, представляющий собой самую передовую из известных в настоящее время форм экономической интеграции.</w:t>
      </w:r>
    </w:p>
    <w:p w:rsidR="00646C19" w:rsidRPr="00646C19" w:rsidRDefault="00646C19" w:rsidP="00646C19">
      <w:pPr>
        <w:pStyle w:val="SingleTxtGR"/>
      </w:pPr>
      <w:r w:rsidRPr="00646C19">
        <w:t>7.</w:t>
      </w:r>
      <w:r w:rsidRPr="00646C19">
        <w:tab/>
        <w:t>Вступление в 1986</w:t>
      </w:r>
      <w:r w:rsidR="005507FC">
        <w:t xml:space="preserve"> </w:t>
      </w:r>
      <w:r w:rsidRPr="00646C19">
        <w:t>году в Европейское экономическое сообщество (ЕЭС) стало стимулом к открытости по отношению к внешнему миру и к либерализ</w:t>
      </w:r>
      <w:r w:rsidRPr="00646C19">
        <w:t>а</w:t>
      </w:r>
      <w:r w:rsidRPr="00646C19">
        <w:t>ции, направленной на повышение эффективности рынков товаров, услуг и фа</w:t>
      </w:r>
      <w:r w:rsidRPr="00646C19">
        <w:t>к</w:t>
      </w:r>
      <w:r w:rsidRPr="00646C19">
        <w:t>торов производства. Кроме того, это стало началом важного процесса реформ</w:t>
      </w:r>
      <w:r w:rsidRPr="00646C19">
        <w:t>и</w:t>
      </w:r>
      <w:r w:rsidRPr="00646C19">
        <w:t>рования экономической системы, цель которого заключалась в модернизации рынков путем улучшения качества их работы и содействия их интеграции сн</w:t>
      </w:r>
      <w:r w:rsidRPr="00646C19">
        <w:t>а</w:t>
      </w:r>
      <w:r w:rsidRPr="00646C19">
        <w:t xml:space="preserve">чала в европейские, а затем и в мировые сети. С одной стороны, в экономике снизился удельный вес сельскохозяйственного сектора, свидетельством чему стало заметное </w:t>
      </w:r>
      <w:r w:rsidR="00B04F3D">
        <w:t>уменьшение</w:t>
      </w:r>
      <w:r w:rsidRPr="00646C19">
        <w:t xml:space="preserve"> его вклада как в производство, так и обеспечение занятости по стране. Также сократилась доля промышленного сектора при о</w:t>
      </w:r>
      <w:r w:rsidRPr="00646C19">
        <w:t>д</w:t>
      </w:r>
      <w:r w:rsidRPr="00646C19">
        <w:t>новременном ощутимом расширении сферы услуг, на которую в настоящее время приходится примерно 66,7</w:t>
      </w:r>
      <w:r w:rsidR="005507FC">
        <w:t>%</w:t>
      </w:r>
      <w:r w:rsidRPr="00646C19">
        <w:t xml:space="preserve"> внутреннего валового продукта (ВВП) И</w:t>
      </w:r>
      <w:r w:rsidRPr="00646C19">
        <w:t>с</w:t>
      </w:r>
      <w:r w:rsidRPr="00646C19">
        <w:t>пании. Кроме того, поистине разительные преобразования претерпела финанс</w:t>
      </w:r>
      <w:r w:rsidRPr="00646C19">
        <w:t>о</w:t>
      </w:r>
      <w:r w:rsidRPr="00646C19">
        <w:t>вая система. Подтверждением этому является та значительная динамика, кот</w:t>
      </w:r>
      <w:r w:rsidRPr="00646C19">
        <w:t>о</w:t>
      </w:r>
      <w:r w:rsidRPr="00646C19">
        <w:t>рую крупные испанские банки демонстрируют на международных рынках, расширяя свое присутствие в других странах, поскольку показатели их эффе</w:t>
      </w:r>
      <w:r w:rsidRPr="00646C19">
        <w:t>к</w:t>
      </w:r>
      <w:r w:rsidRPr="00646C19">
        <w:t>тивности позволяют им проявлять высокую конкурентоспособность в сравн</w:t>
      </w:r>
      <w:r w:rsidRPr="00646C19">
        <w:t>е</w:t>
      </w:r>
      <w:r w:rsidRPr="00646C19">
        <w:t>нии с другими структурами, действующими в данном секторе.</w:t>
      </w:r>
    </w:p>
    <w:p w:rsidR="00646C19" w:rsidRPr="00646C19" w:rsidRDefault="007B5F99" w:rsidP="00646C19">
      <w:pPr>
        <w:pStyle w:val="SingleTxtGR"/>
      </w:pPr>
      <w:r>
        <w:br w:type="page"/>
      </w:r>
      <w:r w:rsidR="00646C19" w:rsidRPr="00646C19">
        <w:t>8.</w:t>
      </w:r>
      <w:r w:rsidR="00646C19" w:rsidRPr="00646C19">
        <w:tab/>
        <w:t>Начало этим преобразованиям, помимо режима открытости, предусмо</w:t>
      </w:r>
      <w:r w:rsidR="00646C19" w:rsidRPr="00646C19">
        <w:t>т</w:t>
      </w:r>
      <w:r w:rsidR="00646C19" w:rsidRPr="00646C19">
        <w:t>ренного принятым в 1959</w:t>
      </w:r>
      <w:r w:rsidR="005507FC">
        <w:t xml:space="preserve"> </w:t>
      </w:r>
      <w:r w:rsidR="00646C19" w:rsidRPr="00646C19">
        <w:t>году Планом стабилизации, было положено подпис</w:t>
      </w:r>
      <w:r w:rsidR="00646C19" w:rsidRPr="00646C19">
        <w:t>а</w:t>
      </w:r>
      <w:r w:rsidR="00646C19" w:rsidRPr="00646C19">
        <w:t>нием в 1977</w:t>
      </w:r>
      <w:r w:rsidR="005507FC">
        <w:t xml:space="preserve"> </w:t>
      </w:r>
      <w:r w:rsidR="00646C19" w:rsidRPr="00646C19">
        <w:t>году Пактов Монклоа, заключенных между правительством Адольфо Суареса и социальными партнерами в рамках комплексной стратегии содействия модернизации испанской экономики и выходу из нефтяного криз</w:t>
      </w:r>
      <w:r w:rsidR="00646C19" w:rsidRPr="00646C19">
        <w:t>и</w:t>
      </w:r>
      <w:r w:rsidR="00646C19" w:rsidRPr="00646C19">
        <w:t>са. Вместе с тем воздействие на экономику западных стран таких новых факт</w:t>
      </w:r>
      <w:r w:rsidR="00646C19" w:rsidRPr="00646C19">
        <w:t>о</w:t>
      </w:r>
      <w:r w:rsidR="00646C19" w:rsidRPr="00646C19">
        <w:t>ров, как повышение цен на сырую нефть, повлекшее за собой замедление роста и высокие уровни инфляции, в значительной степени ограничивало потенциал новых реформ, призванных способствовать росту испанской экономики. В п</w:t>
      </w:r>
      <w:r w:rsidR="00646C19" w:rsidRPr="00646C19">
        <w:t>е</w:t>
      </w:r>
      <w:r w:rsidR="00646C19" w:rsidRPr="00646C19">
        <w:t>риод с 1986 по 1989</w:t>
      </w:r>
      <w:r w:rsidR="005507FC">
        <w:t xml:space="preserve"> </w:t>
      </w:r>
      <w:r w:rsidR="00646C19" w:rsidRPr="00646C19">
        <w:t>годы темпы роста составляли примерно 5</w:t>
      </w:r>
      <w:r w:rsidR="005507FC">
        <w:t>%</w:t>
      </w:r>
      <w:r w:rsidR="00646C19" w:rsidRPr="00646C19">
        <w:t xml:space="preserve"> (4,7</w:t>
      </w:r>
      <w:r w:rsidR="005507FC">
        <w:t>%</w:t>
      </w:r>
      <w:r w:rsidR="00646C19" w:rsidRPr="00646C19">
        <w:t xml:space="preserve"> в средн</w:t>
      </w:r>
      <w:r w:rsidR="00646C19" w:rsidRPr="00646C19">
        <w:t>е</w:t>
      </w:r>
      <w:r w:rsidR="00646C19" w:rsidRPr="00646C19">
        <w:t>годовом исчислении и около 20</w:t>
      </w:r>
      <w:r w:rsidR="005507FC">
        <w:t>%</w:t>
      </w:r>
      <w:r w:rsidR="00646C19" w:rsidRPr="00646C19">
        <w:t xml:space="preserve"> </w:t>
      </w:r>
      <w:r w:rsidR="00B04F3D">
        <w:t>при</w:t>
      </w:r>
      <w:r w:rsidR="00646C19" w:rsidRPr="00646C19">
        <w:t>роста за весь четырехлетний период), что объяснялось весьма динамичным ростом внутреннего спроса в сфере как инв</w:t>
      </w:r>
      <w:r w:rsidR="00646C19" w:rsidRPr="00646C19">
        <w:t>е</w:t>
      </w:r>
      <w:r w:rsidR="00646C19" w:rsidRPr="00646C19">
        <w:t>стиций, так и потребления, способствовавшим значительному увеличению з</w:t>
      </w:r>
      <w:r w:rsidR="00646C19" w:rsidRPr="00646C19">
        <w:t>а</w:t>
      </w:r>
      <w:r w:rsidR="00646C19" w:rsidRPr="00646C19">
        <w:t>нятости и укреплению государственного бюджета. Однако в результате актив</w:t>
      </w:r>
      <w:r w:rsidR="00646C19" w:rsidRPr="00646C19">
        <w:t>и</w:t>
      </w:r>
      <w:r w:rsidR="00646C19" w:rsidRPr="00646C19">
        <w:t xml:space="preserve">зации внутреннего спроса </w:t>
      </w:r>
      <w:r w:rsidR="00B04F3D">
        <w:t>возникла</w:t>
      </w:r>
      <w:r w:rsidR="00646C19" w:rsidRPr="00646C19">
        <w:t xml:space="preserve"> тенденция к увеличению дисбаланса </w:t>
      </w:r>
      <w:r w:rsidR="00B04F3D">
        <w:t xml:space="preserve">во </w:t>
      </w:r>
      <w:r w:rsidR="00646C19" w:rsidRPr="00646C19">
        <w:t>внешн</w:t>
      </w:r>
      <w:r w:rsidR="00B04F3D">
        <w:t>их расчетах</w:t>
      </w:r>
      <w:r w:rsidR="00646C19" w:rsidRPr="00646C19">
        <w:t xml:space="preserve"> и появились признаки инфляционного </w:t>
      </w:r>
      <w:r w:rsidR="00B04F3D">
        <w:t>давления</w:t>
      </w:r>
      <w:r w:rsidR="00646C19" w:rsidRPr="00646C19">
        <w:t>.</w:t>
      </w:r>
    </w:p>
    <w:p w:rsidR="00646C19" w:rsidRPr="00646C19" w:rsidRDefault="00646C19" w:rsidP="00646C19">
      <w:pPr>
        <w:pStyle w:val="SingleTxtGR"/>
      </w:pPr>
      <w:r w:rsidRPr="00646C19">
        <w:t>9.</w:t>
      </w:r>
      <w:r w:rsidRPr="00646C19">
        <w:tab/>
        <w:t>В 1993</w:t>
      </w:r>
      <w:r w:rsidR="005507FC">
        <w:t xml:space="preserve"> </w:t>
      </w:r>
      <w:r w:rsidRPr="00646C19">
        <w:t>году испанская экономика погрузилась в глубокий кризис, заме</w:t>
      </w:r>
      <w:r w:rsidRPr="00646C19">
        <w:t>д</w:t>
      </w:r>
      <w:r w:rsidRPr="00646C19">
        <w:t>ливший процесс конвергенции, цель которого состояла в том, чтобы страна по уровню доходов сравнялась с другими участниками Сообщества. В результате значительно выросли показатели безработицы, составившие примерно 25</w:t>
      </w:r>
      <w:r w:rsidR="005507FC">
        <w:t>%</w:t>
      </w:r>
      <w:r w:rsidRPr="00646C19">
        <w:t xml:space="preserve"> от общей численности экономически активного населения, и одновременно сущ</w:t>
      </w:r>
      <w:r w:rsidRPr="00646C19">
        <w:t>е</w:t>
      </w:r>
      <w:r w:rsidRPr="00646C19">
        <w:t>ственно ускорился рост инфляции и вырос дисбаланс государственного бюдж</w:t>
      </w:r>
      <w:r w:rsidRPr="00646C19">
        <w:t>е</w:t>
      </w:r>
      <w:r w:rsidRPr="00646C19">
        <w:t>та. 1 января 1999</w:t>
      </w:r>
      <w:r w:rsidR="005507FC">
        <w:t xml:space="preserve"> </w:t>
      </w:r>
      <w:r w:rsidRPr="00646C19">
        <w:t>года было завершено создание Европейского валютного со</w:t>
      </w:r>
      <w:r w:rsidRPr="00646C19">
        <w:t>ю</w:t>
      </w:r>
      <w:r w:rsidRPr="00646C19">
        <w:t>за, объединившего 11 стран. Вне всякого сомнения, самым ближайшим сле</w:t>
      </w:r>
      <w:r w:rsidRPr="00646C19">
        <w:t>д</w:t>
      </w:r>
      <w:r w:rsidRPr="00646C19">
        <w:t xml:space="preserve">ствием создания общей валюты стала новая концепция </w:t>
      </w:r>
      <w:r w:rsidR="00805A18">
        <w:t>денежно-кредитной</w:t>
      </w:r>
      <w:r w:rsidRPr="00646C19">
        <w:t xml:space="preserve"> п</w:t>
      </w:r>
      <w:r w:rsidRPr="00646C19">
        <w:t>о</w:t>
      </w:r>
      <w:r w:rsidRPr="00646C19">
        <w:t>литики, которая полностью отошла к компетенции Европейского центрального банка (ЕЦБ), в результате чего Банк Испании утратил непосредственную авт</w:t>
      </w:r>
      <w:r w:rsidRPr="00646C19">
        <w:t>о</w:t>
      </w:r>
      <w:r w:rsidRPr="00646C19">
        <w:t xml:space="preserve">номию в </w:t>
      </w:r>
      <w:r w:rsidR="00AE6FC5">
        <w:t xml:space="preserve">вопросах, </w:t>
      </w:r>
      <w:r w:rsidRPr="00646C19">
        <w:t>каса</w:t>
      </w:r>
      <w:r w:rsidR="00AE6FC5">
        <w:t>ющихся</w:t>
      </w:r>
      <w:r w:rsidRPr="00646C19">
        <w:t xml:space="preserve"> разработки стратегии </w:t>
      </w:r>
      <w:r w:rsidR="00AE6FC5">
        <w:t>монетарной</w:t>
      </w:r>
      <w:r w:rsidRPr="00646C19">
        <w:t xml:space="preserve"> политики.</w:t>
      </w:r>
    </w:p>
    <w:p w:rsidR="00646C19" w:rsidRPr="00646C19" w:rsidRDefault="00646C19" w:rsidP="00646C19">
      <w:pPr>
        <w:pStyle w:val="SingleTxtGR"/>
      </w:pPr>
      <w:r w:rsidRPr="00646C19">
        <w:t>10.</w:t>
      </w:r>
      <w:r w:rsidRPr="00646C19">
        <w:tab/>
        <w:t>Вхождение Испании в зону евро в числе стран "первой волны" создало климат доверия, который усиливался за счет других, в определенной степени экзогенных, но, безусловно, позитивных факторов, позволивших усилить дин</w:t>
      </w:r>
      <w:r w:rsidRPr="00646C19">
        <w:t>а</w:t>
      </w:r>
      <w:r w:rsidRPr="00646C19">
        <w:t xml:space="preserve">мичное развитие экономики и увеличить продолжительность фазы подъема, на котором испанская экономика находится и по сей день. </w:t>
      </w:r>
      <w:r w:rsidR="00AE6FC5">
        <w:t>Более того, п</w:t>
      </w:r>
      <w:r w:rsidRPr="00646C19">
        <w:t>родолж</w:t>
      </w:r>
      <w:r w:rsidRPr="00646C19">
        <w:t>е</w:t>
      </w:r>
      <w:r w:rsidRPr="00646C19">
        <w:t xml:space="preserve">ние выгодных для Испании преобразований, связанных со вступлением в зону евро (в ходе которых очевидно повышалась конкурентоспособность испанских </w:t>
      </w:r>
      <w:r w:rsidR="00AE6FC5">
        <w:t>товаров</w:t>
      </w:r>
      <w:r w:rsidRPr="00646C19">
        <w:t xml:space="preserve"> и, как следствие, стимулировался экспорт), наряду с заметным сниж</w:t>
      </w:r>
      <w:r w:rsidRPr="00646C19">
        <w:t>е</w:t>
      </w:r>
      <w:r w:rsidRPr="00646C19">
        <w:t xml:space="preserve">нием процентных ставок в результате процесса конвергенции и поддержания строгой бюджетной дисциплины стало стимулом </w:t>
      </w:r>
      <w:r w:rsidR="00AE6FC5">
        <w:t xml:space="preserve">для </w:t>
      </w:r>
      <w:r w:rsidRPr="00646C19">
        <w:t>экономического роста во второй половине 1990-х</w:t>
      </w:r>
      <w:r w:rsidR="005507FC">
        <w:t xml:space="preserve"> </w:t>
      </w:r>
      <w:r w:rsidRPr="00646C19">
        <w:t>годов и в начале первого десятилетия XXI</w:t>
      </w:r>
      <w:r w:rsidR="005507FC">
        <w:t xml:space="preserve"> </w:t>
      </w:r>
      <w:r w:rsidRPr="00646C19">
        <w:t xml:space="preserve">века, что позволило существенно продвинуться по пути конвергенции, целью которой является достижение уровня жизни наших партнеров по Сообществу. </w:t>
      </w:r>
    </w:p>
    <w:p w:rsidR="00646C19" w:rsidRPr="00646C19" w:rsidRDefault="00646C19" w:rsidP="00646C19">
      <w:pPr>
        <w:pStyle w:val="SingleTxtGR"/>
      </w:pPr>
      <w:r w:rsidRPr="00646C19">
        <w:t>11.</w:t>
      </w:r>
      <w:r w:rsidRPr="00646C19">
        <w:tab/>
        <w:t>Утвержденная Европейской комиссией в октябре 2005</w:t>
      </w:r>
      <w:r w:rsidR="005507FC">
        <w:t xml:space="preserve"> </w:t>
      </w:r>
      <w:r w:rsidRPr="00646C19">
        <w:t>года национальная программа реформ стала фундаментальным ориентиром для экономической п</w:t>
      </w:r>
      <w:r w:rsidRPr="00646C19">
        <w:t>о</w:t>
      </w:r>
      <w:r w:rsidRPr="00646C19">
        <w:t>литики правительства в среднесрочной перспективе. Программа определила в качестве стратегической цели достижение к 2010</w:t>
      </w:r>
      <w:r w:rsidR="005507FC">
        <w:t xml:space="preserve"> </w:t>
      </w:r>
      <w:r w:rsidRPr="00646C19">
        <w:t>году полной конвергенции по уровню дохода со странами Европейского союза. Согласно опубликованным Статистической службой Европейского союза (Евростатом) данным, эта цель была достигнута уже в 2006</w:t>
      </w:r>
      <w:r w:rsidR="005507FC">
        <w:t xml:space="preserve"> </w:t>
      </w:r>
      <w:r w:rsidRPr="00646C19">
        <w:t>году.</w:t>
      </w:r>
    </w:p>
    <w:p w:rsidR="00646C19" w:rsidRPr="00646C19" w:rsidRDefault="00646C19" w:rsidP="00646C19">
      <w:pPr>
        <w:pStyle w:val="SingleTxtGR"/>
      </w:pPr>
      <w:r w:rsidRPr="00646C19">
        <w:t>12.</w:t>
      </w:r>
      <w:r w:rsidRPr="00646C19">
        <w:tab/>
        <w:t>Кроме того, значительное поступление бюджетных средств из структу</w:t>
      </w:r>
      <w:r w:rsidRPr="00646C19">
        <w:t>р</w:t>
      </w:r>
      <w:r w:rsidRPr="00646C19">
        <w:t>ных фондов Европейского союза и приток иммигрантов оказали позитивное воздействие на рост ВВП, создание новых рабочих мест и укрепление макр</w:t>
      </w:r>
      <w:r w:rsidRPr="00646C19">
        <w:t>о</w:t>
      </w:r>
      <w:r w:rsidRPr="00646C19">
        <w:t>экономики, в результате чего начал сокращаться государственный дефицит и снизился уровень инфляции. В этот период был также начат ряд реформ на рынках труда, товаров и факторов производства. Фаза роста в цикле развития испанской экономики продолжалась на протяжении более чем 13</w:t>
      </w:r>
      <w:r w:rsidR="005507FC">
        <w:t xml:space="preserve"> </w:t>
      </w:r>
      <w:r w:rsidRPr="00646C19">
        <w:t>лет, демо</w:t>
      </w:r>
      <w:r w:rsidRPr="00646C19">
        <w:t>н</w:t>
      </w:r>
      <w:r w:rsidRPr="00646C19">
        <w:t xml:space="preserve">стрируя при этом значительную динамику в отличие от ситуации в большинстве европейских стран, где "вялый" спрос, несмотря на активный характер </w:t>
      </w:r>
      <w:r w:rsidR="00AE6FC5">
        <w:t>дене</w:t>
      </w:r>
      <w:r w:rsidR="00AE6FC5">
        <w:t>ж</w:t>
      </w:r>
      <w:r w:rsidR="00AE6FC5">
        <w:t xml:space="preserve">но-кредитной </w:t>
      </w:r>
      <w:r w:rsidRPr="00646C19">
        <w:t xml:space="preserve">политики, не позволил обеспечить выход на более </w:t>
      </w:r>
      <w:r w:rsidR="00AE6FC5">
        <w:t>высокие темпы</w:t>
      </w:r>
      <w:r w:rsidRPr="00646C19">
        <w:t xml:space="preserve"> роста.</w:t>
      </w:r>
    </w:p>
    <w:p w:rsidR="00646C19" w:rsidRPr="00646C19" w:rsidRDefault="00646C19" w:rsidP="00646C19">
      <w:pPr>
        <w:pStyle w:val="SingleTxtGR"/>
      </w:pPr>
      <w:r w:rsidRPr="00646C19">
        <w:t>13.</w:t>
      </w:r>
      <w:r w:rsidRPr="00646C19">
        <w:tab/>
        <w:t>Под воздействием вышеупомянутых факторов в период с 1999</w:t>
      </w:r>
      <w:r w:rsidR="005507FC">
        <w:t xml:space="preserve"> </w:t>
      </w:r>
      <w:r w:rsidRPr="00646C19">
        <w:t>года имела место весьма ощутимая</w:t>
      </w:r>
      <w:r w:rsidR="005507FC">
        <w:t xml:space="preserve"> </w:t>
      </w:r>
      <w:r w:rsidRPr="00646C19">
        <w:t>– в среднем на 1,4 процентных пункта</w:t>
      </w:r>
      <w:r w:rsidR="005507FC">
        <w:t xml:space="preserve"> </w:t>
      </w:r>
      <w:r w:rsidRPr="00646C19">
        <w:t>– разница в те</w:t>
      </w:r>
      <w:r w:rsidRPr="00646C19">
        <w:t>м</w:t>
      </w:r>
      <w:r w:rsidRPr="00646C19">
        <w:t>пах экономического роста Испании и других стран зоны евро. В результате т</w:t>
      </w:r>
      <w:r w:rsidRPr="00646C19">
        <w:t>а</w:t>
      </w:r>
      <w:r w:rsidRPr="00646C19">
        <w:t>кого активного роста показатель ВВП на душу населения в Испании уже пр</w:t>
      </w:r>
      <w:r w:rsidRPr="00646C19">
        <w:t>е</w:t>
      </w:r>
      <w:r w:rsidRPr="00646C19">
        <w:t>взошел средний показатель по ЕС-27 и достиг 95,5</w:t>
      </w:r>
      <w:r w:rsidR="005507FC">
        <w:t>%</w:t>
      </w:r>
      <w:r w:rsidRPr="00646C19">
        <w:t xml:space="preserve"> от среднего уровня в зоне евро. В последние годы прирост испанской экономики стимулировался в осно</w:t>
      </w:r>
      <w:r w:rsidRPr="00646C19">
        <w:t>в</w:t>
      </w:r>
      <w:r w:rsidRPr="00646C19">
        <w:t>ном динамикой внутреннего спроса и, в частности, динамикой потребительск</w:t>
      </w:r>
      <w:r w:rsidRPr="00646C19">
        <w:t>о</w:t>
      </w:r>
      <w:r w:rsidRPr="00646C19">
        <w:t>го спроса и спроса на инвестиции в строительной отрасли. Задача экономич</w:t>
      </w:r>
      <w:r w:rsidRPr="00646C19">
        <w:t>е</w:t>
      </w:r>
      <w:r w:rsidRPr="00646C19">
        <w:t>ской политики заключается в повышении роли инвестиций в средства прои</w:t>
      </w:r>
      <w:r w:rsidRPr="00646C19">
        <w:t>з</w:t>
      </w:r>
      <w:r w:rsidRPr="00646C19">
        <w:t xml:space="preserve">водства, чтобы </w:t>
      </w:r>
      <w:r w:rsidR="00506B7B">
        <w:t>улучшить</w:t>
      </w:r>
      <w:r w:rsidRPr="00646C19">
        <w:t xml:space="preserve"> тем самым качество роста в предстоящие</w:t>
      </w:r>
      <w:r w:rsidR="005507FC">
        <w:t xml:space="preserve"> </w:t>
      </w:r>
      <w:r w:rsidRPr="00646C19">
        <w:t>годы.</w:t>
      </w:r>
    </w:p>
    <w:p w:rsidR="00646C19" w:rsidRPr="00646C19" w:rsidRDefault="00646C19" w:rsidP="00646C19">
      <w:pPr>
        <w:pStyle w:val="SingleTxtGR"/>
      </w:pPr>
      <w:r w:rsidRPr="00646C19">
        <w:t>14.</w:t>
      </w:r>
      <w:r w:rsidRPr="00646C19">
        <w:tab/>
        <w:t xml:space="preserve">На </w:t>
      </w:r>
      <w:r w:rsidR="00506B7B">
        <w:t>состояние</w:t>
      </w:r>
      <w:r w:rsidRPr="00646C19">
        <w:t xml:space="preserve"> торгового дефицита влияли разные факторы, в частности сокращение внутреннего спроса, снижение мировых цен на нефть, имевшее м</w:t>
      </w:r>
      <w:r w:rsidRPr="00646C19">
        <w:t>е</w:t>
      </w:r>
      <w:r w:rsidRPr="00646C19">
        <w:t>сто в последние месяцы, и сохранение темпов расширения экспорта, невзирая на "вялое" состояние экономики основных европейских стран, входящих в зону евро. В результате, если в первом квартале 2008</w:t>
      </w:r>
      <w:r w:rsidR="005507FC">
        <w:t xml:space="preserve"> </w:t>
      </w:r>
      <w:r w:rsidRPr="00646C19">
        <w:t>года доля внешнеэкономич</w:t>
      </w:r>
      <w:r w:rsidRPr="00646C19">
        <w:t>е</w:t>
      </w:r>
      <w:r w:rsidRPr="00646C19">
        <w:t>ского сектора в приросте ВВП оставалась на уровне 0,2</w:t>
      </w:r>
      <w:r w:rsidR="005507FC">
        <w:t xml:space="preserve"> </w:t>
      </w:r>
      <w:r w:rsidRPr="00646C19">
        <w:t>пункта, то в третьем квартале этого же</w:t>
      </w:r>
      <w:r w:rsidR="005507FC">
        <w:t xml:space="preserve"> </w:t>
      </w:r>
      <w:r w:rsidRPr="00646C19">
        <w:t>года она повысилась до 0,8</w:t>
      </w:r>
      <w:r w:rsidR="005507FC">
        <w:t xml:space="preserve"> </w:t>
      </w:r>
      <w:r w:rsidRPr="00646C19">
        <w:t>пункта.</w:t>
      </w:r>
    </w:p>
    <w:p w:rsidR="00646C19" w:rsidRPr="00646C19" w:rsidRDefault="00646C19" w:rsidP="00506B7B">
      <w:pPr>
        <w:pStyle w:val="H23GR"/>
      </w:pPr>
      <w:r w:rsidRPr="00646C19">
        <w:tab/>
      </w:r>
      <w:r w:rsidRPr="00646C19">
        <w:tab/>
        <w:t>Экономика Испании в настоящее вр</w:t>
      </w:r>
      <w:r w:rsidR="00506B7B">
        <w:t>емя: экономическая структура по </w:t>
      </w:r>
      <w:r w:rsidRPr="00646C19">
        <w:t xml:space="preserve">секторам </w:t>
      </w:r>
    </w:p>
    <w:p w:rsidR="00646C19" w:rsidRPr="00646C19" w:rsidRDefault="00646C19" w:rsidP="00646C19">
      <w:pPr>
        <w:pStyle w:val="SingleTxtGR"/>
      </w:pPr>
      <w:r w:rsidRPr="00646C19">
        <w:t>15.</w:t>
      </w:r>
      <w:r w:rsidRPr="00646C19">
        <w:tab/>
        <w:t>За последние четыре десятилетия произошли существенные изменения в удельном весе секторов экономики, при</w:t>
      </w:r>
      <w:r w:rsidR="00FF49C2">
        <w:t>чем</w:t>
      </w:r>
      <w:r w:rsidRPr="00646C19">
        <w:t xml:space="preserve"> заметно в сравнении с другими о</w:t>
      </w:r>
      <w:r w:rsidRPr="00646C19">
        <w:t>т</w:t>
      </w:r>
      <w:r w:rsidRPr="00646C19">
        <w:t>раслями рос сектор услуг. Так, в 1995</w:t>
      </w:r>
      <w:r w:rsidR="005507FC">
        <w:t xml:space="preserve"> </w:t>
      </w:r>
      <w:r w:rsidRPr="00646C19">
        <w:t>году объем валовой добавленной стоим</w:t>
      </w:r>
      <w:r w:rsidRPr="00646C19">
        <w:t>о</w:t>
      </w:r>
      <w:r w:rsidRPr="00646C19">
        <w:t>сти (ВДС) промышленного сектора составлял 20,3</w:t>
      </w:r>
      <w:r w:rsidR="005507FC">
        <w:t>%</w:t>
      </w:r>
      <w:r w:rsidR="00FF49C2">
        <w:t xml:space="preserve"> ВВП, а в </w:t>
      </w:r>
      <w:r w:rsidRPr="00646C19">
        <w:t>2013</w:t>
      </w:r>
      <w:r w:rsidR="00FF49C2">
        <w:t> </w:t>
      </w:r>
      <w:r w:rsidRPr="00646C19">
        <w:t>году этот показатель снизился до 15,9</w:t>
      </w:r>
      <w:r w:rsidR="005507FC">
        <w:t>%</w:t>
      </w:r>
      <w:r w:rsidRPr="00646C19">
        <w:t>. Особенно значительно снижался удельный вес сектора строительства: в 1995</w:t>
      </w:r>
      <w:r w:rsidR="005507FC">
        <w:t xml:space="preserve"> </w:t>
      </w:r>
      <w:r w:rsidRPr="00646C19">
        <w:t>году он составлял 8,8</w:t>
      </w:r>
      <w:r w:rsidR="005507FC">
        <w:t>%</w:t>
      </w:r>
      <w:r w:rsidR="00FF49C2">
        <w:t xml:space="preserve"> ВВП, в </w:t>
      </w:r>
      <w:r w:rsidRPr="00646C19">
        <w:t>2006</w:t>
      </w:r>
      <w:r w:rsidR="005507FC">
        <w:t xml:space="preserve"> </w:t>
      </w:r>
      <w:r w:rsidRPr="00646C19">
        <w:t>году достиг 12,6</w:t>
      </w:r>
      <w:r w:rsidR="005507FC">
        <w:t>%</w:t>
      </w:r>
      <w:r w:rsidRPr="00646C19">
        <w:t>, после чего началось его снижение, и в 2013</w:t>
      </w:r>
      <w:r w:rsidR="005507FC">
        <w:t xml:space="preserve"> </w:t>
      </w:r>
      <w:r w:rsidRPr="00646C19">
        <w:t>году он составлял уже 7,2</w:t>
      </w:r>
      <w:r w:rsidR="005507FC">
        <w:t>%</w:t>
      </w:r>
      <w:r w:rsidRPr="00646C19">
        <w:t xml:space="preserve"> ВВП. В свою очередь, удельный вес сектора услуг в ВВП увели</w:t>
      </w:r>
      <w:r w:rsidR="00FF49C2">
        <w:t>чился на 6,7 </w:t>
      </w:r>
      <w:r w:rsidRPr="00646C19">
        <w:t>процентного пункта (с 59,1</w:t>
      </w:r>
      <w:r w:rsidR="005507FC">
        <w:t>%</w:t>
      </w:r>
      <w:r w:rsidRPr="00646C19">
        <w:t xml:space="preserve"> в 1995</w:t>
      </w:r>
      <w:r w:rsidR="005507FC">
        <w:t xml:space="preserve"> </w:t>
      </w:r>
      <w:r w:rsidRPr="00646C19">
        <w:t>году до 65,8</w:t>
      </w:r>
      <w:r w:rsidR="005507FC">
        <w:t>%</w:t>
      </w:r>
      <w:r w:rsidR="00FF49C2">
        <w:t xml:space="preserve"> в </w:t>
      </w:r>
      <w:r w:rsidRPr="00646C19">
        <w:t>2013</w:t>
      </w:r>
      <w:r w:rsidR="00FF49C2">
        <w:t> </w:t>
      </w:r>
      <w:r w:rsidRPr="00646C19">
        <w:t>году).</w:t>
      </w:r>
    </w:p>
    <w:p w:rsidR="00646C19" w:rsidRPr="00646C19" w:rsidRDefault="00646C19" w:rsidP="00FF49C2">
      <w:pPr>
        <w:pStyle w:val="H4GR"/>
      </w:pPr>
      <w:r w:rsidRPr="00646C19">
        <w:tab/>
      </w:r>
      <w:r w:rsidRPr="00646C19">
        <w:tab/>
        <w:t>Промышленный сектор</w:t>
      </w:r>
    </w:p>
    <w:p w:rsidR="00646C19" w:rsidRPr="00646C19" w:rsidRDefault="00646C19" w:rsidP="00646C19">
      <w:pPr>
        <w:pStyle w:val="SingleTxtGR"/>
      </w:pPr>
      <w:r w:rsidRPr="00646C19">
        <w:t>16.</w:t>
      </w:r>
      <w:r w:rsidRPr="00646C19">
        <w:tab/>
        <w:t>Согласно данным Обследования промышленных предприятий, в 2012</w:t>
      </w:r>
      <w:r w:rsidR="005507FC">
        <w:t xml:space="preserve"> </w:t>
      </w:r>
      <w:r w:rsidRPr="00646C19">
        <w:t>г</w:t>
      </w:r>
      <w:r w:rsidRPr="00646C19">
        <w:t>о</w:t>
      </w:r>
      <w:r w:rsidRPr="00646C19">
        <w:t>ду добавленная стоимость в промышленном секторе превысила 125</w:t>
      </w:r>
      <w:r w:rsidR="0057105A">
        <w:t> </w:t>
      </w:r>
      <w:r w:rsidRPr="00646C19">
        <w:t>000</w:t>
      </w:r>
      <w:r w:rsidR="005507FC">
        <w:t xml:space="preserve"> </w:t>
      </w:r>
      <w:r w:rsidRPr="00646C19">
        <w:t>млн. евро, а число занятых в нем составило 1</w:t>
      </w:r>
      <w:r w:rsidR="0057105A">
        <w:t> </w:t>
      </w:r>
      <w:r w:rsidRPr="00646C19">
        <w:t>922</w:t>
      </w:r>
      <w:r w:rsidR="0057105A">
        <w:t> </w:t>
      </w:r>
      <w:r w:rsidRPr="00646C19">
        <w:t>272</w:t>
      </w:r>
      <w:r w:rsidR="005507FC">
        <w:t xml:space="preserve"> </w:t>
      </w:r>
      <w:r w:rsidRPr="00646C19">
        <w:t>человека. Капиталовложения в промышленное производство достигли 21</w:t>
      </w:r>
      <w:r w:rsidR="0057105A">
        <w:t> </w:t>
      </w:r>
      <w:r w:rsidRPr="00646C19">
        <w:t>184</w:t>
      </w:r>
      <w:r w:rsidR="0057105A">
        <w:t> </w:t>
      </w:r>
      <w:r w:rsidRPr="00646C19">
        <w:t>млн. евро. С 2000</w:t>
      </w:r>
      <w:r w:rsidR="005507FC">
        <w:t xml:space="preserve"> </w:t>
      </w:r>
      <w:r w:rsidRPr="00646C19">
        <w:t xml:space="preserve">года </w:t>
      </w:r>
      <w:r w:rsidR="00FF49C2" w:rsidRPr="00646C19">
        <w:t>произв</w:t>
      </w:r>
      <w:r w:rsidR="00FF49C2" w:rsidRPr="00646C19">
        <w:t>о</w:t>
      </w:r>
      <w:r w:rsidR="00FF49C2">
        <w:t>дительность</w:t>
      </w:r>
      <w:r w:rsidRPr="00646C19">
        <w:t xml:space="preserve"> </w:t>
      </w:r>
      <w:r w:rsidR="00FF49C2">
        <w:t>в данном секторе постоянно росла и была</w:t>
      </w:r>
      <w:r w:rsidRPr="00646C19">
        <w:t xml:space="preserve"> выше этого показателя по экономике в целом (Система национальных счетов). Эта тенденция впервые прервалась в 2008</w:t>
      </w:r>
      <w:r w:rsidR="005507FC">
        <w:t xml:space="preserve"> </w:t>
      </w:r>
      <w:r w:rsidRPr="00646C19">
        <w:t>году, когда резкий спад ВДС в промышленности обусловил снижение производ</w:t>
      </w:r>
      <w:r w:rsidR="00F81558">
        <w:t>ительности</w:t>
      </w:r>
      <w:r w:rsidRPr="00646C19">
        <w:t xml:space="preserve"> в данном секторе до уровней более низких, чем в целом по экономике. Однако с 2010</w:t>
      </w:r>
      <w:r w:rsidR="005507FC">
        <w:t xml:space="preserve"> </w:t>
      </w:r>
      <w:r w:rsidRPr="00646C19">
        <w:t>года производ</w:t>
      </w:r>
      <w:r w:rsidR="00F81558">
        <w:t>ительность</w:t>
      </w:r>
      <w:r w:rsidRPr="00646C19">
        <w:t xml:space="preserve"> в </w:t>
      </w:r>
      <w:r w:rsidR="00F81558">
        <w:t>промышле</w:t>
      </w:r>
      <w:r w:rsidR="00F81558">
        <w:t>н</w:t>
      </w:r>
      <w:r w:rsidR="00F81558">
        <w:t>ности</w:t>
      </w:r>
      <w:r w:rsidRPr="00646C19">
        <w:t xml:space="preserve"> вновь </w:t>
      </w:r>
      <w:r w:rsidR="00F81558">
        <w:t>стала расти</w:t>
      </w:r>
      <w:r w:rsidRPr="00646C19">
        <w:t xml:space="preserve"> более быстрыми темпами, чем по экономике в целом, и в 2013</w:t>
      </w:r>
      <w:r w:rsidR="005507FC">
        <w:t xml:space="preserve"> </w:t>
      </w:r>
      <w:r w:rsidRPr="00646C19">
        <w:t xml:space="preserve">году </w:t>
      </w:r>
      <w:r w:rsidR="00F81558">
        <w:t>при</w:t>
      </w:r>
      <w:r w:rsidRPr="00646C19">
        <w:t>рост здесь составил 4,5</w:t>
      </w:r>
      <w:r w:rsidR="005507FC">
        <w:t>%</w:t>
      </w:r>
      <w:r w:rsidRPr="00646C19">
        <w:t xml:space="preserve"> (по экономике в целом</w:t>
      </w:r>
      <w:r w:rsidR="005507FC">
        <w:t xml:space="preserve"> </w:t>
      </w:r>
      <w:r w:rsidRPr="00646C19">
        <w:t>– 2,6</w:t>
      </w:r>
      <w:r w:rsidR="005507FC">
        <w:t>%</w:t>
      </w:r>
      <w:r w:rsidR="00F81558">
        <w:t>). В ц</w:t>
      </w:r>
      <w:r w:rsidR="00F81558">
        <w:t>е</w:t>
      </w:r>
      <w:r w:rsidR="00F81558">
        <w:t>лом</w:t>
      </w:r>
      <w:r w:rsidRPr="00646C19">
        <w:t xml:space="preserve"> </w:t>
      </w:r>
      <w:r w:rsidR="00F81558">
        <w:t>показатель производительности</w:t>
      </w:r>
      <w:r w:rsidRPr="00646C19">
        <w:t xml:space="preserve"> в промышленности превышали аналоги</w:t>
      </w:r>
      <w:r w:rsidRPr="00646C19">
        <w:t>ч</w:t>
      </w:r>
      <w:r w:rsidRPr="00646C19">
        <w:t>ные показатели по экономике в целом в течение всего отчетного периода и с</w:t>
      </w:r>
      <w:r w:rsidRPr="00646C19">
        <w:t>о</w:t>
      </w:r>
      <w:r w:rsidRPr="00646C19">
        <w:t>ставили в 2013</w:t>
      </w:r>
      <w:r w:rsidR="005507FC">
        <w:t xml:space="preserve"> </w:t>
      </w:r>
      <w:r w:rsidRPr="00646C19">
        <w:t>году 78,3</w:t>
      </w:r>
      <w:r w:rsidR="005507FC">
        <w:t xml:space="preserve"> </w:t>
      </w:r>
      <w:r w:rsidRPr="00646C19">
        <w:t>тыс. евро на одного условного работника, занятого полный рабочий день, тогда как по экономике в целом данный показатель с</w:t>
      </w:r>
      <w:r w:rsidRPr="00646C19">
        <w:t>о</w:t>
      </w:r>
      <w:r w:rsidRPr="00646C19">
        <w:t>ставил 64,5</w:t>
      </w:r>
      <w:r w:rsidR="005507FC">
        <w:t xml:space="preserve"> </w:t>
      </w:r>
      <w:r w:rsidRPr="00646C19">
        <w:t>тыс. евро.</w:t>
      </w:r>
    </w:p>
    <w:p w:rsidR="00646C19" w:rsidRPr="00646C19" w:rsidRDefault="00646C19" w:rsidP="00646C19">
      <w:pPr>
        <w:pStyle w:val="SingleTxtGR"/>
      </w:pPr>
      <w:r w:rsidRPr="00646C19">
        <w:t>17.</w:t>
      </w:r>
      <w:r w:rsidRPr="00646C19">
        <w:tab/>
        <w:t>Анализ структуры промышленных предприятий в разбивке по размеру предприятия (по числу занятых лиц) показывает, что в 2012</w:t>
      </w:r>
      <w:r w:rsidR="005507FC">
        <w:t xml:space="preserve"> </w:t>
      </w:r>
      <w:r w:rsidRPr="00646C19">
        <w:t>году на предпри</w:t>
      </w:r>
      <w:r w:rsidRPr="00646C19">
        <w:t>я</w:t>
      </w:r>
      <w:r w:rsidRPr="00646C19">
        <w:t>тия с численностью трудящихся более 250</w:t>
      </w:r>
      <w:r w:rsidR="005507FC">
        <w:t xml:space="preserve"> </w:t>
      </w:r>
      <w:r w:rsidRPr="00646C19">
        <w:t>человек приходилось 53,3</w:t>
      </w:r>
      <w:r w:rsidR="005507FC">
        <w:t>%</w:t>
      </w:r>
      <w:r w:rsidRPr="00646C19">
        <w:t xml:space="preserve"> от общ</w:t>
      </w:r>
      <w:r w:rsidRPr="00646C19">
        <w:t>е</w:t>
      </w:r>
      <w:r w:rsidRPr="00646C19">
        <w:t xml:space="preserve">го количества сделок, </w:t>
      </w:r>
      <w:r w:rsidR="00F81558">
        <w:t>совершенных</w:t>
      </w:r>
      <w:r w:rsidRPr="00646C19">
        <w:t xml:space="preserve"> во всем секторе, а доля занятых на таких предприятиях составила 32</w:t>
      </w:r>
      <w:r w:rsidR="005507FC">
        <w:t>%</w:t>
      </w:r>
      <w:r w:rsidRPr="00646C19">
        <w:t xml:space="preserve"> от общего числа работников.</w:t>
      </w:r>
    </w:p>
    <w:p w:rsidR="00646C19" w:rsidRPr="00646C19" w:rsidRDefault="00646C19" w:rsidP="00646C19">
      <w:pPr>
        <w:pStyle w:val="SingleTxtGR"/>
      </w:pPr>
      <w:r w:rsidRPr="00646C19">
        <w:t>18.</w:t>
      </w:r>
      <w:r w:rsidRPr="00646C19">
        <w:tab/>
        <w:t>В 2012</w:t>
      </w:r>
      <w:r w:rsidR="005507FC">
        <w:t xml:space="preserve"> </w:t>
      </w:r>
      <w:r w:rsidRPr="00646C19">
        <w:t>году наибольший вклад в общий объем отгрузок (в стоимостном выражении) внесли такие отрасли, как пищевая промышленность (15,1</w:t>
      </w:r>
      <w:r w:rsidR="005507FC">
        <w:t>%</w:t>
      </w:r>
      <w:r w:rsidRPr="00646C19">
        <w:t>), пр</w:t>
      </w:r>
      <w:r w:rsidRPr="00646C19">
        <w:t>о</w:t>
      </w:r>
      <w:r w:rsidRPr="00646C19">
        <w:t>изводство, передача и распределение электроэнергии (12,8</w:t>
      </w:r>
      <w:r w:rsidR="005507FC">
        <w:t>%</w:t>
      </w:r>
      <w:r w:rsidRPr="00646C19">
        <w:t>) и нефтяная пр</w:t>
      </w:r>
      <w:r w:rsidRPr="00646C19">
        <w:t>о</w:t>
      </w:r>
      <w:r w:rsidRPr="00646C19">
        <w:t>мышленность (10,2</w:t>
      </w:r>
      <w:r w:rsidR="005507FC">
        <w:t>%</w:t>
      </w:r>
      <w:r w:rsidRPr="00646C19">
        <w:t>). Что касается занятости, то больше всего рабочих мест обеспечивали пищевая промышленность (16,0</w:t>
      </w:r>
      <w:r w:rsidR="005507FC">
        <w:t>%</w:t>
      </w:r>
      <w:r w:rsidRPr="00646C19">
        <w:t>), производство металлоизделий (кроме машин и оборудования) (11,6</w:t>
      </w:r>
      <w:r w:rsidR="005507FC">
        <w:t>%</w:t>
      </w:r>
      <w:r w:rsidRPr="00646C19">
        <w:t>) и автомобильная промышленность (7,0</w:t>
      </w:r>
      <w:r w:rsidR="005507FC">
        <w:t>%</w:t>
      </w:r>
      <w:r w:rsidRPr="00646C19">
        <w:t>).</w:t>
      </w:r>
    </w:p>
    <w:p w:rsidR="00646C19" w:rsidRPr="00646C19" w:rsidRDefault="00646C19" w:rsidP="00F81558">
      <w:pPr>
        <w:pStyle w:val="H4GR"/>
      </w:pPr>
      <w:r w:rsidRPr="00646C19">
        <w:tab/>
      </w:r>
      <w:r w:rsidRPr="00646C19">
        <w:tab/>
        <w:t>Энергетический сектор</w:t>
      </w:r>
    </w:p>
    <w:p w:rsidR="00646C19" w:rsidRPr="00646C19" w:rsidRDefault="00646C19" w:rsidP="00646C19">
      <w:pPr>
        <w:pStyle w:val="SingleTxtGR"/>
      </w:pPr>
      <w:r w:rsidRPr="00646C19">
        <w:t>19.</w:t>
      </w:r>
      <w:r w:rsidRPr="00646C19">
        <w:tab/>
        <w:t>В 2013</w:t>
      </w:r>
      <w:r w:rsidR="005507FC">
        <w:t xml:space="preserve"> </w:t>
      </w:r>
      <w:r w:rsidRPr="00646C19">
        <w:t>году производство первичной энергии в Испании достигло 33</w:t>
      </w:r>
      <w:r w:rsidR="00F81558">
        <w:t> </w:t>
      </w:r>
      <w:r w:rsidRPr="00646C19">
        <w:t>750</w:t>
      </w:r>
      <w:r w:rsidR="00F81558">
        <w:t> </w:t>
      </w:r>
      <w:r w:rsidRPr="00646C19">
        <w:t>килотонн в нефтяном эквиваленте (ктн.э.). Что касается источников энергии, то основной объем первичной энергии в 2013</w:t>
      </w:r>
      <w:r w:rsidR="005507FC">
        <w:t xml:space="preserve"> </w:t>
      </w:r>
      <w:r w:rsidRPr="00646C19">
        <w:t>году был произведен в атомной энергетике (43,8</w:t>
      </w:r>
      <w:r w:rsidR="005507FC">
        <w:t>%</w:t>
      </w:r>
      <w:r w:rsidRPr="00646C19">
        <w:t>), а последующие места со значительным отставан</w:t>
      </w:r>
      <w:r w:rsidRPr="00646C19">
        <w:t>и</w:t>
      </w:r>
      <w:r w:rsidRPr="00646C19">
        <w:t>ем занимали предприятия, использующие энергию ветра и солнца (22,7</w:t>
      </w:r>
      <w:r w:rsidR="005507FC">
        <w:t>%</w:t>
      </w:r>
      <w:r w:rsidRPr="00646C19">
        <w:t>), биомассу и биоразложимые отходы (17,8</w:t>
      </w:r>
      <w:r w:rsidR="005507FC">
        <w:t>%</w:t>
      </w:r>
      <w:r w:rsidRPr="00646C19">
        <w:t>) и гидроэнергию (9,4</w:t>
      </w:r>
      <w:r w:rsidR="005507FC">
        <w:t>%</w:t>
      </w:r>
      <w:r w:rsidRPr="00646C19">
        <w:t>). Общий объем энергии, полученной с использованием нефти и природного газа, сост</w:t>
      </w:r>
      <w:r w:rsidRPr="00646C19">
        <w:t>а</w:t>
      </w:r>
      <w:r w:rsidRPr="00646C19">
        <w:t>вил 1,2</w:t>
      </w:r>
      <w:r w:rsidR="005507FC">
        <w:t>%</w:t>
      </w:r>
      <w:r w:rsidRPr="00646C19">
        <w:t>.</w:t>
      </w:r>
    </w:p>
    <w:p w:rsidR="00646C19" w:rsidRPr="00646C19" w:rsidRDefault="00646C19" w:rsidP="00646C19">
      <w:pPr>
        <w:pStyle w:val="SingleTxtGR"/>
      </w:pPr>
      <w:r w:rsidRPr="00646C19">
        <w:t>20.</w:t>
      </w:r>
      <w:r w:rsidRPr="00646C19">
        <w:tab/>
        <w:t>Объем потребления первичной энергии в Испании составил в 2013</w:t>
      </w:r>
      <w:r w:rsidR="005507FC">
        <w:t xml:space="preserve"> </w:t>
      </w:r>
      <w:r w:rsidRPr="00646C19">
        <w:t>году 121</w:t>
      </w:r>
      <w:r w:rsidR="00F81558">
        <w:t> </w:t>
      </w:r>
      <w:r w:rsidRPr="00646C19">
        <w:t>119 ктн.э., причем основными ее источниками стали ископаемые ресурсы: нефть (43,7</w:t>
      </w:r>
      <w:r w:rsidR="005507FC">
        <w:t>%</w:t>
      </w:r>
      <w:r w:rsidRPr="00646C19">
        <w:t>), природный газ (21,5</w:t>
      </w:r>
      <w:r w:rsidR="005507FC">
        <w:t>%</w:t>
      </w:r>
      <w:r w:rsidRPr="00646C19">
        <w:t>) и уголь (8,75</w:t>
      </w:r>
      <w:r w:rsidR="005507FC">
        <w:t>%</w:t>
      </w:r>
      <w:r w:rsidRPr="00646C19">
        <w:t>). Доля возобновляемых источников энергии составила 14,3</w:t>
      </w:r>
      <w:r w:rsidR="005507FC">
        <w:t>%</w:t>
      </w:r>
      <w:r w:rsidRPr="00646C19">
        <w:t>, а атомной энергии</w:t>
      </w:r>
      <w:r w:rsidR="005507FC">
        <w:t xml:space="preserve"> </w:t>
      </w:r>
      <w:r w:rsidRPr="00646C19">
        <w:t>– 21,5</w:t>
      </w:r>
      <w:r w:rsidR="005507FC">
        <w:t>%</w:t>
      </w:r>
      <w:r w:rsidRPr="00646C19">
        <w:t>. Итоговое сальдо импорта-экспорта электроэнергии составило – 579</w:t>
      </w:r>
      <w:r w:rsidR="005507FC">
        <w:t xml:space="preserve"> </w:t>
      </w:r>
      <w:r w:rsidRPr="00646C19">
        <w:t>ктн.э. (–0,5</w:t>
      </w:r>
      <w:r w:rsidR="005507FC">
        <w:t>%</w:t>
      </w:r>
      <w:r w:rsidRPr="00646C19">
        <w:t xml:space="preserve">). </w:t>
      </w:r>
    </w:p>
    <w:p w:rsidR="00646C19" w:rsidRPr="00646C19" w:rsidRDefault="00646C19" w:rsidP="00646C19">
      <w:pPr>
        <w:pStyle w:val="SingleTxtGR"/>
      </w:pPr>
      <w:r w:rsidRPr="00646C19">
        <w:t>21.</w:t>
      </w:r>
      <w:r w:rsidRPr="00646C19">
        <w:tab/>
        <w:t>Что касается совокупного производства электроэнергии, то в 2013</w:t>
      </w:r>
      <w:r w:rsidR="005507FC">
        <w:t xml:space="preserve"> </w:t>
      </w:r>
      <w:r w:rsidRPr="00646C19">
        <w:t>году данный показатель составил 282</w:t>
      </w:r>
      <w:r w:rsidR="0057105A">
        <w:t> </w:t>
      </w:r>
      <w:r w:rsidRPr="00646C19">
        <w:t>258</w:t>
      </w:r>
      <w:r w:rsidR="005507FC">
        <w:t xml:space="preserve"> </w:t>
      </w:r>
      <w:r w:rsidRPr="00646C19">
        <w:t>ГВт, причем 40,4</w:t>
      </w:r>
      <w:r w:rsidR="005507FC">
        <w:t>%</w:t>
      </w:r>
      <w:r w:rsidRPr="00646C19">
        <w:t xml:space="preserve"> от этого объема было произведено с использованием возобновляемых источников энергии, 19,9</w:t>
      </w:r>
      <w:r w:rsidR="005507FC">
        <w:t xml:space="preserve">% </w:t>
      </w:r>
      <w:r w:rsidR="00E81F96">
        <w:t>– в </w:t>
      </w:r>
      <w:r w:rsidRPr="00646C19">
        <w:t>атомной энергетике, 14,6</w:t>
      </w:r>
      <w:r w:rsidR="005507FC">
        <w:t xml:space="preserve">% </w:t>
      </w:r>
      <w:r w:rsidRPr="00646C19">
        <w:t>– за счет угля, 20,0</w:t>
      </w:r>
      <w:r w:rsidR="005507FC">
        <w:t xml:space="preserve">% </w:t>
      </w:r>
      <w:r w:rsidRPr="00646C19">
        <w:t>– за счет природного газа, 4,9</w:t>
      </w:r>
      <w:r w:rsidR="005507FC">
        <w:t xml:space="preserve">% </w:t>
      </w:r>
      <w:r w:rsidRPr="00646C19">
        <w:t>– за счет нефтепродуктов, а 0,3</w:t>
      </w:r>
      <w:r w:rsidR="005507FC">
        <w:t xml:space="preserve">% </w:t>
      </w:r>
      <w:r w:rsidRPr="00646C19">
        <w:t>– с использованием иных источников. Чистый спрос на электроэнергию в Испании составил 262</w:t>
      </w:r>
      <w:r w:rsidR="00F35372">
        <w:t> </w:t>
      </w:r>
      <w:r w:rsidRPr="00646C19">
        <w:t>197 ГВт, а итоговое сальдо импорта-экспорта электроэнергии</w:t>
      </w:r>
      <w:r w:rsidR="005507FC">
        <w:t xml:space="preserve"> </w:t>
      </w:r>
      <w:r w:rsidRPr="00646C19">
        <w:t>– 6</w:t>
      </w:r>
      <w:r w:rsidR="00F35372">
        <w:t> </w:t>
      </w:r>
      <w:r w:rsidRPr="00646C19">
        <w:t>731</w:t>
      </w:r>
      <w:r w:rsidR="005507FC">
        <w:t xml:space="preserve"> </w:t>
      </w:r>
      <w:r w:rsidRPr="00646C19">
        <w:t>ГВт.</w:t>
      </w:r>
    </w:p>
    <w:p w:rsidR="00646C19" w:rsidRPr="00646C19" w:rsidRDefault="00646C19" w:rsidP="00E81F96">
      <w:pPr>
        <w:pStyle w:val="H4GR"/>
      </w:pPr>
      <w:r w:rsidRPr="00646C19">
        <w:tab/>
      </w:r>
      <w:r w:rsidRPr="00646C19">
        <w:tab/>
        <w:t>Строительный сектор</w:t>
      </w:r>
    </w:p>
    <w:p w:rsidR="00646C19" w:rsidRPr="00646C19" w:rsidRDefault="00646C19" w:rsidP="00646C19">
      <w:pPr>
        <w:pStyle w:val="SingleTxtGR"/>
      </w:pPr>
      <w:r w:rsidRPr="00646C19">
        <w:t>22.</w:t>
      </w:r>
      <w:r w:rsidRPr="00646C19">
        <w:tab/>
        <w:t>На протяжении ряда</w:t>
      </w:r>
      <w:r w:rsidR="005507FC">
        <w:t xml:space="preserve"> </w:t>
      </w:r>
      <w:r w:rsidRPr="00646C19">
        <w:t>лет строительство оставалось наиболее динамичным сектором испанской экономики, благодаря чему в 2006</w:t>
      </w:r>
      <w:r w:rsidR="005507FC">
        <w:t xml:space="preserve"> </w:t>
      </w:r>
      <w:r w:rsidRPr="00646C19">
        <w:t>году ВДС в этой отрасли составила 12,6</w:t>
      </w:r>
      <w:r w:rsidR="005507FC">
        <w:t>%</w:t>
      </w:r>
      <w:r w:rsidRPr="00646C19">
        <w:t xml:space="preserve"> от ВВП. С тех пор удельный вес строительного сектора в эк</w:t>
      </w:r>
      <w:r w:rsidRPr="00646C19">
        <w:t>о</w:t>
      </w:r>
      <w:r w:rsidRPr="00646C19">
        <w:t>номике Испании снижался, достигнув в первом квартале 2014</w:t>
      </w:r>
      <w:r w:rsidR="005507FC">
        <w:t xml:space="preserve"> </w:t>
      </w:r>
      <w:r w:rsidRPr="00646C19">
        <w:t>года минимал</w:t>
      </w:r>
      <w:r w:rsidRPr="00646C19">
        <w:t>ь</w:t>
      </w:r>
      <w:r w:rsidRPr="00646C19">
        <w:t>ного показателя (по данным Системы национальных счетов)</w:t>
      </w:r>
      <w:r w:rsidR="005507FC">
        <w:t xml:space="preserve"> </w:t>
      </w:r>
      <w:r w:rsidRPr="00646C19">
        <w:t>– 6,8</w:t>
      </w:r>
      <w:r w:rsidR="005507FC">
        <w:t>%</w:t>
      </w:r>
      <w:r w:rsidRPr="00646C19">
        <w:t>. Одновр</w:t>
      </w:r>
      <w:r w:rsidRPr="00646C19">
        <w:t>е</w:t>
      </w:r>
      <w:r w:rsidRPr="00646C19">
        <w:t>менно с этим в последние годы существенно снижались инвестиции в стро</w:t>
      </w:r>
      <w:r w:rsidRPr="00646C19">
        <w:t>и</w:t>
      </w:r>
      <w:r w:rsidRPr="00646C19">
        <w:t>тельную отрасль – с 22,2</w:t>
      </w:r>
      <w:r w:rsidR="005507FC">
        <w:t>%</w:t>
      </w:r>
      <w:r w:rsidRPr="00646C19">
        <w:t xml:space="preserve"> ВВП в 2006</w:t>
      </w:r>
      <w:r w:rsidR="005507FC">
        <w:t xml:space="preserve"> </w:t>
      </w:r>
      <w:r w:rsidRPr="00646C19">
        <w:t>году до 9,3</w:t>
      </w:r>
      <w:r w:rsidR="005507FC">
        <w:t>%</w:t>
      </w:r>
      <w:r w:rsidRPr="00646C19">
        <w:t xml:space="preserve"> в первом квартале 2014</w:t>
      </w:r>
      <w:r w:rsidR="005507FC">
        <w:t xml:space="preserve"> </w:t>
      </w:r>
      <w:r w:rsidRPr="00646C19">
        <w:t>г</w:t>
      </w:r>
      <w:r w:rsidRPr="00646C19">
        <w:t>о</w:t>
      </w:r>
      <w:r w:rsidRPr="00646C19">
        <w:t>да. Спад в отрасли прямо отразился на занятости</w:t>
      </w:r>
      <w:r w:rsidR="00E81F96">
        <w:t>:</w:t>
      </w:r>
      <w:r w:rsidRPr="00646C19">
        <w:t xml:space="preserve"> в первом квартале 2014</w:t>
      </w:r>
      <w:r w:rsidR="005507FC">
        <w:t xml:space="preserve"> </w:t>
      </w:r>
      <w:r w:rsidRPr="00646C19">
        <w:t>года, по данным Обследования экономически активного населения, доля занятых здесь составляла 5,6</w:t>
      </w:r>
      <w:r w:rsidR="005507FC">
        <w:t>%</w:t>
      </w:r>
      <w:r w:rsidRPr="00646C19">
        <w:t xml:space="preserve"> от общего числа трудящихся, тогда как в 2007</w:t>
      </w:r>
      <w:r w:rsidR="005507FC">
        <w:t xml:space="preserve"> </w:t>
      </w:r>
      <w:r w:rsidRPr="00646C19">
        <w:t>году этот показатель был самым высоким – более 13</w:t>
      </w:r>
      <w:r w:rsidR="005507FC">
        <w:t>%</w:t>
      </w:r>
      <w:r w:rsidRPr="00646C19">
        <w:t xml:space="preserve">. Показатели производительности в строительной отрасли в течение последнего десятилетия </w:t>
      </w:r>
      <w:r w:rsidR="00E81F96">
        <w:t>испытывали</w:t>
      </w:r>
      <w:r w:rsidRPr="00646C19">
        <w:t xml:space="preserve"> знач</w:t>
      </w:r>
      <w:r w:rsidRPr="00646C19">
        <w:t>и</w:t>
      </w:r>
      <w:r w:rsidRPr="00646C19">
        <w:t>тельные колебания – в период с 1996 по 2007</w:t>
      </w:r>
      <w:r w:rsidR="005507FC">
        <w:t xml:space="preserve"> </w:t>
      </w:r>
      <w:r w:rsidRPr="00646C19">
        <w:t>год показатели роста здесь были весьма незначительными и даже отрицательными, а в 2008 и 2009</w:t>
      </w:r>
      <w:r w:rsidR="005507FC">
        <w:t xml:space="preserve"> </w:t>
      </w:r>
      <w:r w:rsidRPr="00646C19">
        <w:t>годах спад выражался двузначными цифрами, что было связано с сокращением занятости в отрасли в эти</w:t>
      </w:r>
      <w:r w:rsidR="005507FC">
        <w:t xml:space="preserve"> </w:t>
      </w:r>
      <w:r w:rsidRPr="00646C19">
        <w:t>годы (соответственно –11,5</w:t>
      </w:r>
      <w:r w:rsidR="00D24818">
        <w:t>%</w:t>
      </w:r>
      <w:r w:rsidRPr="00646C19">
        <w:t xml:space="preserve"> и –16,24</w:t>
      </w:r>
      <w:r w:rsidR="005507FC">
        <w:t>%</w:t>
      </w:r>
      <w:r w:rsidRPr="00646C19">
        <w:t xml:space="preserve"> условных рабочих мест полного дня). В 2013</w:t>
      </w:r>
      <w:r w:rsidR="005507FC">
        <w:t xml:space="preserve"> </w:t>
      </w:r>
      <w:r w:rsidRPr="00646C19">
        <w:t>году рост производительности в строительной отрасли был на одну десятую ниже, чем по экономике в целом (4,6</w:t>
      </w:r>
      <w:r w:rsidR="00D24818">
        <w:t>%</w:t>
      </w:r>
      <w:r w:rsidRPr="00646C19">
        <w:t xml:space="preserve"> и 4,7</w:t>
      </w:r>
      <w:r w:rsidR="005507FC">
        <w:t>%</w:t>
      </w:r>
      <w:r w:rsidRPr="00646C19">
        <w:t>), хотя да</w:t>
      </w:r>
      <w:r w:rsidRPr="00646C19">
        <w:t>н</w:t>
      </w:r>
      <w:r w:rsidRPr="00646C19">
        <w:t>ный показатель в расчете на евро по текущему курсу по-прежнему превышает этот показатель по эк</w:t>
      </w:r>
      <w:r w:rsidR="00D24818">
        <w:t>ономике в целом (соответственно</w:t>
      </w:r>
      <w:r w:rsidRPr="00646C19">
        <w:t xml:space="preserve"> 74,9 и 64,5</w:t>
      </w:r>
      <w:r w:rsidR="005507FC">
        <w:t xml:space="preserve"> </w:t>
      </w:r>
      <w:r w:rsidRPr="00646C19">
        <w:t>тыс. евро в пересчете на эквивалент полной занятости (ЭПЗ)).</w:t>
      </w:r>
    </w:p>
    <w:p w:rsidR="00646C19" w:rsidRPr="00646C19" w:rsidRDefault="00E81F96" w:rsidP="00E81F96">
      <w:pPr>
        <w:pStyle w:val="H4GR"/>
      </w:pPr>
      <w:r>
        <w:tab/>
      </w:r>
      <w:r>
        <w:tab/>
      </w:r>
      <w:r w:rsidR="00646C19" w:rsidRPr="00646C19">
        <w:t>Сектор услуг</w:t>
      </w:r>
    </w:p>
    <w:p w:rsidR="00646C19" w:rsidRPr="00646C19" w:rsidRDefault="00646C19" w:rsidP="00646C19">
      <w:pPr>
        <w:pStyle w:val="SingleTxtGR"/>
      </w:pPr>
      <w:r w:rsidRPr="00646C19">
        <w:t>23.</w:t>
      </w:r>
      <w:r w:rsidRPr="00646C19">
        <w:tab/>
        <w:t>В свою очередь удельный вес сектора услуг в экономике в 2013</w:t>
      </w:r>
      <w:r w:rsidR="005507FC">
        <w:t xml:space="preserve"> </w:t>
      </w:r>
      <w:r w:rsidRPr="00646C19">
        <w:t>году д</w:t>
      </w:r>
      <w:r w:rsidRPr="00646C19">
        <w:t>о</w:t>
      </w:r>
      <w:r w:rsidRPr="00646C19">
        <w:t>стиг 65,8</w:t>
      </w:r>
      <w:r w:rsidR="005507FC">
        <w:t>%</w:t>
      </w:r>
      <w:r w:rsidRPr="00646C19">
        <w:t xml:space="preserve"> от ВВП. Согласно результатам ежегодного Обследования сферы услуг, в 2012</w:t>
      </w:r>
      <w:r w:rsidR="005507FC">
        <w:t xml:space="preserve"> </w:t>
      </w:r>
      <w:r w:rsidRPr="00646C19">
        <w:t>году количество сделок в этом секторе снизилось на 2,9</w:t>
      </w:r>
      <w:r w:rsidR="005507FC">
        <w:t>%</w:t>
      </w:r>
      <w:r w:rsidRPr="00646C19">
        <w:t xml:space="preserve"> и сост</w:t>
      </w:r>
      <w:r w:rsidRPr="00646C19">
        <w:t>а</w:t>
      </w:r>
      <w:r w:rsidRPr="00646C19">
        <w:t>вило 419</w:t>
      </w:r>
      <w:r w:rsidR="005507FC">
        <w:t xml:space="preserve"> </w:t>
      </w:r>
      <w:r w:rsidRPr="00646C19">
        <w:t>202. В разбивке по видам деятельности наибольшее количество сделок приходится на транспорт и складские услуги (23,4</w:t>
      </w:r>
      <w:r w:rsidR="005507FC">
        <w:t>%</w:t>
      </w:r>
      <w:r w:rsidRPr="00646C19">
        <w:t>), а последующие места з</w:t>
      </w:r>
      <w:r w:rsidRPr="00646C19">
        <w:t>а</w:t>
      </w:r>
      <w:r w:rsidRPr="00646C19">
        <w:t>нимают информация и связь и профессиональная, научная и техническая де</w:t>
      </w:r>
      <w:r w:rsidRPr="00646C19">
        <w:t>я</w:t>
      </w:r>
      <w:r w:rsidRPr="00646C19">
        <w:t>тельность (соответственно 18,3</w:t>
      </w:r>
      <w:r w:rsidR="00D24818">
        <w:t>%</w:t>
      </w:r>
      <w:r w:rsidRPr="00646C19">
        <w:t xml:space="preserve"> и 17,1</w:t>
      </w:r>
      <w:r w:rsidR="005507FC">
        <w:t>%</w:t>
      </w:r>
      <w:r w:rsidRPr="00646C19">
        <w:t>). В рамках сектора услуг первое м</w:t>
      </w:r>
      <w:r w:rsidRPr="00646C19">
        <w:t>е</w:t>
      </w:r>
      <w:r w:rsidRPr="00646C19">
        <w:t>сто по степени воздействия на экономику и занятость занимает туризм и сме</w:t>
      </w:r>
      <w:r w:rsidRPr="00646C19">
        <w:t>ж</w:t>
      </w:r>
      <w:r w:rsidRPr="00646C19">
        <w:t>ные виды деятельности. В 2013</w:t>
      </w:r>
      <w:r w:rsidR="005507FC">
        <w:t xml:space="preserve"> </w:t>
      </w:r>
      <w:r w:rsidRPr="00646C19">
        <w:t>году Испанию посетили свыше 60</w:t>
      </w:r>
      <w:r w:rsidR="005507FC">
        <w:t xml:space="preserve"> </w:t>
      </w:r>
      <w:r w:rsidRPr="00646C19">
        <w:t>млн. тур</w:t>
      </w:r>
      <w:r w:rsidRPr="00646C19">
        <w:t>и</w:t>
      </w:r>
      <w:r w:rsidRPr="00646C19">
        <w:t>стов, и она стала третьей в мире страной по числу прибывающих туристов и второй – по величине доходов от туризма. В Испании расположена штаб-квартира специализированного учреждения Организации Объединенных Наций</w:t>
      </w:r>
      <w:r w:rsidR="00FF2102">
        <w:t> </w:t>
      </w:r>
      <w:r w:rsidRPr="00646C19">
        <w:t>– Всемирной туристской организации.</w:t>
      </w:r>
    </w:p>
    <w:p w:rsidR="00646C19" w:rsidRPr="00646C19" w:rsidRDefault="00646C19" w:rsidP="00646C19">
      <w:pPr>
        <w:pStyle w:val="SingleTxtGR"/>
      </w:pPr>
      <w:r w:rsidRPr="00646C19">
        <w:t>24.</w:t>
      </w:r>
      <w:r w:rsidRPr="00646C19">
        <w:tab/>
        <w:t xml:space="preserve">Спад привел к сокращению числа занятых чуть менее чем на </w:t>
      </w:r>
      <w:r w:rsidR="00A6090F">
        <w:t>−</w:t>
      </w:r>
      <w:r w:rsidRPr="00646C19">
        <w:t>1,9</w:t>
      </w:r>
      <w:r w:rsidR="005507FC">
        <w:t>%</w:t>
      </w:r>
      <w:r w:rsidRPr="00646C19">
        <w:t>. В</w:t>
      </w:r>
      <w:r w:rsidR="00A6090F">
        <w:t> </w:t>
      </w:r>
      <w:r w:rsidRPr="00646C19">
        <w:t>разбивке по видам деятельности наибольшее число занятых работают в сфере гостиничного дела (22,8</w:t>
      </w:r>
      <w:r w:rsidR="005507FC">
        <w:t>%</w:t>
      </w:r>
      <w:r w:rsidRPr="00646C19">
        <w:t>), а последующие места занимают административная работа и профессиональная, научная и техническая деятельность (соотве</w:t>
      </w:r>
      <w:r w:rsidRPr="00646C19">
        <w:t>т</w:t>
      </w:r>
      <w:r w:rsidRPr="00646C19">
        <w:t>ственно 22,2</w:t>
      </w:r>
      <w:r w:rsidR="00A6090F">
        <w:t>%</w:t>
      </w:r>
      <w:r w:rsidRPr="00646C19">
        <w:t xml:space="preserve"> и 17,4</w:t>
      </w:r>
      <w:r w:rsidR="005507FC">
        <w:t>%</w:t>
      </w:r>
      <w:r w:rsidRPr="00646C19">
        <w:t>).</w:t>
      </w:r>
    </w:p>
    <w:p w:rsidR="00646C19" w:rsidRPr="00646C19" w:rsidRDefault="00646C19" w:rsidP="00646C19">
      <w:pPr>
        <w:pStyle w:val="SingleTxtGR"/>
      </w:pPr>
      <w:r w:rsidRPr="00646C19">
        <w:t>25.</w:t>
      </w:r>
      <w:r w:rsidRPr="00646C19">
        <w:tab/>
        <w:t>По данным Системы национальных счетов, удельный вес сектора услуг в общей занятости даже превышает его удельный вес в ВДС. Так, в 2013</w:t>
      </w:r>
      <w:r w:rsidR="005507FC">
        <w:t xml:space="preserve"> </w:t>
      </w:r>
      <w:r w:rsidRPr="00646C19">
        <w:t>году к</w:t>
      </w:r>
      <w:r w:rsidRPr="00646C19">
        <w:t>о</w:t>
      </w:r>
      <w:r w:rsidRPr="00646C19">
        <w:t>личество УРПРД в секторе услуг составляло 76,3</w:t>
      </w:r>
      <w:r w:rsidR="005507FC">
        <w:t>%</w:t>
      </w:r>
      <w:r w:rsidRPr="00646C19">
        <w:t xml:space="preserve"> от общего числа УРПРД в экономике в целом, что было на 12,4</w:t>
      </w:r>
      <w:r w:rsidR="005507FC">
        <w:t xml:space="preserve"> </w:t>
      </w:r>
      <w:r w:rsidRPr="00646C19">
        <w:t>процентных пункта больше, чем в 1995</w:t>
      </w:r>
      <w:r w:rsidR="005507FC">
        <w:t xml:space="preserve"> </w:t>
      </w:r>
      <w:r w:rsidRPr="00646C19">
        <w:t>г</w:t>
      </w:r>
      <w:r w:rsidRPr="00646C19">
        <w:t>о</w:t>
      </w:r>
      <w:r w:rsidRPr="00646C19">
        <w:t>ду. Этот разрыв в темпах роста ВДС и занятости стал причиной того, что пр</w:t>
      </w:r>
      <w:r w:rsidRPr="00646C19">
        <w:t>и</w:t>
      </w:r>
      <w:r w:rsidRPr="00646C19">
        <w:t>рост производительности в данном секторе был ниже, чем в экономике в целом в течение всего периода (за исключением 2000, 2008 и 2010</w:t>
      </w:r>
      <w:r w:rsidR="005507FC">
        <w:t xml:space="preserve"> </w:t>
      </w:r>
      <w:r w:rsidRPr="00646C19">
        <w:t>годов). Однако при таком существенном росте уровень производительности в секторе услуг был ниже, чем в экономике в целом (соответственно 55,7 и 64,5</w:t>
      </w:r>
      <w:r w:rsidR="005507FC">
        <w:t xml:space="preserve"> </w:t>
      </w:r>
      <w:r w:rsidRPr="00646C19">
        <w:t>тыс. евро в пересч</w:t>
      </w:r>
      <w:r w:rsidRPr="00646C19">
        <w:t>е</w:t>
      </w:r>
      <w:r w:rsidRPr="00646C19">
        <w:t>те на ЭПЗ).</w:t>
      </w:r>
    </w:p>
    <w:p w:rsidR="00646C19" w:rsidRPr="00646C19" w:rsidRDefault="00646C19" w:rsidP="00A6090F">
      <w:pPr>
        <w:pStyle w:val="H23GR"/>
      </w:pPr>
      <w:r w:rsidRPr="00646C19">
        <w:tab/>
        <w:t>3.</w:t>
      </w:r>
      <w:r w:rsidRPr="00646C19">
        <w:tab/>
        <w:t>Социальные показатели</w:t>
      </w:r>
    </w:p>
    <w:p w:rsidR="00646C19" w:rsidRPr="00646C19" w:rsidRDefault="00646C19" w:rsidP="00A6090F">
      <w:pPr>
        <w:pStyle w:val="H4GR"/>
      </w:pPr>
      <w:r w:rsidRPr="00646C19">
        <w:tab/>
      </w:r>
      <w:r w:rsidRPr="00646C19">
        <w:tab/>
        <w:t>Сфера труда, социальные субъекты и социальное согласие</w:t>
      </w:r>
    </w:p>
    <w:p w:rsidR="00646C19" w:rsidRPr="00646C19" w:rsidRDefault="00646C19" w:rsidP="00646C19">
      <w:pPr>
        <w:pStyle w:val="SingleTxtGR"/>
      </w:pPr>
      <w:r w:rsidRPr="00646C19">
        <w:t>26.</w:t>
      </w:r>
      <w:r w:rsidRPr="00646C19">
        <w:tab/>
        <w:t>В рамках социального диалога правительство и социальные субъекты з</w:t>
      </w:r>
      <w:r w:rsidRPr="00646C19">
        <w:t>а</w:t>
      </w:r>
      <w:r w:rsidRPr="00646C19">
        <w:t>ключили в последние</w:t>
      </w:r>
      <w:r w:rsidR="005507FC">
        <w:t xml:space="preserve"> </w:t>
      </w:r>
      <w:r w:rsidRPr="00646C19">
        <w:t>годы важные соглашения, к числу которых относятся к</w:t>
      </w:r>
      <w:r w:rsidRPr="00646C19">
        <w:t>а</w:t>
      </w:r>
      <w:r w:rsidRPr="00646C19">
        <w:t>сающиеся проблем занятости Трехстороннее соглашение об автономном урег</w:t>
      </w:r>
      <w:r w:rsidRPr="00646C19">
        <w:t>у</w:t>
      </w:r>
      <w:r w:rsidRPr="00646C19">
        <w:t>лировании трудовых споров, Соглашение о социальных взносах в отношении лиц, занятых неполный рабочий день, а также проходящий в настоящее время социальный диалог по вопросам подготовки V</w:t>
      </w:r>
      <w:r w:rsidR="005507FC">
        <w:t xml:space="preserve"> </w:t>
      </w:r>
      <w:r w:rsidRPr="00646C19">
        <w:t>соглашения о профессиональной подготовке в целях трудоустройства. Кроме того, правительство регулярно ко</w:t>
      </w:r>
      <w:r w:rsidRPr="00646C19">
        <w:t>н</w:t>
      </w:r>
      <w:r w:rsidRPr="00646C19">
        <w:t>сультируется с социальными субъектами в процессе разработки своей полит</w:t>
      </w:r>
      <w:r w:rsidRPr="00646C19">
        <w:t>и</w:t>
      </w:r>
      <w:r w:rsidRPr="00646C19">
        <w:t>ки, например Плана обеспечения гарантий для молодежи или Стратегии обе</w:t>
      </w:r>
      <w:r w:rsidRPr="00646C19">
        <w:t>с</w:t>
      </w:r>
      <w:r w:rsidRPr="00646C19">
        <w:t>печения прав, возможностей и занятости молодежи.</w:t>
      </w:r>
    </w:p>
    <w:p w:rsidR="00646C19" w:rsidRPr="00646C19" w:rsidRDefault="00646C19" w:rsidP="00646C19">
      <w:pPr>
        <w:pStyle w:val="SingleTxtGR"/>
      </w:pPr>
      <w:r w:rsidRPr="00646C19">
        <w:t>27.</w:t>
      </w:r>
      <w:r w:rsidRPr="00646C19">
        <w:tab/>
        <w:t>Наиболее представительными социальными субъектами в Испании явл</w:t>
      </w:r>
      <w:r w:rsidRPr="00646C19">
        <w:t>я</w:t>
      </w:r>
      <w:r w:rsidRPr="00646C19">
        <w:t>ются Испанская конфедерация организаций предпринимателей (ИКОП) и И</w:t>
      </w:r>
      <w:r w:rsidRPr="00646C19">
        <w:t>с</w:t>
      </w:r>
      <w:r w:rsidRPr="00646C19">
        <w:t>панская конфедерация малых и средних предприятий (ИКМСП), которые пре</w:t>
      </w:r>
      <w:r w:rsidRPr="00646C19">
        <w:t>д</w:t>
      </w:r>
      <w:r w:rsidRPr="00646C19">
        <w:t>ставляют интересы предпринимателей, а также Профсоюзная конфедерация Р</w:t>
      </w:r>
      <w:r w:rsidRPr="00646C19">
        <w:t>а</w:t>
      </w:r>
      <w:r w:rsidRPr="00646C19">
        <w:t>бочих комиссий (ПКРК) и Всеобщий союз трудящихся (ВСТ), представляющие интересы трудящихся.</w:t>
      </w:r>
    </w:p>
    <w:p w:rsidR="00646C19" w:rsidRPr="00646C19" w:rsidRDefault="00646C19" w:rsidP="00646C19">
      <w:pPr>
        <w:pStyle w:val="SingleTxtGR"/>
      </w:pPr>
      <w:r w:rsidRPr="00646C19">
        <w:t>28.</w:t>
      </w:r>
      <w:r w:rsidRPr="00646C19">
        <w:tab/>
        <w:t>Рынок труда в Испании находится на стадии восстановления после и</w:t>
      </w:r>
      <w:r w:rsidRPr="00646C19">
        <w:t>н</w:t>
      </w:r>
      <w:r w:rsidRPr="00646C19">
        <w:t>тенсивного снижения занятости, в результате которого уровень безработицы в 2013</w:t>
      </w:r>
      <w:r w:rsidR="005507FC">
        <w:t xml:space="preserve"> </w:t>
      </w:r>
      <w:r w:rsidRPr="00646C19">
        <w:t>году достигал 26</w:t>
      </w:r>
      <w:r w:rsidR="005507FC">
        <w:t>%</w:t>
      </w:r>
      <w:r w:rsidRPr="00646C19">
        <w:t>. Подобная сложная ситуация на рынке труда объясн</w:t>
      </w:r>
      <w:r w:rsidRPr="00646C19">
        <w:t>я</w:t>
      </w:r>
      <w:r w:rsidRPr="00646C19">
        <w:t xml:space="preserve">ется причинами как конъюнктурного, так и структурного характера. Другие страны переживали схожий процесс экономической рецессии, однако падение уровня занятости не было у них столь резким. Нынешнее положение на рынке труда также является следствием особенностей функционирования самого этого рынка, недостаточная гибкость которого на фоне неблагоприятных потрясений значительно усилила воздействие кризиса на занятость. </w:t>
      </w:r>
    </w:p>
    <w:p w:rsidR="00646C19" w:rsidRPr="00646C19" w:rsidRDefault="00646C19" w:rsidP="00646C19">
      <w:pPr>
        <w:pStyle w:val="SingleTxtGR"/>
      </w:pPr>
      <w:r w:rsidRPr="00646C19">
        <w:t>29.</w:t>
      </w:r>
      <w:r w:rsidRPr="00646C19">
        <w:tab/>
        <w:t>В конце 2013</w:t>
      </w:r>
      <w:r w:rsidR="005507FC">
        <w:t xml:space="preserve"> </w:t>
      </w:r>
      <w:r w:rsidRPr="00646C19">
        <w:t>года на рынке труда в целом появились признаки стабил</w:t>
      </w:r>
      <w:r w:rsidRPr="00646C19">
        <w:t>и</w:t>
      </w:r>
      <w:r w:rsidRPr="00646C19">
        <w:t>зации. По данным проводимого НИС Обследования рабочей силы (ОРС), в п</w:t>
      </w:r>
      <w:r w:rsidRPr="00646C19">
        <w:t>о</w:t>
      </w:r>
      <w:r w:rsidRPr="00646C19">
        <w:t>следнем квартале 2013</w:t>
      </w:r>
      <w:r w:rsidR="005507FC">
        <w:t xml:space="preserve"> </w:t>
      </w:r>
      <w:r w:rsidRPr="00646C19">
        <w:t>года испанская экономика начала создавать новые раб</w:t>
      </w:r>
      <w:r w:rsidRPr="00646C19">
        <w:t>о</w:t>
      </w:r>
      <w:r w:rsidRPr="00646C19">
        <w:t>чие места несезонного характера. Данные ОРС подтверждают тенденцию, в</w:t>
      </w:r>
      <w:r w:rsidRPr="00646C19">
        <w:t>ы</w:t>
      </w:r>
      <w:r w:rsidRPr="00646C19">
        <w:t>явленную двумя другими инструментами, которые чаще всего применяются для анализа конъюнктуры; децентрализованные данные о зарегистрированных бе</w:t>
      </w:r>
      <w:r w:rsidRPr="00646C19">
        <w:t>з</w:t>
      </w:r>
      <w:r w:rsidRPr="00646C19">
        <w:t>работных и о числе членов Системы социального страхования во второй пол</w:t>
      </w:r>
      <w:r w:rsidRPr="00646C19">
        <w:t>о</w:t>
      </w:r>
      <w:r w:rsidRPr="00646C19">
        <w:t>вине 2013</w:t>
      </w:r>
      <w:r w:rsidR="005507FC">
        <w:t xml:space="preserve"> </w:t>
      </w:r>
      <w:r w:rsidRPr="00646C19">
        <w:t>года соответственно снижались и росли. Это объясняется прежде всего повышением экономической активности, благодаря чему прогнозируется рост ВВП на 0,7</w:t>
      </w:r>
      <w:r w:rsidR="005507FC">
        <w:t>%</w:t>
      </w:r>
      <w:r w:rsidRPr="00646C19">
        <w:t>, а также повышением гибкости рынка труда, который теперь более, чем прежде, готов трансформирова</w:t>
      </w:r>
      <w:r w:rsidR="00A6090F">
        <w:t>ть рост ВВП в рост занятости. В </w:t>
      </w:r>
      <w:r w:rsidRPr="00646C19">
        <w:t>частности ожидается, что гибкость, которую обеспечила проведенная в 2012</w:t>
      </w:r>
      <w:r w:rsidR="00A6090F">
        <w:t> </w:t>
      </w:r>
      <w:r w:rsidRPr="00646C19">
        <w:t>году реформа рынка труда, позволит экономике создавать новые рабочие места при показателях роста ВВП намного более низких, нежели традиционные 2</w:t>
      </w:r>
      <w:r w:rsidR="005507FC">
        <w:t>%</w:t>
      </w:r>
      <w:r w:rsidRPr="00646C19">
        <w:t>, как это прежде имело место в Испании. Кроме того, содействие в восст</w:t>
      </w:r>
      <w:r w:rsidRPr="00646C19">
        <w:t>а</w:t>
      </w:r>
      <w:r w:rsidRPr="00646C19">
        <w:t>новлении занятости и активизации рынка труда также окажет комплекс пров</w:t>
      </w:r>
      <w:r w:rsidRPr="00646C19">
        <w:t>о</w:t>
      </w:r>
      <w:r w:rsidRPr="00646C19">
        <w:t>димых в жизнь мер активной и пассивной политики в отношении этого рынка.</w:t>
      </w:r>
    </w:p>
    <w:p w:rsidR="00646C19" w:rsidRPr="00646C19" w:rsidRDefault="00646C19" w:rsidP="00646C19">
      <w:pPr>
        <w:pStyle w:val="SingleTxtGR"/>
      </w:pPr>
      <w:r w:rsidRPr="00646C19">
        <w:t>30.</w:t>
      </w:r>
      <w:r w:rsidRPr="00646C19">
        <w:tab/>
        <w:t>В этой ситуации правительство приняло решение о проведении масшта</w:t>
      </w:r>
      <w:r w:rsidRPr="00646C19">
        <w:t>б</w:t>
      </w:r>
      <w:r w:rsidRPr="00646C19">
        <w:t>ной и глубокой реформы, призванной в срочном порядке затормозить рост бе</w:t>
      </w:r>
      <w:r w:rsidRPr="00646C19">
        <w:t>з</w:t>
      </w:r>
      <w:r w:rsidRPr="00646C19">
        <w:t>работицы и создать новые рабочие места. В частности в связи с вопросом тр</w:t>
      </w:r>
      <w:r w:rsidRPr="00646C19">
        <w:t>у</w:t>
      </w:r>
      <w:r w:rsidRPr="00646C19">
        <w:t>довой миграции в 2012</w:t>
      </w:r>
      <w:r w:rsidR="005507FC">
        <w:t xml:space="preserve"> </w:t>
      </w:r>
      <w:r w:rsidRPr="00646C19">
        <w:t>году было проведено диагностическое обследование в области миграции квалифицированных работников и политики привлечения инвесторов в Испанию. Данное обследование продемонстрировало необход</w:t>
      </w:r>
      <w:r w:rsidRPr="00646C19">
        <w:t>и</w:t>
      </w:r>
      <w:r w:rsidRPr="00646C19">
        <w:t>мость придания системе гибкости, столь востребованной в испанской эконом</w:t>
      </w:r>
      <w:r w:rsidRPr="00646C19">
        <w:t>и</w:t>
      </w:r>
      <w:r w:rsidRPr="00646C19">
        <w:t>ке, и ее корректировки с учетом потребностей, сопряженных с выходом комп</w:t>
      </w:r>
      <w:r w:rsidRPr="00646C19">
        <w:t>а</w:t>
      </w:r>
      <w:r w:rsidRPr="00646C19">
        <w:t>ний на международный рынок. 27</w:t>
      </w:r>
      <w:r w:rsidR="005507FC">
        <w:t xml:space="preserve"> </w:t>
      </w:r>
      <w:r w:rsidRPr="00646C19">
        <w:t>сентября 2013</w:t>
      </w:r>
      <w:r w:rsidR="005507FC">
        <w:t xml:space="preserve"> </w:t>
      </w:r>
      <w:r w:rsidRPr="00646C19">
        <w:t>года был принят Закон о по</w:t>
      </w:r>
      <w:r w:rsidRPr="00646C19">
        <w:t>д</w:t>
      </w:r>
      <w:r w:rsidRPr="00646C19">
        <w:t>держке предпринимателей и Закон о поддержке предпринимателей и их выхода на международный рынок, в который также вошел раздел, посвященный "ме</w:t>
      </w:r>
      <w:r w:rsidRPr="00646C19">
        <w:t>ж</w:t>
      </w:r>
      <w:r w:rsidRPr="00646C19">
        <w:t>дународной мобильности". Цель этого раздела состоит в том, чтобы упростить въезд в Испанию и пребывание в ней для инвесторов и квалифицированных трудовых мигрантов, равно как и содействовать экономическому росту путем содействия международному характеру испанских компаний, содействуя таким образом созданию новых рабочих мест. В конечном счете, введение в действие подобного порядка является попыткой сочетания традиционного подхода к в</w:t>
      </w:r>
      <w:r w:rsidRPr="00646C19">
        <w:t>о</w:t>
      </w:r>
      <w:r w:rsidRPr="00646C19">
        <w:t>просам трудовой миграции и безопасности и нового подхода, направленного на поддержку международной торговли. В основе этой новой системы лежит ко</w:t>
      </w:r>
      <w:r w:rsidRPr="00646C19">
        <w:t>н</w:t>
      </w:r>
      <w:r w:rsidRPr="00646C19">
        <w:t>цепция иммиграционной политики как элемента конкурентоспособности, с</w:t>
      </w:r>
      <w:r w:rsidRPr="00646C19">
        <w:t>о</w:t>
      </w:r>
      <w:r w:rsidRPr="00646C19">
        <w:t>действующего экономическому и социальному развитию Испании. Законод</w:t>
      </w:r>
      <w:r w:rsidRPr="00646C19">
        <w:t>а</w:t>
      </w:r>
      <w:r w:rsidRPr="00646C19">
        <w:t>тель предпочел вариант разработки особых норм, направленных на упрощение въезда в страну для определенных групп иностранцев, таких как инвесторы, предприниматели, высококвалифицированные специалисты, исследователи, специалисты в области науки и техники, преподаватели университетов и би</w:t>
      </w:r>
      <w:r w:rsidRPr="00646C19">
        <w:t>з</w:t>
      </w:r>
      <w:r w:rsidRPr="00646C19">
        <w:t>нес-школ, а также для лиц, прибывающих в Испанию в рамках трудовых, пр</w:t>
      </w:r>
      <w:r w:rsidRPr="00646C19">
        <w:t>о</w:t>
      </w:r>
      <w:r w:rsidRPr="00646C19">
        <w:t>фессиональных или учебных связей с компаниями, работающими в Испании или в другой стране.</w:t>
      </w:r>
    </w:p>
    <w:p w:rsidR="00646C19" w:rsidRPr="00646C19" w:rsidRDefault="00646C19" w:rsidP="00646C19">
      <w:pPr>
        <w:pStyle w:val="SingleTxtGR"/>
      </w:pPr>
      <w:r w:rsidRPr="00646C19">
        <w:t>31.</w:t>
      </w:r>
      <w:r w:rsidRPr="00646C19">
        <w:tab/>
        <w:t>В марте 2012</w:t>
      </w:r>
      <w:r w:rsidR="005507FC">
        <w:t xml:space="preserve"> </w:t>
      </w:r>
      <w:r w:rsidRPr="00646C19">
        <w:t>года Совет министров утвердил создание Фонда по обесп</w:t>
      </w:r>
      <w:r w:rsidRPr="00646C19">
        <w:t>е</w:t>
      </w:r>
      <w:r w:rsidRPr="00646C19">
        <w:t>чению выплат поставщикам в качестве механизма взимания органами власти неуплаченных долгов. План выплат поставщикам позволяет не только погашать коммерческие долги местных компаний и автономных сообществ, но и ос</w:t>
      </w:r>
      <w:r w:rsidRPr="00646C19">
        <w:t>у</w:t>
      </w:r>
      <w:r w:rsidRPr="00646C19">
        <w:t>ществлять значительные вливания денежных средств в производительную эк</w:t>
      </w:r>
      <w:r w:rsidRPr="00646C19">
        <w:t>о</w:t>
      </w:r>
      <w:r w:rsidRPr="00646C19">
        <w:t>номику. Данный механизм сыграл ключевую роль для активизации предприн</w:t>
      </w:r>
      <w:r w:rsidRPr="00646C19">
        <w:t>и</w:t>
      </w:r>
      <w:r w:rsidRPr="00646C19">
        <w:t>мательской деятельности и недопущения еще большего сокращения занятости, поскольку он предоставляет денежные средства непосредственно тем, кто более всего в них нуждается, и этой возможностью воспользовались компании – п</w:t>
      </w:r>
      <w:r w:rsidRPr="00646C19">
        <w:t>о</w:t>
      </w:r>
      <w:r w:rsidRPr="00646C19">
        <w:t>ставщики местных предприятий и автономных сообществ, которые смогли своевременно выполнить свои обязательства по платежам. Эти денежные сре</w:t>
      </w:r>
      <w:r w:rsidRPr="00646C19">
        <w:t>д</w:t>
      </w:r>
      <w:r w:rsidRPr="00646C19">
        <w:t xml:space="preserve">ства дали им возможность продолжить или возобновить предпринимательскую деятельность. </w:t>
      </w:r>
    </w:p>
    <w:p w:rsidR="00646C19" w:rsidRPr="00646C19" w:rsidRDefault="00646C19" w:rsidP="00646C19">
      <w:pPr>
        <w:pStyle w:val="SingleTxtGR"/>
      </w:pPr>
      <w:r w:rsidRPr="00646C19">
        <w:t>32.</w:t>
      </w:r>
      <w:r w:rsidRPr="00646C19">
        <w:tab/>
        <w:t>Королевским законодательным указом</w:t>
      </w:r>
      <w:r w:rsidR="005507FC">
        <w:t xml:space="preserve"> </w:t>
      </w:r>
      <w:r w:rsidRPr="00646C19">
        <w:t>№</w:t>
      </w:r>
      <w:r w:rsidR="005507FC">
        <w:t xml:space="preserve"> </w:t>
      </w:r>
      <w:r w:rsidRPr="00646C19">
        <w:t>21/2012 от 13 июля о мерах по повышению ликвидности государственных учреждений и в финансовой сфере на основании положений первого дополнения к Органическому зак</w:t>
      </w:r>
      <w:r w:rsidRPr="00646C19">
        <w:t>о</w:t>
      </w:r>
      <w:r w:rsidRPr="00646C19">
        <w:t>ну</w:t>
      </w:r>
      <w:r w:rsidR="00A6090F">
        <w:t> </w:t>
      </w:r>
      <w:r w:rsidRPr="00646C19">
        <w:t>№</w:t>
      </w:r>
      <w:r w:rsidR="00A6090F">
        <w:t> </w:t>
      </w:r>
      <w:r w:rsidRPr="00646C19">
        <w:t>2/2012 от 27</w:t>
      </w:r>
      <w:r w:rsidR="005507FC">
        <w:t xml:space="preserve"> </w:t>
      </w:r>
      <w:r w:rsidRPr="00646C19">
        <w:t>апреля о бюджетной стабильности и финансовой устойчив</w:t>
      </w:r>
      <w:r w:rsidRPr="00646C19">
        <w:t>о</w:t>
      </w:r>
      <w:r w:rsidRPr="00646C19">
        <w:t>сти был создан Фонд денежной ликвидности автономий – механизм поддержки денежной ликвидности автономных сообществ, действующий на временной и добровольной основе и позволивший удовлетворить потребности автономных сообществ в финансировании и решить их проблемы с доступом к кредитам в период 2012–2013</w:t>
      </w:r>
      <w:r w:rsidR="005507FC">
        <w:t xml:space="preserve"> </w:t>
      </w:r>
      <w:r w:rsidRPr="00646C19">
        <w:t>годов, повысив одновременно с этим путем удешевления ф</w:t>
      </w:r>
      <w:r w:rsidRPr="00646C19">
        <w:t>и</w:t>
      </w:r>
      <w:r w:rsidRPr="00646C19">
        <w:t>нансирования показатели выполнения задач в области ужесточения налогово-бюджетной политики. Денежные средства, предоставленные с 2012</w:t>
      </w:r>
      <w:r w:rsidR="005507FC">
        <w:t xml:space="preserve"> </w:t>
      </w:r>
      <w:r w:rsidRPr="00646C19">
        <w:t>года в ра</w:t>
      </w:r>
      <w:r w:rsidRPr="00646C19">
        <w:t>м</w:t>
      </w:r>
      <w:r w:rsidRPr="00646C19">
        <w:t>ках Плана выплат поставщикам и Фонда де</w:t>
      </w:r>
      <w:r w:rsidR="00A6090F">
        <w:t>нежной ликвидности автономий, в </w:t>
      </w:r>
      <w:r w:rsidRPr="00646C19">
        <w:t>форме прямых выплат поставщикам пр</w:t>
      </w:r>
      <w:r w:rsidR="00A6090F">
        <w:t>ивели к повышению уровня ВВП на </w:t>
      </w:r>
      <w:r w:rsidRPr="00646C19">
        <w:t>3</w:t>
      </w:r>
      <w:r w:rsidR="005507FC">
        <w:t>%</w:t>
      </w:r>
      <w:r w:rsidRPr="00646C19">
        <w:t xml:space="preserve"> в сравнении с начальным уровнем и позволили сохранить или вновь с</w:t>
      </w:r>
      <w:r w:rsidRPr="00646C19">
        <w:t>о</w:t>
      </w:r>
      <w:r w:rsidRPr="00646C19">
        <w:t>здать 400</w:t>
      </w:r>
      <w:r w:rsidR="005507FC">
        <w:t xml:space="preserve"> </w:t>
      </w:r>
      <w:r w:rsidRPr="00646C19">
        <w:t>000</w:t>
      </w:r>
      <w:r w:rsidR="005507FC">
        <w:t xml:space="preserve"> </w:t>
      </w:r>
      <w:r w:rsidRPr="00646C19">
        <w:t>рабочих мест, чего без принятия таких мер сделать бы не удалось.</w:t>
      </w:r>
    </w:p>
    <w:p w:rsidR="00646C19" w:rsidRPr="00646C19" w:rsidRDefault="00646C19" w:rsidP="00646C19">
      <w:pPr>
        <w:pStyle w:val="SingleTxtGR"/>
      </w:pPr>
      <w:r w:rsidRPr="00646C19">
        <w:t>33.</w:t>
      </w:r>
      <w:r w:rsidRPr="00646C19">
        <w:tab/>
        <w:t>Общая численность экономически активного населения в Испании по с</w:t>
      </w:r>
      <w:r w:rsidRPr="00646C19">
        <w:t>о</w:t>
      </w:r>
      <w:r w:rsidRPr="00646C19">
        <w:t>стоянию на третий квартал 2009</w:t>
      </w:r>
      <w:r w:rsidR="005507FC">
        <w:t xml:space="preserve"> </w:t>
      </w:r>
      <w:r w:rsidRPr="00646C19">
        <w:t>года составляла 22</w:t>
      </w:r>
      <w:r w:rsidR="006F7F50">
        <w:t> </w:t>
      </w:r>
      <w:r w:rsidRPr="00646C19">
        <w:t>993</w:t>
      </w:r>
      <w:r w:rsidR="006F7F50">
        <w:t> </w:t>
      </w:r>
      <w:r w:rsidRPr="00646C19">
        <w:t>500</w:t>
      </w:r>
      <w:r w:rsidR="005507FC">
        <w:t xml:space="preserve"> </w:t>
      </w:r>
      <w:r w:rsidRPr="00646C19">
        <w:t>человек, а доля экономически активного населения в возрастной группе от 16 до 64</w:t>
      </w:r>
      <w:r w:rsidR="005507FC">
        <w:t xml:space="preserve"> </w:t>
      </w:r>
      <w:r w:rsidRPr="00646C19">
        <w:t>лет соста</w:t>
      </w:r>
      <w:r w:rsidRPr="00646C19">
        <w:t>в</w:t>
      </w:r>
      <w:r w:rsidRPr="00646C19">
        <w:t>ляла 73,9</w:t>
      </w:r>
      <w:r w:rsidR="005507FC">
        <w:t>%</w:t>
      </w:r>
      <w:r w:rsidRPr="00646C19">
        <w:t>. Хотя в последние</w:t>
      </w:r>
      <w:r w:rsidR="005507FC">
        <w:t xml:space="preserve"> </w:t>
      </w:r>
      <w:r w:rsidRPr="00646C19">
        <w:t>годы постоянно сохранялась тенденция к росту, нынешний кризис в экономике и сфере занятости привел к застою в динамике численности активного населения. Вместе с тем в обстановке кризиса полож</w:t>
      </w:r>
      <w:r w:rsidRPr="00646C19">
        <w:t>е</w:t>
      </w:r>
      <w:r w:rsidRPr="00646C19">
        <w:t>ние мужчин и женщин значительно различалось. Если для мужчин с третьего квартала 2008</w:t>
      </w:r>
      <w:r w:rsidR="005507FC">
        <w:t xml:space="preserve"> </w:t>
      </w:r>
      <w:r w:rsidRPr="00646C19">
        <w:t>года было характерно постепенное сокращение уровня занят</w:t>
      </w:r>
      <w:r w:rsidRPr="00646C19">
        <w:t>о</w:t>
      </w:r>
      <w:r w:rsidRPr="00646C19">
        <w:t>сти, то уровень занятости женщин продолжал расти, составив в третьем ква</w:t>
      </w:r>
      <w:r w:rsidRPr="00646C19">
        <w:t>р</w:t>
      </w:r>
      <w:r w:rsidRPr="00646C19">
        <w:t>тале 2009</w:t>
      </w:r>
      <w:r w:rsidR="005507FC">
        <w:t xml:space="preserve"> </w:t>
      </w:r>
      <w:r w:rsidRPr="00646C19">
        <w:t>года 65,7</w:t>
      </w:r>
      <w:r w:rsidR="005507FC">
        <w:t>%</w:t>
      </w:r>
      <w:r w:rsidRPr="00646C19">
        <w:t>. С другой стороны, трудовая активность проживающих в стране иностранцев в возрасте 16</w:t>
      </w:r>
      <w:r w:rsidR="005507FC">
        <w:t xml:space="preserve"> </w:t>
      </w:r>
      <w:r w:rsidRPr="00646C19">
        <w:t>лет и старше сохранялась на уровне 76,6</w:t>
      </w:r>
      <w:r w:rsidR="005507FC">
        <w:t>%</w:t>
      </w:r>
      <w:r w:rsidRPr="00646C19">
        <w:t xml:space="preserve"> и начала снижаться только со второго квартала 2009</w:t>
      </w:r>
      <w:r w:rsidR="005507FC">
        <w:t xml:space="preserve"> </w:t>
      </w:r>
      <w:r w:rsidRPr="00646C19">
        <w:t>года.</w:t>
      </w:r>
    </w:p>
    <w:p w:rsidR="00646C19" w:rsidRPr="00646C19" w:rsidRDefault="00646C19" w:rsidP="00646C19">
      <w:pPr>
        <w:pStyle w:val="SingleTxtGR"/>
      </w:pPr>
      <w:r w:rsidRPr="00646C19">
        <w:t>34.</w:t>
      </w:r>
      <w:r w:rsidRPr="00646C19">
        <w:tab/>
        <w:t>В декабре 2013</w:t>
      </w:r>
      <w:r w:rsidR="005507FC">
        <w:t xml:space="preserve"> </w:t>
      </w:r>
      <w:r w:rsidRPr="00646C19">
        <w:t>года социальным страхованием были охвачены 1</w:t>
      </w:r>
      <w:r w:rsidR="00702683">
        <w:t> </w:t>
      </w:r>
      <w:r w:rsidRPr="00646C19">
        <w:t>543</w:t>
      </w:r>
      <w:r w:rsidR="00702683">
        <w:t> </w:t>
      </w:r>
      <w:r w:rsidRPr="00646C19">
        <w:t>306</w:t>
      </w:r>
      <w:r w:rsidR="00702683">
        <w:t> </w:t>
      </w:r>
      <w:r w:rsidRPr="00646C19">
        <w:t>иностранцев, и этот показатель вырос по сравнению с январем 2011</w:t>
      </w:r>
      <w:r w:rsidR="00702683">
        <w:t> </w:t>
      </w:r>
      <w:r w:rsidRPr="00646C19">
        <w:t>года, когда он составлял 1</w:t>
      </w:r>
      <w:r w:rsidR="00702683">
        <w:t> </w:t>
      </w:r>
      <w:r w:rsidRPr="00646C19">
        <w:t>132</w:t>
      </w:r>
      <w:r w:rsidR="00702683">
        <w:t> </w:t>
      </w:r>
      <w:r w:rsidRPr="00646C19">
        <w:t>465</w:t>
      </w:r>
      <w:r w:rsidR="005507FC">
        <w:t xml:space="preserve"> </w:t>
      </w:r>
      <w:r w:rsidRPr="00646C19">
        <w:t>человек. Испанская миграционная п</w:t>
      </w:r>
      <w:r w:rsidRPr="00646C19">
        <w:t>о</w:t>
      </w:r>
      <w:r w:rsidRPr="00646C19">
        <w:t>литика традиционно связывала въезд иммигрантов в страну с показателем е</w:t>
      </w:r>
      <w:r w:rsidRPr="00646C19">
        <w:t>м</w:t>
      </w:r>
      <w:r w:rsidRPr="00646C19">
        <w:t>кости рынка труда. Это нашло свое отражение в изменении количества труд</w:t>
      </w:r>
      <w:r w:rsidRPr="00646C19">
        <w:t>о</w:t>
      </w:r>
      <w:r w:rsidRPr="00646C19">
        <w:t>вых договоров, заключенных в странах происхождения мигрантов: если в 2006</w:t>
      </w:r>
      <w:r w:rsidR="00702683">
        <w:t> </w:t>
      </w:r>
      <w:r w:rsidRPr="00646C19">
        <w:t>году в Испанию въехали 204</w:t>
      </w:r>
      <w:r w:rsidR="00407515">
        <w:t> </w:t>
      </w:r>
      <w:r w:rsidRPr="00646C19">
        <w:t>000 иностранцев, а в 2007</w:t>
      </w:r>
      <w:r w:rsidR="005507FC">
        <w:t xml:space="preserve"> </w:t>
      </w:r>
      <w:r w:rsidRPr="00646C19">
        <w:t>году этот показ</w:t>
      </w:r>
      <w:r w:rsidRPr="00646C19">
        <w:t>а</w:t>
      </w:r>
      <w:r w:rsidRPr="00646C19">
        <w:t>тель достиг своего максимума</w:t>
      </w:r>
      <w:r w:rsidR="005507FC">
        <w:t xml:space="preserve"> </w:t>
      </w:r>
      <w:r w:rsidRPr="00646C19">
        <w:t>– 250</w:t>
      </w:r>
      <w:r w:rsidR="00407515">
        <w:t> </w:t>
      </w:r>
      <w:r w:rsidRPr="00646C19">
        <w:t>000</w:t>
      </w:r>
      <w:r w:rsidR="005507FC">
        <w:t xml:space="preserve"> </w:t>
      </w:r>
      <w:r w:rsidRPr="00646C19">
        <w:t>человек, то с 2009</w:t>
      </w:r>
      <w:r w:rsidR="005507FC">
        <w:t xml:space="preserve"> </w:t>
      </w:r>
      <w:r w:rsidRPr="00646C19">
        <w:t>года их число п</w:t>
      </w:r>
      <w:r w:rsidRPr="00646C19">
        <w:t>о</w:t>
      </w:r>
      <w:r w:rsidRPr="00646C19">
        <w:t>стоянно сокращалось, и в 2012</w:t>
      </w:r>
      <w:r w:rsidR="005507FC">
        <w:t xml:space="preserve"> </w:t>
      </w:r>
      <w:r w:rsidRPr="00646C19">
        <w:t>году был зарегистрирован 3</w:t>
      </w:r>
      <w:r w:rsidR="00407515">
        <w:t> </w:t>
      </w:r>
      <w:r w:rsidRPr="00646C19">
        <w:t>021 трудовой дог</w:t>
      </w:r>
      <w:r w:rsidRPr="00646C19">
        <w:t>о</w:t>
      </w:r>
      <w:r w:rsidRPr="00646C19">
        <w:t>вор.</w:t>
      </w:r>
    </w:p>
    <w:p w:rsidR="00646C19" w:rsidRPr="00646C19" w:rsidRDefault="00646C19" w:rsidP="00646C19">
      <w:pPr>
        <w:pStyle w:val="SingleTxtGR"/>
      </w:pPr>
      <w:r w:rsidRPr="00646C19">
        <w:t>35.</w:t>
      </w:r>
      <w:r w:rsidRPr="00646C19">
        <w:tab/>
        <w:t>Министерство труда и иммиграции через Государственный секретариат по вопросам иммиграции и эмиграции участвует в работе Трехсторонней тр</w:t>
      </w:r>
      <w:r w:rsidRPr="00646C19">
        <w:t>у</w:t>
      </w:r>
      <w:r w:rsidRPr="00646C19">
        <w:t>довой комиссии, представляющей собой постоянно действующий орган, в ра</w:t>
      </w:r>
      <w:r w:rsidRPr="00646C19">
        <w:t>м</w:t>
      </w:r>
      <w:r w:rsidRPr="00646C19">
        <w:t>ках которого между центральным правительством и наиболее представител</w:t>
      </w:r>
      <w:r w:rsidRPr="00646C19">
        <w:t>ь</w:t>
      </w:r>
      <w:r w:rsidRPr="00646C19">
        <w:t>ными на общегосударственном уровне профсоюзами и организациями пре</w:t>
      </w:r>
      <w:r w:rsidRPr="00646C19">
        <w:t>д</w:t>
      </w:r>
      <w:r w:rsidRPr="00646C19">
        <w:t>принимателей ведется диалог по вопросам управления миграционными поток</w:t>
      </w:r>
      <w:r w:rsidRPr="00646C19">
        <w:t>а</w:t>
      </w:r>
      <w:r w:rsidRPr="00646C19">
        <w:t>ми. Социальные субъекты участвуют в этой работе, добиваясь, чтобы политика управления миграционными потоками эффективно содействовала решению з</w:t>
      </w:r>
      <w:r w:rsidRPr="00646C19">
        <w:t>а</w:t>
      </w:r>
      <w:r w:rsidRPr="00646C19">
        <w:t>дачи по удовлетворению потребностей в работниках, которые не могут быть покрыты за счет трудящихся-резидентов, в соответствии с действующими но</w:t>
      </w:r>
      <w:r w:rsidRPr="00646C19">
        <w:t>р</w:t>
      </w:r>
      <w:r w:rsidRPr="00646C19">
        <w:t>мами как в сфере миграции, так и в сфере труда и при обеспечении гарантий прав трудящихся – граждан страны и иностранцев.</w:t>
      </w:r>
    </w:p>
    <w:p w:rsidR="00646C19" w:rsidRPr="00646C19" w:rsidRDefault="00646C19" w:rsidP="0072016A">
      <w:pPr>
        <w:pStyle w:val="H4GR"/>
      </w:pPr>
      <w:r w:rsidRPr="00646C19">
        <w:tab/>
      </w:r>
      <w:r w:rsidRPr="00646C19">
        <w:tab/>
        <w:t>Здравоохранение и социальная политика</w:t>
      </w:r>
    </w:p>
    <w:p w:rsidR="00646C19" w:rsidRPr="00646C19" w:rsidRDefault="00646C19" w:rsidP="00646C19">
      <w:pPr>
        <w:pStyle w:val="SingleTxtGR"/>
      </w:pPr>
      <w:r w:rsidRPr="00646C19">
        <w:t>36.</w:t>
      </w:r>
      <w:r w:rsidRPr="00646C19">
        <w:tab/>
        <w:t>Конституция Испании 1978</w:t>
      </w:r>
      <w:r w:rsidR="005507FC">
        <w:t xml:space="preserve"> </w:t>
      </w:r>
      <w:r w:rsidRPr="00646C19">
        <w:t>года устанавливает право всех граждан на эффективную охрану здоровья и справедливую, эффективную и максимально качественную медицинскую помощь. Содержащиеся в статьях</w:t>
      </w:r>
      <w:r w:rsidR="005507FC">
        <w:t xml:space="preserve"> </w:t>
      </w:r>
      <w:r w:rsidRPr="00646C19">
        <w:t>41, 43, 49 и 51 соответствующие положения стали значительным социальным достижением, поскольку в них было признано, что право на медицинскую помощь является публичным, объективным, личным и самостоятельным, а также равным для каждого гражданина без какой бы то ни было дискриминации в плане справе</w:t>
      </w:r>
      <w:r w:rsidRPr="00646C19">
        <w:t>д</w:t>
      </w:r>
      <w:r w:rsidRPr="00646C19">
        <w:t>ливого доступа к материальной составляющей данной услуги. Кроме того, Ко</w:t>
      </w:r>
      <w:r w:rsidRPr="00646C19">
        <w:t>н</w:t>
      </w:r>
      <w:r w:rsidRPr="00646C19">
        <w:t>ституция предусматривает распределение полномочий между центральным правительством и автономными сообществами (АС). В контексте дальнейшего развития заложенных в Конституции директивных основ в 1979</w:t>
      </w:r>
      <w:r w:rsidR="005507FC">
        <w:t xml:space="preserve"> </w:t>
      </w:r>
      <w:r w:rsidRPr="00646C19">
        <w:t>году была начата передача в сферу полномочий автономных сообществ вопросов охраны здоровья и гигиены (общественного здравоохранения), которая продолжалась на протяжении последующих лет. В настоящее время этими полномочиями ра</w:t>
      </w:r>
      <w:r w:rsidRPr="00646C19">
        <w:t>с</w:t>
      </w:r>
      <w:r w:rsidRPr="00646C19">
        <w:t>полагают все автономные сообщества и города с автономным статусом Сеута и Мелилья. В свою очередь, процесс децентрализации полномочий в сфере управления услугами здравоохранения, возложенных на Национальный инст</w:t>
      </w:r>
      <w:r w:rsidRPr="00646C19">
        <w:t>и</w:t>
      </w:r>
      <w:r w:rsidRPr="00646C19">
        <w:t>тут здравоохранения (НИЗ), который начался в 1981</w:t>
      </w:r>
      <w:r w:rsidR="005507FC">
        <w:t xml:space="preserve"> </w:t>
      </w:r>
      <w:r w:rsidRPr="00646C19">
        <w:t>году с передачи этих по</w:t>
      </w:r>
      <w:r w:rsidRPr="00646C19">
        <w:t>л</w:t>
      </w:r>
      <w:r w:rsidRPr="00646C19">
        <w:t>номочий автономному сообществу Каталонии, распространился вслед за этим в 1984−1994</w:t>
      </w:r>
      <w:r w:rsidR="005507FC">
        <w:t xml:space="preserve"> </w:t>
      </w:r>
      <w:r w:rsidRPr="00646C19">
        <w:t>годах на Андалусию, Страну Басков, Валенсию, Галисию, Наварру и Канарские острова, а впоследствии и на остальные территории государства. Этот процесс завершился в январе 2002</w:t>
      </w:r>
      <w:r w:rsidR="005507FC">
        <w:t xml:space="preserve"> </w:t>
      </w:r>
      <w:r w:rsidRPr="00646C19">
        <w:t>года, когда было решено сохранить главную государственную структуру по управлению медицинским обслужив</w:t>
      </w:r>
      <w:r w:rsidRPr="00646C19">
        <w:t>а</w:t>
      </w:r>
      <w:r w:rsidRPr="00646C19">
        <w:t>нием городов с автономным статусом Сеута и Мелилья в лице Национального института по управлению медицинскими услугами (НИУМУ). Передача полн</w:t>
      </w:r>
      <w:r w:rsidRPr="00646C19">
        <w:t>о</w:t>
      </w:r>
      <w:r w:rsidRPr="00646C19">
        <w:t>мочий автономным сообществам призвана приблизить систему медицинского обслуживания к гражданам. Опыт и практика отношений между государством и автономными сообществами в сфере охраны здоровья населения служат ва</w:t>
      </w:r>
      <w:r w:rsidRPr="00646C19">
        <w:t>ж</w:t>
      </w:r>
      <w:r w:rsidRPr="00646C19">
        <w:t>ным подспорьем для укрепления координации в автономном государственном образовании. Усилия, прилагаемые в связи с этим всеми субъектами, направл</w:t>
      </w:r>
      <w:r w:rsidRPr="00646C19">
        <w:t>е</w:t>
      </w:r>
      <w:r w:rsidRPr="00646C19">
        <w:t>ны на то, чтобы Национальная система здравоохранения (НСЗ) сохраняла ед</w:t>
      </w:r>
      <w:r w:rsidRPr="00646C19">
        <w:t>и</w:t>
      </w:r>
      <w:r w:rsidRPr="00646C19">
        <w:t>нообразный характер и отвечала конституционным принципам единства, авт</w:t>
      </w:r>
      <w:r w:rsidRPr="00646C19">
        <w:t>о</w:t>
      </w:r>
      <w:r w:rsidRPr="00646C19">
        <w:t>номии и солидарности, которые лежат в основе автономного государственного образования. В нынешних условиях полной децентрализации полномочий в в</w:t>
      </w:r>
      <w:r w:rsidRPr="00646C19">
        <w:t>о</w:t>
      </w:r>
      <w:r w:rsidRPr="00646C19">
        <w:t>просах здравоохранения автономные сообщества сами определяют форму орг</w:t>
      </w:r>
      <w:r w:rsidRPr="00646C19">
        <w:t>а</w:t>
      </w:r>
      <w:r w:rsidRPr="00646C19">
        <w:t>низации и предоставления медицинских услуг, а роль Министерства здрав</w:t>
      </w:r>
      <w:r w:rsidRPr="00646C19">
        <w:t>о</w:t>
      </w:r>
      <w:r w:rsidRPr="00646C19">
        <w:t>охранения, социальной политики и равенства переориентирована на разработку и координацию правительственной политики в сфере здравоохранения, план</w:t>
      </w:r>
      <w:r w:rsidRPr="00646C19">
        <w:t>и</w:t>
      </w:r>
      <w:r w:rsidRPr="00646C19">
        <w:t>рования, оказания медицинской помощи и защиты потребителей, а также на осуществление полномочий центральных государственных органов по обесп</w:t>
      </w:r>
      <w:r w:rsidRPr="00646C19">
        <w:t>е</w:t>
      </w:r>
      <w:r w:rsidRPr="00646C19">
        <w:t>чению права граждан на охрану здоровья. К функциям Министерства также о</w:t>
      </w:r>
      <w:r w:rsidRPr="00646C19">
        <w:t>т</w:t>
      </w:r>
      <w:r w:rsidRPr="00646C19">
        <w:t>носится координация деятельности Национальной системы здравоохранения и разработка глобальных стратегий по обеспечению равенства, качества и эффе</w:t>
      </w:r>
      <w:r w:rsidRPr="00646C19">
        <w:t>к</w:t>
      </w:r>
      <w:r w:rsidRPr="00646C19">
        <w:t>тивности как базового инструмента сотрудничества для содействия регионал</w:t>
      </w:r>
      <w:r w:rsidRPr="00646C19">
        <w:t>ь</w:t>
      </w:r>
      <w:r w:rsidRPr="00646C19">
        <w:t>ным инициативам.</w:t>
      </w:r>
    </w:p>
    <w:p w:rsidR="00646C19" w:rsidRPr="00646C19" w:rsidRDefault="00646C19" w:rsidP="00646C19">
      <w:pPr>
        <w:pStyle w:val="SingleTxtGR"/>
      </w:pPr>
      <w:r w:rsidRPr="00646C19">
        <w:t>37.</w:t>
      </w:r>
      <w:r w:rsidRPr="00646C19">
        <w:tab/>
        <w:t>Согласно статье 69 Закона № 16/2003 о координации и качестве услуг в НСЗ, Межтерриториальный совет (МТСНСЗ) является "постоянно действу</w:t>
      </w:r>
      <w:r w:rsidRPr="00646C19">
        <w:t>ю</w:t>
      </w:r>
      <w:r w:rsidRPr="00646C19">
        <w:t>щим органом обеспечения координации, сотрудничества, связи и информации медицинских служб между собой и с органами государственной администр</w:t>
      </w:r>
      <w:r w:rsidRPr="00646C19">
        <w:t>а</w:t>
      </w:r>
      <w:r w:rsidRPr="00646C19">
        <w:t>ции, целью которого является обеспечение координации в Национальной с</w:t>
      </w:r>
      <w:r w:rsidRPr="00646C19">
        <w:t>и</w:t>
      </w:r>
      <w:r w:rsidRPr="00646C19">
        <w:t>стеме здравоохранения путем предоставления реальных гарантий прав граждан по всей территории страны". В</w:t>
      </w:r>
      <w:r w:rsidR="005507FC">
        <w:t xml:space="preserve"> </w:t>
      </w:r>
      <w:r w:rsidRPr="00646C19">
        <w:t>состав Совета входят министр здравоохранения и советники по вопросам здравоохранения АС, а сам Совет оказывает научную и техническую поддержку НСЗ. Общий закон</w:t>
      </w:r>
      <w:r w:rsidR="005507FC">
        <w:t xml:space="preserve"> </w:t>
      </w:r>
      <w:r w:rsidRPr="00646C19">
        <w:t>№</w:t>
      </w:r>
      <w:r w:rsidR="005507FC">
        <w:t xml:space="preserve"> </w:t>
      </w:r>
      <w:r w:rsidRPr="00646C19">
        <w:t>14/1986 о здравоохранении р</w:t>
      </w:r>
      <w:r w:rsidRPr="00646C19">
        <w:t>е</w:t>
      </w:r>
      <w:r w:rsidRPr="00646C19">
        <w:t>ализовал положение Конституции, согласно которому общая координация в сфере здравоохранения входит в сферу ответственности государства, которое обязано определить пути содействия во взаимном обмене информацией, обе</w:t>
      </w:r>
      <w:r w:rsidRPr="00646C19">
        <w:t>с</w:t>
      </w:r>
      <w:r w:rsidRPr="00646C19">
        <w:t>печении технической совместимости и осуществлении совместных действий, которые позволили бы включить проводимые на местах отдельные акции в о</w:t>
      </w:r>
      <w:r w:rsidRPr="00646C19">
        <w:t>б</w:t>
      </w:r>
      <w:r w:rsidRPr="00646C19">
        <w:t>щую систему деятельности НСЗ. Кроме того, утвержденные МТСНСЗ критерии мер общей координации в системе здравоохранения должны учитываться при разработке Комплексного плана защиты здоровья – документа, который должен собрать воедино планы защиты здоровья, принятые на уровне государства, на уровне автономных сообществ и на двух этих уровнях совместно, а также и</w:t>
      </w:r>
      <w:r w:rsidRPr="00646C19">
        <w:t>с</w:t>
      </w:r>
      <w:r w:rsidRPr="00646C19">
        <w:t>точники их финансирования. Данный План также должен быть вынесен на ра</w:t>
      </w:r>
      <w:r w:rsidRPr="00646C19">
        <w:t>с</w:t>
      </w:r>
      <w:r w:rsidRPr="00646C19">
        <w:t>смотрение МТСНСЗ. Кроме того, Общий закон о здравоохранении предполаг</w:t>
      </w:r>
      <w:r w:rsidRPr="00646C19">
        <w:t>а</w:t>
      </w:r>
      <w:r w:rsidRPr="00646C19">
        <w:t>ет создание силами государства и АС технических комиссий и комитетов, з</w:t>
      </w:r>
      <w:r w:rsidRPr="00646C19">
        <w:t>а</w:t>
      </w:r>
      <w:r w:rsidRPr="00646C19">
        <w:t>ключение соглашений и разработку общих программ, необходимых для пов</w:t>
      </w:r>
      <w:r w:rsidRPr="00646C19">
        <w:t>ы</w:t>
      </w:r>
      <w:r w:rsidRPr="00646C19">
        <w:t>шения эффективности и рентабельности медицинских служб. В</w:t>
      </w:r>
      <w:r w:rsidR="005507FC">
        <w:t xml:space="preserve"> </w:t>
      </w:r>
      <w:r w:rsidRPr="00646C19">
        <w:t>статьях</w:t>
      </w:r>
      <w:r w:rsidR="005507FC">
        <w:t xml:space="preserve"> </w:t>
      </w:r>
      <w:r w:rsidRPr="00646C19">
        <w:t xml:space="preserve">38–43 </w:t>
      </w:r>
      <w:r w:rsidR="007706F9" w:rsidRPr="00646C19">
        <w:t>раздела</w:t>
      </w:r>
      <w:r w:rsidR="007706F9">
        <w:t xml:space="preserve"> </w:t>
      </w:r>
      <w:r w:rsidRPr="00646C19">
        <w:t>II определяются сферы полномочий центральных государственных о</w:t>
      </w:r>
      <w:r w:rsidRPr="00646C19">
        <w:t>р</w:t>
      </w:r>
      <w:r w:rsidRPr="00646C19">
        <w:t>ганов, АС и местных органов. Центральная государственная администрация с</w:t>
      </w:r>
      <w:r w:rsidRPr="00646C19">
        <w:t>о</w:t>
      </w:r>
      <w:r w:rsidRPr="00646C19">
        <w:t>храняет за собой исключительную компетенцию в таких сферах, как внешняя деятельность в области здравоохранения и международные отношения и дог</w:t>
      </w:r>
      <w:r w:rsidRPr="00646C19">
        <w:t>о</w:t>
      </w:r>
      <w:r w:rsidRPr="00646C19">
        <w:t>воренности в этой области; основы и общая координация охраны здоровья, з</w:t>
      </w:r>
      <w:r w:rsidRPr="00646C19">
        <w:t>а</w:t>
      </w:r>
      <w:r w:rsidRPr="00646C19">
        <w:t>конодательство по фармацевтическим продуктам; получение, присвоение и подтверждение ученых степеней в соответствующей области.</w:t>
      </w:r>
    </w:p>
    <w:p w:rsidR="00646C19" w:rsidRPr="00646C19" w:rsidRDefault="00646C19" w:rsidP="00646C19">
      <w:pPr>
        <w:pStyle w:val="SingleTxtGR"/>
      </w:pPr>
      <w:r w:rsidRPr="00646C19">
        <w:t>38.</w:t>
      </w:r>
      <w:r w:rsidRPr="00646C19">
        <w:tab/>
        <w:t>В связи с этим Министерство здравоохранения силами своего Генерал</w:t>
      </w:r>
      <w:r w:rsidRPr="00646C19">
        <w:t>ь</w:t>
      </w:r>
      <w:r w:rsidRPr="00646C19">
        <w:t>ного секретариата по здравоохранению и потреблению осуществляет функции, касающиеся государственного здравоохранения, межтерриториальной коорд</w:t>
      </w:r>
      <w:r w:rsidRPr="00646C19">
        <w:t>и</w:t>
      </w:r>
      <w:r w:rsidRPr="00646C19">
        <w:t>нации, проведения проверок, планирования в сфере здравоохранения, кадровой политики в сфере медицинских профессий, разработки и осуществления фа</w:t>
      </w:r>
      <w:r w:rsidRPr="00646C19">
        <w:t>р</w:t>
      </w:r>
      <w:r w:rsidRPr="00646C19">
        <w:t>мацевтической политики, а также функции в сфере государственного финанс</w:t>
      </w:r>
      <w:r w:rsidRPr="00646C19">
        <w:t>и</w:t>
      </w:r>
      <w:r w:rsidRPr="00646C19">
        <w:t>рования и установления цен на лекарственные препараты и продукцию мед</w:t>
      </w:r>
      <w:r w:rsidRPr="00646C19">
        <w:t>и</w:t>
      </w:r>
      <w:r w:rsidRPr="00646C19">
        <w:t>цинского назначения, принятия мер к внедрению в НСЗ инноваций и развития исследовательской деятельности в сфере, прежде всего, современных методов лечения и разработки политики Министерства по координации политики пр</w:t>
      </w:r>
      <w:r w:rsidRPr="00646C19">
        <w:t>о</w:t>
      </w:r>
      <w:r w:rsidRPr="00646C19">
        <w:t>ведения трансплантаций. Кроме того, в его функции также входит создание и</w:t>
      </w:r>
      <w:r w:rsidRPr="00646C19">
        <w:t>н</w:t>
      </w:r>
      <w:r w:rsidRPr="00646C19">
        <w:t>формационных систем и содействие во внедрении в НСЗ стратегий охраны зд</w:t>
      </w:r>
      <w:r w:rsidRPr="00646C19">
        <w:t>о</w:t>
      </w:r>
      <w:r w:rsidRPr="00646C19">
        <w:t>ровья и программ обеспечения качества, равно как и проведение политики в области потребления путем внесения в рамках полномочий государства пре</w:t>
      </w:r>
      <w:r w:rsidRPr="00646C19">
        <w:t>д</w:t>
      </w:r>
      <w:r w:rsidRPr="00646C19">
        <w:t>ложений по вопросам регулирования, которые содействовали бы защите и обеспечению прав потребителей и пользователей, разработке и внедрению де</w:t>
      </w:r>
      <w:r w:rsidRPr="00646C19">
        <w:t>й</w:t>
      </w:r>
      <w:r w:rsidRPr="00646C19">
        <w:t>ственных процедур по их защите, обеспечению межтерриториального ведо</w:t>
      </w:r>
      <w:r w:rsidRPr="00646C19">
        <w:t>м</w:t>
      </w:r>
      <w:r w:rsidRPr="00646C19">
        <w:t>ственного сотрудничества в этой сфере, равно как и содействию ассоциациям потребителей и пользователей и помощи в работе Совета потребителей и пол</w:t>
      </w:r>
      <w:r w:rsidRPr="00646C19">
        <w:t>ь</w:t>
      </w:r>
      <w:r w:rsidRPr="00646C19">
        <w:t>зователей.</w:t>
      </w:r>
    </w:p>
    <w:p w:rsidR="00646C19" w:rsidRPr="00646C19" w:rsidRDefault="00646C19" w:rsidP="00646C19">
      <w:pPr>
        <w:pStyle w:val="SingleTxtGR"/>
      </w:pPr>
      <w:r w:rsidRPr="00646C19">
        <w:t>39.</w:t>
      </w:r>
      <w:r w:rsidRPr="00646C19">
        <w:tab/>
        <w:t>Нормы, регулирующие меры по обеспечению права на охрану здоровья, изложены в комплексе документов, которые имеют силу закона: в Общем з</w:t>
      </w:r>
      <w:r w:rsidRPr="00646C19">
        <w:t>а</w:t>
      </w:r>
      <w:r w:rsidRPr="00646C19">
        <w:t>коне о здравоохранении (1986</w:t>
      </w:r>
      <w:r w:rsidR="005507FC">
        <w:t xml:space="preserve"> </w:t>
      </w:r>
      <w:r w:rsidRPr="00646C19">
        <w:t>год), Законе о координации и качестве услуг в Национальной системе здравоохранения (2003</w:t>
      </w:r>
      <w:r w:rsidR="005507FC">
        <w:t xml:space="preserve"> </w:t>
      </w:r>
      <w:r w:rsidRPr="00646C19">
        <w:t>год), Законе о гарантиях и рац</w:t>
      </w:r>
      <w:r w:rsidRPr="00646C19">
        <w:t>и</w:t>
      </w:r>
      <w:r w:rsidRPr="00646C19">
        <w:t>ональном использовании лекарственных средств (2006</w:t>
      </w:r>
      <w:r w:rsidR="005507FC">
        <w:t xml:space="preserve"> </w:t>
      </w:r>
      <w:r w:rsidRPr="00646C19">
        <w:t>год), Общем законе о государственном здравоохранении (2011</w:t>
      </w:r>
      <w:r w:rsidR="005507FC">
        <w:t xml:space="preserve"> </w:t>
      </w:r>
      <w:r w:rsidRPr="00646C19">
        <w:t>год) и в Королевском законодательном указе о неотложных мерах по обеспечению устойчивости Национальной сист</w:t>
      </w:r>
      <w:r w:rsidRPr="00646C19">
        <w:t>е</w:t>
      </w:r>
      <w:r w:rsidRPr="00646C19">
        <w:t>мы здравоохранения и повышению качества и безопасности (2012</w:t>
      </w:r>
      <w:r w:rsidR="005507FC">
        <w:t xml:space="preserve"> </w:t>
      </w:r>
      <w:r w:rsidRPr="00646C19">
        <w:t>год).</w:t>
      </w:r>
    </w:p>
    <w:p w:rsidR="00646C19" w:rsidRPr="00646C19" w:rsidRDefault="00646C19" w:rsidP="00646C19">
      <w:pPr>
        <w:pStyle w:val="SingleTxtGR"/>
      </w:pPr>
      <w:r w:rsidRPr="00646C19">
        <w:t>40.</w:t>
      </w:r>
      <w:r w:rsidRPr="00646C19">
        <w:tab/>
        <w:t>Целью Общего закона о здравоохранении, как прямо указано в его первой статье, заключается в регулировании всех видов деятельности в интересах э</w:t>
      </w:r>
      <w:r w:rsidRPr="00646C19">
        <w:t>ф</w:t>
      </w:r>
      <w:r w:rsidRPr="00646C19">
        <w:t>фективного осуществления конституционного права на охрану здоровья. В св</w:t>
      </w:r>
      <w:r w:rsidRPr="00646C19">
        <w:t>я</w:t>
      </w:r>
      <w:r w:rsidRPr="00646C19">
        <w:t>зи с этим закон предусматривает создание национальной системы здравоохр</w:t>
      </w:r>
      <w:r w:rsidRPr="00646C19">
        <w:t>а</w:t>
      </w:r>
      <w:r w:rsidRPr="00646C19">
        <w:t>нения со всеобщим охватом, государственным снабжением и финансированием из общего государственного бюджета, объединяющей в своем составе все службы здравоохранения, которые находятся в ведении центральной госуда</w:t>
      </w:r>
      <w:r w:rsidRPr="00646C19">
        <w:t>р</w:t>
      </w:r>
      <w:r w:rsidRPr="00646C19">
        <w:t>ственной администрации, и службы здравоохранения автономных сообществ. Принятие Общего закона о здравоохранении знаменует собой важные преобр</w:t>
      </w:r>
      <w:r w:rsidRPr="00646C19">
        <w:t>а</w:t>
      </w:r>
      <w:r w:rsidRPr="00646C19">
        <w:t>зования в испанской системе медицинского обслуживания, состоящие в об</w:t>
      </w:r>
      <w:r w:rsidRPr="00646C19">
        <w:t>ъ</w:t>
      </w:r>
      <w:r w:rsidRPr="00646C19">
        <w:t>единении в рамках одного ведомства всех существующих государственных м</w:t>
      </w:r>
      <w:r w:rsidRPr="00646C19">
        <w:t>е</w:t>
      </w:r>
      <w:r w:rsidRPr="00646C19">
        <w:t>дико-санитарных и социальных ресурсов на основе служб социального обесп</w:t>
      </w:r>
      <w:r w:rsidRPr="00646C19">
        <w:t>е</w:t>
      </w:r>
      <w:r w:rsidRPr="00646C19">
        <w:t>чения и в интеграции политики и деятельности по поощрению здорового образа жизни и профилактике заболеваний наряду с предоставлением медицинских и фармацевтических услуг. По</w:t>
      </w:r>
      <w:r w:rsidR="005507FC">
        <w:t xml:space="preserve"> </w:t>
      </w:r>
      <w:r w:rsidRPr="00646C19">
        <w:t>завершении процесса передачи полномочий в о</w:t>
      </w:r>
      <w:r w:rsidRPr="00646C19">
        <w:t>б</w:t>
      </w:r>
      <w:r w:rsidRPr="00646C19">
        <w:t>ласти медицинского обслуживания всем автономным сообществам возникла необходимость дополнить правовые основы Законом</w:t>
      </w:r>
      <w:r w:rsidR="005507FC">
        <w:t xml:space="preserve"> </w:t>
      </w:r>
      <w:r w:rsidRPr="00646C19">
        <w:t>№</w:t>
      </w:r>
      <w:r w:rsidR="005507FC">
        <w:t xml:space="preserve"> </w:t>
      </w:r>
      <w:r w:rsidRPr="00646C19">
        <w:t>16/2003 от 28</w:t>
      </w:r>
      <w:r w:rsidR="005507FC">
        <w:t xml:space="preserve"> </w:t>
      </w:r>
      <w:r w:rsidRPr="00646C19">
        <w:t>мая о к</w:t>
      </w:r>
      <w:r w:rsidRPr="00646C19">
        <w:t>о</w:t>
      </w:r>
      <w:r w:rsidRPr="00646C19">
        <w:t>ординации и качестве услуг в Национальной системе здравоохранения, который предусматривает меры по координации и сотрудничеству государственных о</w:t>
      </w:r>
      <w:r w:rsidRPr="00646C19">
        <w:t>р</w:t>
      </w:r>
      <w:r w:rsidRPr="00646C19">
        <w:t>ганов здравоохранения в целях обеспечения права граждан на охрану здоровья с общей задачей гарантировать равенство в доступе к услугам, качество этих услуг и участие в данном процессе самих граждан. Равным образом, целью Общего закона</w:t>
      </w:r>
      <w:r w:rsidR="005507FC">
        <w:t xml:space="preserve"> </w:t>
      </w:r>
      <w:r w:rsidRPr="00646C19">
        <w:t>№</w:t>
      </w:r>
      <w:r w:rsidR="005507FC">
        <w:t xml:space="preserve"> </w:t>
      </w:r>
      <w:r w:rsidRPr="00646C19">
        <w:t>33/2011 от 4</w:t>
      </w:r>
      <w:r w:rsidR="005507FC">
        <w:t xml:space="preserve"> </w:t>
      </w:r>
      <w:r w:rsidRPr="00646C19">
        <w:t>октября о государственном здравоохранении я</w:t>
      </w:r>
      <w:r w:rsidRPr="00646C19">
        <w:t>в</w:t>
      </w:r>
      <w:r w:rsidRPr="00646C19">
        <w:t>ляется создание основ, дающих жителям страны возможность обеспечивать и поддерживать самые высокие показатели здоровья путем осуществления пол</w:t>
      </w:r>
      <w:r w:rsidRPr="00646C19">
        <w:t>и</w:t>
      </w:r>
      <w:r w:rsidRPr="00646C19">
        <w:t>тики, программ, предоставления услуг и проведения силами органов госуда</w:t>
      </w:r>
      <w:r w:rsidRPr="00646C19">
        <w:t>р</w:t>
      </w:r>
      <w:r w:rsidRPr="00646C19">
        <w:t>ственной власти, предприятий и организаций граждан мер общего характера в этой сфере, которые позволили бы воздействовать на процессы и факторы, ок</w:t>
      </w:r>
      <w:r w:rsidRPr="00646C19">
        <w:t>а</w:t>
      </w:r>
      <w:r w:rsidRPr="00646C19">
        <w:t>зывающие наибольшее воздействие на здоровье, а также обеспечивать проф</w:t>
      </w:r>
      <w:r w:rsidRPr="00646C19">
        <w:t>и</w:t>
      </w:r>
      <w:r w:rsidRPr="00646C19">
        <w:t>лактику заболеваний и защищать и укреплять здоровье граждан – как каждого в отдельности, так и в целом.</w:t>
      </w:r>
    </w:p>
    <w:p w:rsidR="00646C19" w:rsidRPr="00646C19" w:rsidRDefault="00646C19" w:rsidP="00646C19">
      <w:pPr>
        <w:pStyle w:val="SingleTxtGR"/>
      </w:pPr>
      <w:r w:rsidRPr="00646C19">
        <w:t>41.</w:t>
      </w:r>
      <w:r w:rsidRPr="00646C19">
        <w:tab/>
        <w:t>Королевский законодательный указ № 16/2012 от 20 апреля о неотложных мерах по обеспечению устойчивости Национальной системы здравоохранения и повышению эффективности и надежности предоставляемых ею услуг и пол</w:t>
      </w:r>
      <w:r w:rsidRPr="00646C19">
        <w:t>о</w:t>
      </w:r>
      <w:r w:rsidRPr="00646C19">
        <w:t>жения, определяющие порядок принятия последующих мер, направлены на:</w:t>
      </w:r>
    </w:p>
    <w:p w:rsidR="00646C19" w:rsidRPr="00646C19" w:rsidRDefault="00646C19" w:rsidP="0072016A">
      <w:pPr>
        <w:pStyle w:val="Bullet1GR"/>
      </w:pPr>
      <w:r w:rsidRPr="00646C19">
        <w:t>обеспечение права граждан на охрану здоровья, следуя принципу униве</w:t>
      </w:r>
      <w:r w:rsidRPr="00646C19">
        <w:t>р</w:t>
      </w:r>
      <w:r w:rsidRPr="00646C19">
        <w:t>сальности;</w:t>
      </w:r>
    </w:p>
    <w:p w:rsidR="00646C19" w:rsidRPr="00646C19" w:rsidRDefault="00646C19" w:rsidP="0072016A">
      <w:pPr>
        <w:pStyle w:val="Bullet1GR"/>
      </w:pPr>
      <w:r w:rsidRPr="00646C19">
        <w:t>обеспечение равенства всех граждан и равных прав на доступ к услугам в рамках общего пакета;</w:t>
      </w:r>
    </w:p>
    <w:p w:rsidR="00646C19" w:rsidRPr="00646C19" w:rsidRDefault="00646C19" w:rsidP="0072016A">
      <w:pPr>
        <w:pStyle w:val="Bullet1GR"/>
      </w:pPr>
      <w:r w:rsidRPr="00646C19">
        <w:t>обеспечение контроля качества медицинской помощи;</w:t>
      </w:r>
    </w:p>
    <w:p w:rsidR="00646C19" w:rsidRPr="00646C19" w:rsidRDefault="00646C19" w:rsidP="0072016A">
      <w:pPr>
        <w:pStyle w:val="Bullet1GR"/>
      </w:pPr>
      <w:r w:rsidRPr="00646C19">
        <w:t xml:space="preserve">обеспечение бесплатного медицинского обслуживания и равенства прав на его получение во всех автономных сообществах; </w:t>
      </w:r>
    </w:p>
    <w:p w:rsidR="00646C19" w:rsidRPr="00646C19" w:rsidRDefault="00646C19" w:rsidP="0072016A">
      <w:pPr>
        <w:pStyle w:val="Bullet1GR"/>
      </w:pPr>
      <w:r w:rsidRPr="00646C19">
        <w:t>повышение качества медицинской помощи пациентам путем обеспечения необходимой преемственности в ее оказании (интеграция служб перви</w:t>
      </w:r>
      <w:r w:rsidRPr="00646C19">
        <w:t>ч</w:t>
      </w:r>
      <w:r w:rsidRPr="00646C19">
        <w:t>ной и специализированной помощи);</w:t>
      </w:r>
    </w:p>
    <w:p w:rsidR="00646C19" w:rsidRPr="00646C19" w:rsidRDefault="00646C19" w:rsidP="0072016A">
      <w:pPr>
        <w:pStyle w:val="Bullet1GR"/>
      </w:pPr>
      <w:r w:rsidRPr="00646C19">
        <w:t>повышение эффективности управления;</w:t>
      </w:r>
    </w:p>
    <w:p w:rsidR="00646C19" w:rsidRPr="00646C19" w:rsidRDefault="00646C19" w:rsidP="0072016A">
      <w:pPr>
        <w:pStyle w:val="Bullet1GR"/>
      </w:pPr>
      <w:r w:rsidRPr="00646C19">
        <w:t>усиление в интересах пациентов координации и сотрудничества автоно</w:t>
      </w:r>
      <w:r w:rsidRPr="00646C19">
        <w:t>м</w:t>
      </w:r>
      <w:r w:rsidRPr="00646C19">
        <w:t>ных служб, входящих в структуру Национальной системы здравоохран</w:t>
      </w:r>
      <w:r w:rsidRPr="00646C19">
        <w:t>е</w:t>
      </w:r>
      <w:r w:rsidRPr="00646C19">
        <w:t>ния;</w:t>
      </w:r>
    </w:p>
    <w:p w:rsidR="00646C19" w:rsidRPr="00646C19" w:rsidRDefault="00646C19" w:rsidP="0072016A">
      <w:pPr>
        <w:pStyle w:val="Bullet1GR"/>
      </w:pPr>
      <w:r w:rsidRPr="00646C19">
        <w:t>обеспечение устойчивости Государственной санитарной системы;</w:t>
      </w:r>
    </w:p>
    <w:p w:rsidR="00646C19" w:rsidRPr="00646C19" w:rsidRDefault="00646C19" w:rsidP="0072016A">
      <w:pPr>
        <w:pStyle w:val="Bullet1GR"/>
      </w:pPr>
      <w:r w:rsidRPr="00646C19">
        <w:t>совершенствование системы регулирования прав на получение медици</w:t>
      </w:r>
      <w:r w:rsidRPr="00646C19">
        <w:t>н</w:t>
      </w:r>
      <w:r w:rsidRPr="00646C19">
        <w:t>ской помощи в соответствии с действующими в Европейском союзе но</w:t>
      </w:r>
      <w:r w:rsidRPr="00646C19">
        <w:t>р</w:t>
      </w:r>
      <w:r w:rsidRPr="00646C19">
        <w:t>мами;</w:t>
      </w:r>
    </w:p>
    <w:p w:rsidR="00646C19" w:rsidRPr="00646C19" w:rsidRDefault="00646C19" w:rsidP="0072016A">
      <w:pPr>
        <w:pStyle w:val="Bullet1GR"/>
      </w:pPr>
      <w:r w:rsidRPr="00646C19">
        <w:t>содействие повышению профессиональной квалификации медицинских работников.</w:t>
      </w:r>
    </w:p>
    <w:p w:rsidR="00646C19" w:rsidRPr="00646C19" w:rsidRDefault="00646C19" w:rsidP="00646C19">
      <w:pPr>
        <w:pStyle w:val="SingleTxtGR"/>
      </w:pPr>
      <w:r w:rsidRPr="00646C19">
        <w:t>42.</w:t>
      </w:r>
      <w:r w:rsidRPr="00646C19">
        <w:tab/>
        <w:t>Медицинские услуги первого уровня − медико-санитарная помощь − х</w:t>
      </w:r>
      <w:r w:rsidRPr="00646C19">
        <w:t>а</w:t>
      </w:r>
      <w:r w:rsidRPr="00646C19">
        <w:t>рактеризуются широкой доступностью и техническим оснащением, достато</w:t>
      </w:r>
      <w:r w:rsidRPr="00646C19">
        <w:t>ч</w:t>
      </w:r>
      <w:r w:rsidRPr="00646C19">
        <w:t>ным для того, чтобы полностью решить проблемы со здоровьем, которые чаще всего становятся поводом для обращения за помощью. Что касается второго уровня − специализированной помощи</w:t>
      </w:r>
      <w:r w:rsidR="00BA086E">
        <w:t>,</w:t>
      </w:r>
      <w:r w:rsidRPr="00646C19">
        <w:t xml:space="preserve"> − то медицинские учреждения этой с</w:t>
      </w:r>
      <w:r w:rsidRPr="00646C19">
        <w:t>и</w:t>
      </w:r>
      <w:r w:rsidRPr="00646C19">
        <w:t>стемы располагают более совершенным и дорогостоящим диагностическим и/или терапевтическим инструментарием, эффективность которого была бы существенно ниже в случае их рассредоточения; доступ к услугам на уровне специализированной помощи обеспечивается прежде всего по линии отделений первичной медико-санитарной помощи, которые выписывают больным соотве</w:t>
      </w:r>
      <w:r w:rsidRPr="00646C19">
        <w:t>т</w:t>
      </w:r>
      <w:r w:rsidRPr="00646C19">
        <w:t>ствующие направления. Эти отделения, оказывающие населению ряд базовых услуг, расположены таким образом, что до них можно добраться из любой то</w:t>
      </w:r>
      <w:r w:rsidRPr="00646C19">
        <w:t>ч</w:t>
      </w:r>
      <w:r w:rsidRPr="00646C19">
        <w:t>ки местожительства в среднем за 15</w:t>
      </w:r>
      <w:r w:rsidR="005507FC">
        <w:t xml:space="preserve"> </w:t>
      </w:r>
      <w:r w:rsidRPr="00646C19">
        <w:t>минут. Основными учреждениями такого рода являются медицинские центры, в которых работают междисциплинарные группы специалистов, включающие семейных врачей, педиатров, младший м</w:t>
      </w:r>
      <w:r w:rsidRPr="00646C19">
        <w:t>е</w:t>
      </w:r>
      <w:r w:rsidRPr="00646C19">
        <w:t>дицинский и административный персонал; кроме того, в состав групп могут входить социальные работники, патронажные сестры и физиотерапевты. Де</w:t>
      </w:r>
      <w:r w:rsidRPr="00646C19">
        <w:t>й</w:t>
      </w:r>
      <w:r w:rsidRPr="00646C19">
        <w:t>ствуя в общинах, они выполняют задачи по побуждению к здоровому образу жизни и профилактике заболеваний. О физической доступности первичной м</w:t>
      </w:r>
      <w:r w:rsidRPr="00646C19">
        <w:t>е</w:t>
      </w:r>
      <w:r w:rsidRPr="00646C19">
        <w:t>дико-санитарной помощи и равноправии в доступе к ней лучше всего свид</w:t>
      </w:r>
      <w:r w:rsidRPr="00646C19">
        <w:t>е</w:t>
      </w:r>
      <w:r w:rsidRPr="00646C19">
        <w:t xml:space="preserve">тельствует тот факт, что в случае необходимости сотрудники данной службы прибывают к гражданам на дом. </w:t>
      </w:r>
    </w:p>
    <w:p w:rsidR="00646C19" w:rsidRPr="00646C19" w:rsidRDefault="00646C19" w:rsidP="00646C19">
      <w:pPr>
        <w:pStyle w:val="SingleTxtGR"/>
      </w:pPr>
      <w:r w:rsidRPr="00646C19">
        <w:t>43.</w:t>
      </w:r>
      <w:r w:rsidRPr="00646C19">
        <w:tab/>
        <w:t>Специализированная помощь предоставляется в специализированных центрах и больницах путем амбулаторного или стационарного лечения. После его завершения пациенты с соответствующей клинической информацией вновь направляются к врачам учреждений первичной медико-санитарной помощи, к</w:t>
      </w:r>
      <w:r w:rsidRPr="00646C19">
        <w:t>о</w:t>
      </w:r>
      <w:r w:rsidRPr="00646C19">
        <w:t>торые располагают всеми данными истории болезни пациентов, что позволяет обеспечить надлежащее клиническое наблюдение и общее лечение. Это дает возможность оказания непрерывной медицинской помощи на условиях раве</w:t>
      </w:r>
      <w:r w:rsidRPr="00646C19">
        <w:t>н</w:t>
      </w:r>
      <w:r w:rsidRPr="00646C19">
        <w:t>ства и независимо от места проживания пациентов и особенностей автономных территорий, поскольку помощь оказывается пациенту даже на дому. В рамках такой организационной структуры необходимые средства выделяются, прежде всего, исходя из системы планирования, учитывающей демографические и ге</w:t>
      </w:r>
      <w:r w:rsidRPr="00646C19">
        <w:t>о</w:t>
      </w:r>
      <w:r w:rsidRPr="00646C19">
        <w:t>графические особенности выделенных районов, а именно медицинских окр</w:t>
      </w:r>
      <w:r w:rsidRPr="00646C19">
        <w:t>у</w:t>
      </w:r>
      <w:r w:rsidRPr="00646C19">
        <w:t>гов, которые определяются каждым автономным сообществом с учетом самых различных факторов и в первую очередь фактора соответствия концепции пр</w:t>
      </w:r>
      <w:r w:rsidRPr="00646C19">
        <w:t>и</w:t>
      </w:r>
      <w:r w:rsidRPr="00646C19">
        <w:t>ближения услуг к пользователям. Численность населения в каждом медици</w:t>
      </w:r>
      <w:r w:rsidRPr="00646C19">
        <w:t>н</w:t>
      </w:r>
      <w:r w:rsidRPr="00646C19">
        <w:t>ском округе колеблется в пределах 200</w:t>
      </w:r>
      <w:r w:rsidR="00BA086E">
        <w:t> </w:t>
      </w:r>
      <w:r w:rsidRPr="00646C19">
        <w:t>000−250</w:t>
      </w:r>
      <w:r w:rsidR="00BA086E">
        <w:t> </w:t>
      </w:r>
      <w:r w:rsidRPr="00646C19">
        <w:t>000</w:t>
      </w:r>
      <w:r w:rsidR="005507FC">
        <w:t xml:space="preserve"> </w:t>
      </w:r>
      <w:r w:rsidRPr="00646C19">
        <w:t>жителей. Тем не менее в силу особенностей каждого округа данный параметр является лишь ориентир</w:t>
      </w:r>
      <w:r w:rsidRPr="00646C19">
        <w:t>о</w:t>
      </w:r>
      <w:r w:rsidRPr="00646C19">
        <w:t>вочным.</w:t>
      </w:r>
    </w:p>
    <w:p w:rsidR="00646C19" w:rsidRPr="00646C19" w:rsidRDefault="00646C19" w:rsidP="00646C19">
      <w:pPr>
        <w:pStyle w:val="SingleTxtGR"/>
      </w:pPr>
      <w:r w:rsidRPr="00646C19">
        <w:t>44.</w:t>
      </w:r>
      <w:r w:rsidRPr="00646C19">
        <w:tab/>
        <w:t>Медицинские округа, в свою очередь, делятся на базовые медицинские зоны, составляющие территориальную структуру системы первичной медико-санитарной помощи, в которых медицинским обслуживанием занимаются м</w:t>
      </w:r>
      <w:r w:rsidRPr="00646C19">
        <w:t>е</w:t>
      </w:r>
      <w:r w:rsidRPr="00646C19">
        <w:t>дицинские центры; размеры базовой медицинской зоны определяются исходя из плотности населения, эпидемиологических характеристик и ресурсов соотве</w:t>
      </w:r>
      <w:r w:rsidRPr="00646C19">
        <w:t>т</w:t>
      </w:r>
      <w:r w:rsidRPr="00646C19">
        <w:t>ствующего района. Число жителей, приписанных к каждой базовой медици</w:t>
      </w:r>
      <w:r w:rsidRPr="00646C19">
        <w:t>н</w:t>
      </w:r>
      <w:r w:rsidRPr="00646C19">
        <w:t>ской зоне, колеблется в пределах от 5</w:t>
      </w:r>
      <w:r w:rsidR="00BA086E">
        <w:t> </w:t>
      </w:r>
      <w:r w:rsidRPr="00646C19">
        <w:t>000 до 25</w:t>
      </w:r>
      <w:r w:rsidR="00BA086E">
        <w:t> </w:t>
      </w:r>
      <w:r w:rsidRPr="00646C19">
        <w:t>000</w:t>
      </w:r>
      <w:r w:rsidR="005507FC">
        <w:t xml:space="preserve"> </w:t>
      </w:r>
      <w:r w:rsidRPr="00646C19">
        <w:t>человек. В каждом округе действует больница общего профиля, выступающая в качестве опорного центра специализированной медицинской помощи. В ряде медицинских служб сущ</w:t>
      </w:r>
      <w:r w:rsidRPr="00646C19">
        <w:t>е</w:t>
      </w:r>
      <w:r w:rsidRPr="00646C19">
        <w:t>ствуют организационные структуры, занимающие промежуточное положение между медицинским округом и базовой зоной. Услуги покрываются Наци</w:t>
      </w:r>
      <w:r w:rsidRPr="00646C19">
        <w:t>о</w:t>
      </w:r>
      <w:r w:rsidRPr="00646C19">
        <w:t>нальной системой здравоохранения (НСЗ), которая предлагает гражданам ко</w:t>
      </w:r>
      <w:r w:rsidRPr="00646C19">
        <w:t>м</w:t>
      </w:r>
      <w:r w:rsidRPr="00646C19">
        <w:t>плекс услуг, включающих профилактические, диагностические, лечебные, во</w:t>
      </w:r>
      <w:r w:rsidRPr="00646C19">
        <w:t>с</w:t>
      </w:r>
      <w:r w:rsidRPr="00646C19">
        <w:t>становительные мероприятия и услуги по укреплению и сохранению здоровья.</w:t>
      </w:r>
    </w:p>
    <w:p w:rsidR="00646C19" w:rsidRPr="00646C19" w:rsidRDefault="00646C19" w:rsidP="00646C19">
      <w:pPr>
        <w:pStyle w:val="SingleTxtGR"/>
      </w:pPr>
      <w:r w:rsidRPr="00646C19">
        <w:t>45.</w:t>
      </w:r>
      <w:r w:rsidRPr="00646C19">
        <w:tab/>
        <w:t>Как в системе первичной медико-санитарной помощи, так и в системах специализированной и неотложной медицинской помощи, пациенты обслуж</w:t>
      </w:r>
      <w:r w:rsidRPr="00646C19">
        <w:t>и</w:t>
      </w:r>
      <w:r w:rsidRPr="00646C19">
        <w:t>ваются бесплатно; оплата в пунктах оказания медицинской помощи не взимае</w:t>
      </w:r>
      <w:r w:rsidRPr="00646C19">
        <w:t>т</w:t>
      </w:r>
      <w:r w:rsidRPr="00646C19">
        <w:t>ся. Доступ к государственным медицинским услугам предоставляется на осн</w:t>
      </w:r>
      <w:r w:rsidRPr="00646C19">
        <w:t>о</w:t>
      </w:r>
      <w:r w:rsidRPr="00646C19">
        <w:t>вании выдаваемой всеми медицинскими учреждениями личной медицинской карточки. На основании данного документа каждый гражданин может польз</w:t>
      </w:r>
      <w:r w:rsidRPr="00646C19">
        <w:t>о</w:t>
      </w:r>
      <w:r w:rsidRPr="00646C19">
        <w:t>ваться услугами в рамках всей НСЗ. В Испании правом на охрану здоровья и медицинскую помощь, оплачиваемую за счет государственных средств через Национальную систему здравоохранения, пользуются лица, являющиеся:</w:t>
      </w:r>
    </w:p>
    <w:p w:rsidR="00646C19" w:rsidRPr="00646C19" w:rsidRDefault="00646C19" w:rsidP="00BA086E">
      <w:pPr>
        <w:pStyle w:val="Bullet1GR"/>
      </w:pPr>
      <w:r w:rsidRPr="00646C19">
        <w:t>наемными или самостоятельно занятыми работниками, охваченные С</w:t>
      </w:r>
      <w:r w:rsidRPr="00646C19">
        <w:t>и</w:t>
      </w:r>
      <w:r w:rsidRPr="00646C19">
        <w:t xml:space="preserve">стемой социального страхования, соблюдающие все предусмотренные условия или приравненные к соблюдающим эти условия; </w:t>
      </w:r>
    </w:p>
    <w:p w:rsidR="00646C19" w:rsidRPr="00646C19" w:rsidRDefault="00646C19" w:rsidP="00BA086E">
      <w:pPr>
        <w:pStyle w:val="Bullet1GR"/>
      </w:pPr>
      <w:r w:rsidRPr="00646C19">
        <w:t>пенсионерами, получающими пенсию в Системе социального страхов</w:t>
      </w:r>
      <w:r w:rsidRPr="00646C19">
        <w:t>а</w:t>
      </w:r>
      <w:r w:rsidRPr="00646C19">
        <w:t>ния;</w:t>
      </w:r>
    </w:p>
    <w:p w:rsidR="00646C19" w:rsidRPr="00646C19" w:rsidRDefault="00646C19" w:rsidP="00BA086E">
      <w:pPr>
        <w:pStyle w:val="Bullet1GR"/>
      </w:pPr>
      <w:r w:rsidRPr="00646C19">
        <w:t>лицами, регулярно получающими другие пособия, включая пособия и субсидии по безработице;</w:t>
      </w:r>
    </w:p>
    <w:p w:rsidR="00646C19" w:rsidRPr="00646C19" w:rsidRDefault="00646C19" w:rsidP="00BA086E">
      <w:pPr>
        <w:pStyle w:val="Bullet1GR"/>
      </w:pPr>
      <w:r w:rsidRPr="00646C19">
        <w:t>лицами, утратившими право на получение пособия и субсидии по безр</w:t>
      </w:r>
      <w:r w:rsidRPr="00646C19">
        <w:t>а</w:t>
      </w:r>
      <w:r w:rsidRPr="00646C19">
        <w:t>ботице и зарегистрированные в качестве ищущих работу, если при этом отсутствуют сведения об их страховании в какой-либо иной системе, и постоянно проживающие в Испании.</w:t>
      </w:r>
    </w:p>
    <w:p w:rsidR="00646C19" w:rsidRPr="00646C19" w:rsidRDefault="00646C19" w:rsidP="00646C19">
      <w:pPr>
        <w:pStyle w:val="SingleTxtGR"/>
      </w:pPr>
      <w:r w:rsidRPr="00646C19">
        <w:t>46.</w:t>
      </w:r>
      <w:r w:rsidRPr="00646C19">
        <w:tab/>
        <w:t>В случае, когда не соблюдено ни одно из перечисленных выше условий, граждане Испании, проживающие в Испании граждане любого государства – члена Европейского союза, Европейского экономического сообщества или Швейцарии, а также иностранцы, имеющие вид на жительство на территории Испании, могут получить статус застрахованного при условии подтверждения, что уровень их доходов не превышает установленных пределов</w:t>
      </w:r>
      <w:r w:rsidR="00D757EA">
        <w:rPr>
          <w:rStyle w:val="ac"/>
        </w:rPr>
        <w:footnoteReference w:id="3"/>
      </w:r>
      <w:r w:rsidRPr="00646C19">
        <w:t>. В случае пр</w:t>
      </w:r>
      <w:r w:rsidRPr="00646C19">
        <w:t>о</w:t>
      </w:r>
      <w:r w:rsidRPr="00646C19">
        <w:t>живания в Испании статус застрахованного получает супруг (супруга) или пр</w:t>
      </w:r>
      <w:r w:rsidRPr="00646C19">
        <w:t>и</w:t>
      </w:r>
      <w:r w:rsidRPr="00646C19">
        <w:t>равненное к ним лицо, которое обязано удостоверить факт официального оформления этого положения; кроме того, такие же права имеет бывший супруг (супруга) или супруг (супруга), официально живущие отдельно, но находящи</w:t>
      </w:r>
      <w:r w:rsidRPr="00646C19">
        <w:t>е</w:t>
      </w:r>
      <w:r w:rsidRPr="00646C19">
        <w:t>ся на иждивении застрахованного лица, потомки или приравненные к ним лица застрахованного лица или их супруга (супруг), даже если последний официал</w:t>
      </w:r>
      <w:r w:rsidRPr="00646C19">
        <w:t>ь</w:t>
      </w:r>
      <w:r w:rsidRPr="00646C19">
        <w:t>но проживает раздельно, бывший супруг (супруга), находящиеся на иждивении застрахованного лица, или его гражданский супруг (супруга), также находящ</w:t>
      </w:r>
      <w:r w:rsidRPr="00646C19">
        <w:t>и</w:t>
      </w:r>
      <w:r w:rsidRPr="00646C19">
        <w:t>еся на иждивении застрахованного лица, если такие потомки моложе 26</w:t>
      </w:r>
      <w:r w:rsidR="005507FC">
        <w:t xml:space="preserve"> </w:t>
      </w:r>
      <w:r w:rsidRPr="00646C19">
        <w:t>лет или лишены трудоспособности на 65</w:t>
      </w:r>
      <w:r w:rsidR="005507FC">
        <w:t>%</w:t>
      </w:r>
      <w:r w:rsidRPr="00646C19">
        <w:t xml:space="preserve"> и больше.</w:t>
      </w:r>
    </w:p>
    <w:p w:rsidR="00646C19" w:rsidRPr="00646C19" w:rsidRDefault="00646C19" w:rsidP="00646C19">
      <w:pPr>
        <w:pStyle w:val="SingleTxtGR"/>
      </w:pPr>
      <w:r w:rsidRPr="00646C19">
        <w:t>47.</w:t>
      </w:r>
      <w:r w:rsidRPr="00646C19">
        <w:tab/>
        <w:t>Лица, не имеющие статуса застрахованного лица или бенефициара, могут получать медицинские услуги при условии оплаты соответствующей суммы или взноса на основе подписания особого соглашения. Лица, подпадающие под действие специального режима социального страхования, относящегося к сфере ведения Кассы взаимопомощи гражданских государственных служащих, Кассы взаимопомощи сотрудников судебной системы и Социального института В</w:t>
      </w:r>
      <w:r w:rsidRPr="00646C19">
        <w:t>о</w:t>
      </w:r>
      <w:r w:rsidRPr="00646C19">
        <w:t>оруженных сил, могут по своему выбору пользоваться услугами государстве</w:t>
      </w:r>
      <w:r w:rsidRPr="00646C19">
        <w:t>н</w:t>
      </w:r>
      <w:r w:rsidRPr="00646C19">
        <w:t>ной (НСЗ) или частной (страховые компании) медицины. Члены этих касс вз</w:t>
      </w:r>
      <w:r w:rsidRPr="00646C19">
        <w:t>а</w:t>
      </w:r>
      <w:r w:rsidRPr="00646C19">
        <w:t>имопомощи, выбирающие вариант получения медицинской помощи через стр</w:t>
      </w:r>
      <w:r w:rsidRPr="00646C19">
        <w:t>а</w:t>
      </w:r>
      <w:r w:rsidRPr="00646C19">
        <w:t>ховые компании, обслуживаются в медицинских учреждениях, с которыми у этих компаний заключены договоры; в случае обращения за медицинской п</w:t>
      </w:r>
      <w:r w:rsidRPr="00646C19">
        <w:t>о</w:t>
      </w:r>
      <w:r w:rsidRPr="00646C19">
        <w:t>мощью в государственные медицинские учреждения расходы на обслуживание возлагаются на третью сторону. Определением статуса застрахованного лица или бенефициара и контролем за его поддержанием занимается Национальный институт социального страхования силами своих отделений в провинциях, и после признания лица застрахованным или бенефициаром соответствующие о</w:t>
      </w:r>
      <w:r w:rsidRPr="00646C19">
        <w:t>р</w:t>
      </w:r>
      <w:r w:rsidRPr="00646C19">
        <w:t>ганы управления здравоохранением реализуют его право на получение мед</w:t>
      </w:r>
      <w:r w:rsidRPr="00646C19">
        <w:t>и</w:t>
      </w:r>
      <w:r w:rsidRPr="00646C19">
        <w:t>цинской помощи. Доступ граждан к получению медицинских услуг обеспеч</w:t>
      </w:r>
      <w:r w:rsidRPr="00646C19">
        <w:t>и</w:t>
      </w:r>
      <w:r w:rsidRPr="00646C19">
        <w:t>вается путем выдачи им личных медицинских карточек. Национальный инст</w:t>
      </w:r>
      <w:r w:rsidRPr="00646C19">
        <w:t>и</w:t>
      </w:r>
      <w:r w:rsidRPr="00646C19">
        <w:t>тут социального страхования передает органам управления здравоохранением необходимые данные, позволяющие в любой момент и без получения специал</w:t>
      </w:r>
      <w:r w:rsidRPr="00646C19">
        <w:t>ь</w:t>
      </w:r>
      <w:r w:rsidRPr="00646C19">
        <w:t>ного согласия заинтересованного лица удостовериться в том, что необходимые для признания права на получение медицинской помощи условия и требования соблюдаются должным образом.</w:t>
      </w:r>
    </w:p>
    <w:p w:rsidR="00646C19" w:rsidRPr="00646C19" w:rsidRDefault="00D757EA" w:rsidP="00646C19">
      <w:pPr>
        <w:pStyle w:val="SingleTxtGR"/>
      </w:pPr>
      <w:r>
        <w:br w:type="page"/>
      </w:r>
      <w:r w:rsidR="00646C19" w:rsidRPr="00646C19">
        <w:t>48.</w:t>
      </w:r>
      <w:r w:rsidR="00646C19" w:rsidRPr="00646C19">
        <w:tab/>
        <w:t>Согласно докладу ОЭСР за 2013</w:t>
      </w:r>
      <w:r w:rsidR="005507FC">
        <w:t xml:space="preserve"> </w:t>
      </w:r>
      <w:r w:rsidR="00646C19" w:rsidRPr="00646C19">
        <w:t>год, 99</w:t>
      </w:r>
      <w:r w:rsidR="005507FC">
        <w:t>%</w:t>
      </w:r>
      <w:r w:rsidR="00646C19" w:rsidRPr="00646C19">
        <w:t xml:space="preserve"> населения Испании являются держателями полиса государственного медицинского страхования, а 13,4</w:t>
      </w:r>
      <w:r w:rsidR="005507FC">
        <w:t>%</w:t>
      </w:r>
      <w:r>
        <w:t> </w:t>
      </w:r>
      <w:r w:rsidR="00646C19" w:rsidRPr="00646C19">
        <w:t>населения имеют, помимо этого, дополнительную частную медицинскую страховку. Таким образом, медицинская страховка есть практически у всех и</w:t>
      </w:r>
      <w:r w:rsidR="00646C19" w:rsidRPr="00646C19">
        <w:t>с</w:t>
      </w:r>
      <w:r w:rsidR="00646C19" w:rsidRPr="00646C19">
        <w:t>панских граждан и жителей страны, получивших такое право на основании двусторонних соглашений. Королевский законодательный указ</w:t>
      </w:r>
      <w:r w:rsidR="005507FC">
        <w:t xml:space="preserve"> </w:t>
      </w:r>
      <w:r w:rsidR="00646C19" w:rsidRPr="00646C19">
        <w:t>№</w:t>
      </w:r>
      <w:r w:rsidR="005507FC">
        <w:t xml:space="preserve"> </w:t>
      </w:r>
      <w:r w:rsidR="00646C19" w:rsidRPr="00646C19">
        <w:t>16/2012 раз</w:t>
      </w:r>
      <w:r w:rsidR="00646C19" w:rsidRPr="00646C19">
        <w:t>ъ</w:t>
      </w:r>
      <w:r w:rsidR="00646C19" w:rsidRPr="00646C19">
        <w:t>яснил и согласовал порядок доступа к услугам государственного здравоохран</w:t>
      </w:r>
      <w:r w:rsidR="00646C19" w:rsidRPr="00646C19">
        <w:t>е</w:t>
      </w:r>
      <w:r w:rsidR="00646C19" w:rsidRPr="00646C19">
        <w:t>ния, введя понятия застрахованного лица и бенефициара и определив порядок действия реального юридического механизма признания на условиях равнопр</w:t>
      </w:r>
      <w:r w:rsidR="00646C19" w:rsidRPr="00646C19">
        <w:t>а</w:t>
      </w:r>
      <w:r w:rsidR="00646C19" w:rsidRPr="00646C19">
        <w:t>вия этих понятий, применяемых в отношении как граждан Испании, так и ин</w:t>
      </w:r>
      <w:r w:rsidR="00646C19" w:rsidRPr="00646C19">
        <w:t>о</w:t>
      </w:r>
      <w:r w:rsidR="00646C19" w:rsidRPr="00646C19">
        <w:t>странных граждан, постоянно проживающих в Испании на законных основан</w:t>
      </w:r>
      <w:r w:rsidR="00646C19" w:rsidRPr="00646C19">
        <w:t>и</w:t>
      </w:r>
      <w:r w:rsidR="00646C19" w:rsidRPr="00646C19">
        <w:t>ях. Согласно новым положениям, содержащимся в Королевском законодател</w:t>
      </w:r>
      <w:r w:rsidR="00646C19" w:rsidRPr="00646C19">
        <w:t>ь</w:t>
      </w:r>
      <w:r w:rsidR="00646C19" w:rsidRPr="00646C19">
        <w:t>ном указе</w:t>
      </w:r>
      <w:r w:rsidR="005507FC">
        <w:t xml:space="preserve"> </w:t>
      </w:r>
      <w:r w:rsidR="00646C19" w:rsidRPr="00646C19">
        <w:t>№</w:t>
      </w:r>
      <w:r w:rsidR="005507FC">
        <w:t xml:space="preserve"> </w:t>
      </w:r>
      <w:r w:rsidR="00646C19" w:rsidRPr="00646C19">
        <w:t>16/2012 и внесшим изменения в статью 3</w:t>
      </w:r>
      <w:r>
        <w:t>-тер</w:t>
      </w:r>
      <w:r w:rsidR="00646C19" w:rsidRPr="00646C19">
        <w:t xml:space="preserve"> Закона №</w:t>
      </w:r>
      <w:r w:rsidR="005507FC">
        <w:t xml:space="preserve"> </w:t>
      </w:r>
      <w:r w:rsidR="00646C19" w:rsidRPr="00646C19">
        <w:t>16/2003 от 28</w:t>
      </w:r>
      <w:r w:rsidR="005507FC">
        <w:t xml:space="preserve"> </w:t>
      </w:r>
      <w:r w:rsidR="00646C19" w:rsidRPr="00646C19">
        <w:t>мая о координации и качестве услуг в Национальной системе здравоохран</w:t>
      </w:r>
      <w:r w:rsidR="00646C19" w:rsidRPr="00646C19">
        <w:t>е</w:t>
      </w:r>
      <w:r w:rsidR="00646C19" w:rsidRPr="00646C19">
        <w:t>ния, незарегистрированные иностранцы, не имеющие статуса резидента в И</w:t>
      </w:r>
      <w:r w:rsidR="00646C19" w:rsidRPr="00646C19">
        <w:t>с</w:t>
      </w:r>
      <w:r w:rsidR="00646C19" w:rsidRPr="00646C19">
        <w:t>пании, могут получать медицинскую помощь за счет государственных средств через национальную систему здравоохранения в следующих случаях:</w:t>
      </w:r>
    </w:p>
    <w:p w:rsidR="00646C19" w:rsidRPr="00646C19" w:rsidRDefault="00D757EA" w:rsidP="00646C19">
      <w:pPr>
        <w:pStyle w:val="SingleTxtGR"/>
      </w:pPr>
      <w:r>
        <w:tab/>
      </w:r>
      <w:r w:rsidR="00646C19" w:rsidRPr="00646C19">
        <w:t>a)</w:t>
      </w:r>
      <w:r w:rsidR="00646C19" w:rsidRPr="00646C19">
        <w:tab/>
        <w:t>в экстренной ситуации в связи с тяжелым заболеванием или несчастным случаем любой природы до момента выписки из медицинского учреждения;</w:t>
      </w:r>
    </w:p>
    <w:p w:rsidR="00646C19" w:rsidRPr="00646C19" w:rsidRDefault="00D757EA" w:rsidP="00646C19">
      <w:pPr>
        <w:pStyle w:val="SingleTxtGR"/>
      </w:pPr>
      <w:r>
        <w:tab/>
      </w:r>
      <w:r w:rsidR="00646C19" w:rsidRPr="00646C19">
        <w:t>b)</w:t>
      </w:r>
      <w:r w:rsidR="00646C19" w:rsidRPr="00646C19">
        <w:tab/>
        <w:t>в целях оказания помощи по беременности, при родах и в послер</w:t>
      </w:r>
      <w:r w:rsidR="00646C19" w:rsidRPr="00646C19">
        <w:t>о</w:t>
      </w:r>
      <w:r w:rsidR="00646C19" w:rsidRPr="00646C19">
        <w:t>довой период;</w:t>
      </w:r>
    </w:p>
    <w:p w:rsidR="00646C19" w:rsidRPr="00646C19" w:rsidRDefault="00D757EA" w:rsidP="00646C19">
      <w:pPr>
        <w:pStyle w:val="SingleTxtGR"/>
      </w:pPr>
      <w:r>
        <w:tab/>
      </w:r>
      <w:r w:rsidR="00646C19" w:rsidRPr="00646C19">
        <w:t>c)</w:t>
      </w:r>
      <w:r w:rsidR="00646C19" w:rsidRPr="00646C19">
        <w:tab/>
        <w:t>кроме того, в любом случае иностранцы младше 18</w:t>
      </w:r>
      <w:r w:rsidR="005507FC">
        <w:t xml:space="preserve"> </w:t>
      </w:r>
      <w:r w:rsidR="00646C19" w:rsidRPr="00646C19">
        <w:t>лет имеют пр</w:t>
      </w:r>
      <w:r w:rsidR="00646C19" w:rsidRPr="00646C19">
        <w:t>а</w:t>
      </w:r>
      <w:r w:rsidR="00646C19" w:rsidRPr="00646C19">
        <w:t>во на получение любой медицинской помощи на тех же условиях, что и испа</w:t>
      </w:r>
      <w:r w:rsidR="00646C19" w:rsidRPr="00646C19">
        <w:t>н</w:t>
      </w:r>
      <w:r w:rsidR="00646C19" w:rsidRPr="00646C19">
        <w:t>ские граждане.</w:t>
      </w:r>
    </w:p>
    <w:p w:rsidR="00646C19" w:rsidRPr="00646C19" w:rsidRDefault="00646C19" w:rsidP="00646C19">
      <w:pPr>
        <w:pStyle w:val="SingleTxtGR"/>
      </w:pPr>
      <w:r w:rsidRPr="00646C19">
        <w:t>49.</w:t>
      </w:r>
      <w:r w:rsidRPr="00646C19">
        <w:tab/>
        <w:t>НСЗ предлагает гражданам комплекс услуг, включающих профилактич</w:t>
      </w:r>
      <w:r w:rsidRPr="00646C19">
        <w:t>е</w:t>
      </w:r>
      <w:r w:rsidRPr="00646C19">
        <w:t>ские, диагностические, лечебные, восстановительные мероприятия и услуги по укреплению и сохранению здоровья. Базовый пакет услуг определен Зак</w:t>
      </w:r>
      <w:r w:rsidRPr="00646C19">
        <w:t>о</w:t>
      </w:r>
      <w:r w:rsidRPr="00646C19">
        <w:t>ном</w:t>
      </w:r>
      <w:r w:rsidR="00D757EA">
        <w:t> </w:t>
      </w:r>
      <w:r w:rsidRPr="00646C19">
        <w:t>№</w:t>
      </w:r>
      <w:r w:rsidR="00D757EA">
        <w:t> </w:t>
      </w:r>
      <w:r w:rsidRPr="00646C19">
        <w:t>16/2003 от 28</w:t>
      </w:r>
      <w:r w:rsidR="005507FC">
        <w:t xml:space="preserve"> </w:t>
      </w:r>
      <w:r w:rsidRPr="00646C19">
        <w:t>мая о координации и качестве услуг в Национальной с</w:t>
      </w:r>
      <w:r w:rsidRPr="00646C19">
        <w:t>и</w:t>
      </w:r>
      <w:r w:rsidRPr="00646C19">
        <w:t>стеме здравоохранения и Королевским декретом</w:t>
      </w:r>
      <w:r w:rsidR="005507FC">
        <w:t xml:space="preserve"> </w:t>
      </w:r>
      <w:r w:rsidRPr="00646C19">
        <w:t>№</w:t>
      </w:r>
      <w:r w:rsidR="005507FC">
        <w:t xml:space="preserve"> </w:t>
      </w:r>
      <w:r w:rsidRPr="00646C19">
        <w:t>1030/2006 от 15</w:t>
      </w:r>
      <w:r w:rsidR="005507FC">
        <w:t xml:space="preserve"> </w:t>
      </w:r>
      <w:r w:rsidRPr="00646C19">
        <w:t>сентября, определившим пакет общих услуг НСЗ и порядок его предоставления. В дал</w:t>
      </w:r>
      <w:r w:rsidRPr="00646C19">
        <w:t>ь</w:t>
      </w:r>
      <w:r w:rsidRPr="00646C19">
        <w:t>нейшем Королевский законодательный указ</w:t>
      </w:r>
      <w:r w:rsidR="005507FC">
        <w:t xml:space="preserve"> </w:t>
      </w:r>
      <w:r w:rsidRPr="00646C19">
        <w:t>№</w:t>
      </w:r>
      <w:r w:rsidR="005507FC">
        <w:t xml:space="preserve"> </w:t>
      </w:r>
      <w:r w:rsidRPr="00646C19">
        <w:t>16/2012 внес изменения в пакет общих услуг НСЗ, предусмотрев ряд его вариантов:</w:t>
      </w:r>
    </w:p>
    <w:p w:rsidR="00646C19" w:rsidRPr="00646C19" w:rsidRDefault="00646C19" w:rsidP="00D757EA">
      <w:pPr>
        <w:pStyle w:val="Bullet1GR"/>
      </w:pPr>
      <w:r w:rsidRPr="00646C19">
        <w:t>общий дополнительный пакет услуг НСЗ, включающий лекарственное обеспечение, услуги ортопротезирования, предоставление диетических продуктов и обеспечение не в экстренном порядке санитарным транспо</w:t>
      </w:r>
      <w:r w:rsidRPr="00646C19">
        <w:t>р</w:t>
      </w:r>
      <w:r w:rsidRPr="00646C19">
        <w:t>том в случае, если это требуется для проведения лечения. При разработке данного пакета учитывались требования эффективности, оперативности, результативности, безопасности и лечебного воздействия, равно как и преимущества и варианты оказания медицинской помощи, потребности заботы о социально незащищенных группах и группах риска, равно как экономические и организационные соображения. Вопросы использования в НСЗ новых технических средств, технологий или процедур подлежат предварительному изучению силами действующей в рамках этой Сист</w:t>
      </w:r>
      <w:r w:rsidRPr="00646C19">
        <w:t>е</w:t>
      </w:r>
      <w:r w:rsidRPr="00646C19">
        <w:t>мы Испанской сети агентств по оценке медицинских технологий и услуг, заключения которой носят обязательный характер;</w:t>
      </w:r>
    </w:p>
    <w:p w:rsidR="00646C19" w:rsidRPr="00646C19" w:rsidRDefault="00646C19" w:rsidP="00D757EA">
      <w:pPr>
        <w:pStyle w:val="Bullet1GR"/>
      </w:pPr>
      <w:r w:rsidRPr="00646C19">
        <w:t>общий пакет услуг НСЗ, включающий меры, услуги или технические средства, носящие неосновной и/или дополнительный характер или же помогающие улучшить самочувствие лиц, страдающих хроническими з</w:t>
      </w:r>
      <w:r w:rsidRPr="00646C19">
        <w:t>а</w:t>
      </w:r>
      <w:r w:rsidRPr="00646C19">
        <w:t>болеваниями;</w:t>
      </w:r>
    </w:p>
    <w:p w:rsidR="00646C19" w:rsidRPr="00646C19" w:rsidRDefault="00646C19" w:rsidP="00D757EA">
      <w:pPr>
        <w:pStyle w:val="Bullet1GR"/>
      </w:pPr>
      <w:r w:rsidRPr="00646C19">
        <w:t>дополнительный пакет услуг автономных сообществ, в который после</w:t>
      </w:r>
      <w:r w:rsidRPr="00646C19">
        <w:t>д</w:t>
      </w:r>
      <w:r w:rsidRPr="00646C19">
        <w:t>ние могут включать технические средства, технологии или процедуры, не предусмотренные другими пакетами, определив при этом, какие допо</w:t>
      </w:r>
      <w:r w:rsidRPr="00646C19">
        <w:t>л</w:t>
      </w:r>
      <w:r w:rsidRPr="00646C19">
        <w:t>нительные средства требуются и представив обоснованную заявку в Межтерриториальный совет.</w:t>
      </w:r>
    </w:p>
    <w:p w:rsidR="00646C19" w:rsidRPr="00646C19" w:rsidRDefault="00646C19" w:rsidP="00646C19">
      <w:pPr>
        <w:pStyle w:val="SingleTxtGR"/>
      </w:pPr>
      <w:r w:rsidRPr="00646C19">
        <w:t>50.</w:t>
      </w:r>
      <w:r w:rsidRPr="00646C19">
        <w:tab/>
        <w:t>Что касается выплат на предоставление фармацевтических товаров, то Королевским законодательным указом</w:t>
      </w:r>
      <w:r w:rsidR="005507FC">
        <w:t xml:space="preserve"> </w:t>
      </w:r>
      <w:r w:rsidRPr="00646C19">
        <w:t>№</w:t>
      </w:r>
      <w:r w:rsidR="005507FC">
        <w:t xml:space="preserve"> </w:t>
      </w:r>
      <w:r w:rsidRPr="00646C19">
        <w:t>16/2012 были внесены изменения в систему взносов пользователей на фармацевтические товары и введена в де</w:t>
      </w:r>
      <w:r w:rsidRPr="00646C19">
        <w:t>й</w:t>
      </w:r>
      <w:r w:rsidRPr="00646C19">
        <w:t>ствие новая модель обеспечения фармацевтическими препаратами, предоста</w:t>
      </w:r>
      <w:r w:rsidRPr="00646C19">
        <w:t>в</w:t>
      </w:r>
      <w:r w:rsidRPr="00646C19">
        <w:t>ляющая всем гражданам доступ к необходимым лекарственным средствам. П</w:t>
      </w:r>
      <w:r w:rsidRPr="00646C19">
        <w:t>о</w:t>
      </w:r>
      <w:r w:rsidRPr="00646C19">
        <w:t>добная модель устойчивого обеспечения фармацевтическими препаратами г</w:t>
      </w:r>
      <w:r w:rsidRPr="00646C19">
        <w:t>а</w:t>
      </w:r>
      <w:r w:rsidRPr="00646C19">
        <w:t>рантирует универсальный характер медицинской помощи. Вступление в де</w:t>
      </w:r>
      <w:r w:rsidRPr="00646C19">
        <w:t>й</w:t>
      </w:r>
      <w:r w:rsidRPr="00646C19">
        <w:t>ствие три критерия определения размера взноса пользователя (доход, возраст и степень тяжести заболевания), что обеспечивает большее равноправие. При этом наименее социально защищенные лица, например не имеющие в течение длительного времени работы и утратившие право на получение пособия по бе</w:t>
      </w:r>
      <w:r w:rsidRPr="00646C19">
        <w:t>з</w:t>
      </w:r>
      <w:r w:rsidRPr="00646C19">
        <w:t>работице, ранее оплачивавшие 40</w:t>
      </w:r>
      <w:r w:rsidR="005507FC">
        <w:t>%</w:t>
      </w:r>
      <w:r w:rsidRPr="00646C19">
        <w:t xml:space="preserve"> стоимости лекарственных средств, после принятия Королевского законодательного указа</w:t>
      </w:r>
      <w:r w:rsidR="005507FC">
        <w:t xml:space="preserve"> </w:t>
      </w:r>
      <w:r w:rsidRPr="00646C19">
        <w:t>№</w:t>
      </w:r>
      <w:r w:rsidR="005507FC">
        <w:t xml:space="preserve"> </w:t>
      </w:r>
      <w:r w:rsidRPr="00646C19">
        <w:t>16/2012 были освобождены от их оплаты. Такая же норма действует в отношении тех, кто получает мин</w:t>
      </w:r>
      <w:r w:rsidRPr="00646C19">
        <w:t>и</w:t>
      </w:r>
      <w:r w:rsidRPr="00646C19">
        <w:t>мальный доход на цели социальной интеграции, ненакопительную пенсию или находится в аналогичной ситуации,</w:t>
      </w:r>
      <w:r w:rsidR="005507FC">
        <w:t xml:space="preserve"> </w:t>
      </w:r>
      <w:r w:rsidRPr="00646C19">
        <w:t>– все они также освобождены от оплаты л</w:t>
      </w:r>
      <w:r w:rsidRPr="00646C19">
        <w:t>е</w:t>
      </w:r>
      <w:r w:rsidRPr="00646C19">
        <w:t>карств, равно как и те, кто проходит лечение после несчастного случая на пр</w:t>
      </w:r>
      <w:r w:rsidRPr="00646C19">
        <w:t>о</w:t>
      </w:r>
      <w:r w:rsidRPr="00646C19">
        <w:t>изводстве или вследствие профессионального заболевания. Кроме того, лица, страдающие тяжелыми и хроническими заболеваниями, оплачивают 10</w:t>
      </w:r>
      <w:r w:rsidR="005507FC">
        <w:t>%</w:t>
      </w:r>
      <w:r w:rsidRPr="00646C19">
        <w:t xml:space="preserve"> от стоимости лекарств и медицинских товаров, необходимых для лечения этих з</w:t>
      </w:r>
      <w:r w:rsidRPr="00646C19">
        <w:t>а</w:t>
      </w:r>
      <w:r w:rsidRPr="00646C19">
        <w:t>болеваний, причем после принятия Королевского законодательного ук</w:t>
      </w:r>
      <w:r w:rsidRPr="00646C19">
        <w:t>а</w:t>
      </w:r>
      <w:r w:rsidRPr="00646C19">
        <w:t>за</w:t>
      </w:r>
      <w:r w:rsidR="00CA5AC8">
        <w:t> </w:t>
      </w:r>
      <w:r w:rsidRPr="00646C19">
        <w:t>№</w:t>
      </w:r>
      <w:r w:rsidR="00CA5AC8">
        <w:t> </w:t>
      </w:r>
      <w:r w:rsidRPr="00646C19">
        <w:t>16/2012 максимальный размер выплат также был увязан с индексом п</w:t>
      </w:r>
      <w:r w:rsidRPr="00646C19">
        <w:t>о</w:t>
      </w:r>
      <w:r w:rsidRPr="00646C19">
        <w:t>требительских цен. Также были определены три размера платежей в зависим</w:t>
      </w:r>
      <w:r w:rsidRPr="00646C19">
        <w:t>о</w:t>
      </w:r>
      <w:r w:rsidRPr="00646C19">
        <w:t>сти от дохода, колеблющиеся от 0</w:t>
      </w:r>
      <w:r w:rsidR="00CA5AC8">
        <w:t>%</w:t>
      </w:r>
      <w:r w:rsidRPr="00646C19">
        <w:t xml:space="preserve"> до 60</w:t>
      </w:r>
      <w:r w:rsidR="005507FC">
        <w:t>%</w:t>
      </w:r>
      <w:r w:rsidRPr="00646C19">
        <w:t>. Освобожденные от выплат катег</w:t>
      </w:r>
      <w:r w:rsidRPr="00646C19">
        <w:t>о</w:t>
      </w:r>
      <w:r w:rsidRPr="00646C19">
        <w:t>рии населения были перечислены выше. 40</w:t>
      </w:r>
      <w:r w:rsidR="005507FC">
        <w:t>%</w:t>
      </w:r>
      <w:r w:rsidRPr="00646C19">
        <w:t xml:space="preserve"> от стоимости лекарств оплачив</w:t>
      </w:r>
      <w:r w:rsidRPr="00646C19">
        <w:t>а</w:t>
      </w:r>
      <w:r w:rsidRPr="00646C19">
        <w:t>ют пользователи и бенефициары с доходом менее 18</w:t>
      </w:r>
      <w:r w:rsidR="00CA5AC8">
        <w:t> </w:t>
      </w:r>
      <w:r w:rsidRPr="00646C19">
        <w:t>000 евро в</w:t>
      </w:r>
      <w:r w:rsidR="005507FC">
        <w:t xml:space="preserve"> </w:t>
      </w:r>
      <w:r w:rsidRPr="00646C19">
        <w:t>год, 50</w:t>
      </w:r>
      <w:r w:rsidR="005507FC">
        <w:t xml:space="preserve">% </w:t>
      </w:r>
      <w:r w:rsidRPr="00646C19">
        <w:t>– пользователи и бенефициары с доходом от 18</w:t>
      </w:r>
      <w:r w:rsidR="005507FC">
        <w:t xml:space="preserve"> </w:t>
      </w:r>
      <w:r w:rsidRPr="00646C19">
        <w:t>000 до 100</w:t>
      </w:r>
      <w:r w:rsidR="005507FC">
        <w:t xml:space="preserve"> </w:t>
      </w:r>
      <w:r w:rsidRPr="00646C19">
        <w:t>000</w:t>
      </w:r>
      <w:r w:rsidR="005507FC">
        <w:t xml:space="preserve"> </w:t>
      </w:r>
      <w:r w:rsidRPr="00646C19">
        <w:t>евро в год, а 60</w:t>
      </w:r>
      <w:r w:rsidR="005507FC">
        <w:t xml:space="preserve">% </w:t>
      </w:r>
      <w:r w:rsidRPr="00646C19">
        <w:t>– пользователи и бенефициары с доходом 100</w:t>
      </w:r>
      <w:r w:rsidR="005507FC">
        <w:t xml:space="preserve"> </w:t>
      </w:r>
      <w:r w:rsidRPr="00646C19">
        <w:t>000</w:t>
      </w:r>
      <w:r w:rsidR="005507FC">
        <w:t xml:space="preserve"> </w:t>
      </w:r>
      <w:r w:rsidRPr="00646C19">
        <w:t>евро в год и выше. 10</w:t>
      </w:r>
      <w:r w:rsidR="005507FC">
        <w:t>%</w:t>
      </w:r>
      <w:r w:rsidRPr="00646C19">
        <w:t xml:space="preserve"> от ро</w:t>
      </w:r>
      <w:r w:rsidRPr="00646C19">
        <w:t>з</w:t>
      </w:r>
      <w:r w:rsidRPr="00646C19">
        <w:t>ничной цены оплачивают лица, получающие пенсию в Системе социального страхования, и бенефициары этой Системы, за исключением получающих доход в размере 100</w:t>
      </w:r>
      <w:r w:rsidR="005507FC">
        <w:t xml:space="preserve"> </w:t>
      </w:r>
      <w:r w:rsidRPr="00646C19">
        <w:t>000</w:t>
      </w:r>
      <w:r w:rsidR="005507FC">
        <w:t xml:space="preserve"> </w:t>
      </w:r>
      <w:r w:rsidRPr="00646C19">
        <w:t>евро и выше, который вносится в раздел необлагаемого нал</w:t>
      </w:r>
      <w:r w:rsidRPr="00646C19">
        <w:t>о</w:t>
      </w:r>
      <w:r w:rsidRPr="00646C19">
        <w:t>гами минимального дохода и сбережений декларации о налоге на доходы физ</w:t>
      </w:r>
      <w:r w:rsidRPr="00646C19">
        <w:t>и</w:t>
      </w:r>
      <w:r w:rsidRPr="00646C19">
        <w:t>ческих лиц. Эти лица, согласно статье</w:t>
      </w:r>
      <w:r w:rsidR="005507FC">
        <w:t xml:space="preserve"> </w:t>
      </w:r>
      <w:r w:rsidRPr="00646C19">
        <w:t>94</w:t>
      </w:r>
      <w:r w:rsidR="00CA5AC8">
        <w:t>-бис</w:t>
      </w:r>
      <w:r w:rsidRPr="00646C19">
        <w:t>.5.d) Закона</w:t>
      </w:r>
      <w:r w:rsidR="005507FC">
        <w:t xml:space="preserve"> </w:t>
      </w:r>
      <w:r w:rsidRPr="00646C19">
        <w:t>№</w:t>
      </w:r>
      <w:r w:rsidR="005507FC">
        <w:t xml:space="preserve"> </w:t>
      </w:r>
      <w:r w:rsidRPr="00646C19">
        <w:t>29/2006 от 26</w:t>
      </w:r>
      <w:r w:rsidR="005507FC">
        <w:t xml:space="preserve"> </w:t>
      </w:r>
      <w:r w:rsidRPr="00646C19">
        <w:t>июля о гарантиях рационального использования лекарств и фармацевтических пр</w:t>
      </w:r>
      <w:r w:rsidRPr="00646C19">
        <w:t>о</w:t>
      </w:r>
      <w:r w:rsidRPr="00646C19">
        <w:t>дуктов, обязаны оплачивать 60</w:t>
      </w:r>
      <w:r w:rsidR="005507FC">
        <w:t>%</w:t>
      </w:r>
      <w:r w:rsidRPr="00646C19">
        <w:t xml:space="preserve"> от розничной цены. Предусмотрены макс</w:t>
      </w:r>
      <w:r w:rsidRPr="00646C19">
        <w:t>и</w:t>
      </w:r>
      <w:r w:rsidRPr="00646C19">
        <w:t>мальные пределы ежемесячных выплат в зависимости от размера дохода. Эти ограничения установлены на уровне 8,26</w:t>
      </w:r>
      <w:r w:rsidR="005507FC">
        <w:t xml:space="preserve"> </w:t>
      </w:r>
      <w:r w:rsidRPr="00646C19">
        <w:t>евро в месяц для пенсионеров с дох</w:t>
      </w:r>
      <w:r w:rsidRPr="00646C19">
        <w:t>о</w:t>
      </w:r>
      <w:r w:rsidRPr="00646C19">
        <w:t>дом менее 18</w:t>
      </w:r>
      <w:r w:rsidR="00CA5AC8">
        <w:t> </w:t>
      </w:r>
      <w:r w:rsidRPr="00646C19">
        <w:t>000</w:t>
      </w:r>
      <w:r w:rsidR="005507FC">
        <w:t xml:space="preserve"> </w:t>
      </w:r>
      <w:r w:rsidRPr="00646C19">
        <w:t>евро в</w:t>
      </w:r>
      <w:r w:rsidR="005507FC">
        <w:t xml:space="preserve"> </w:t>
      </w:r>
      <w:r w:rsidRPr="00646C19">
        <w:t>год, 18,59</w:t>
      </w:r>
      <w:r w:rsidR="005507FC">
        <w:t xml:space="preserve"> </w:t>
      </w:r>
      <w:r w:rsidRPr="00646C19">
        <w:t>евро в месяц для пенсионеров с доходом от 18</w:t>
      </w:r>
      <w:r w:rsidR="00CA5AC8">
        <w:t> </w:t>
      </w:r>
      <w:r w:rsidRPr="00646C19">
        <w:t>000 до 100</w:t>
      </w:r>
      <w:r w:rsidR="005507FC">
        <w:t xml:space="preserve"> </w:t>
      </w:r>
      <w:r w:rsidRPr="00646C19">
        <w:t>000</w:t>
      </w:r>
      <w:r w:rsidR="005507FC">
        <w:t xml:space="preserve"> </w:t>
      </w:r>
      <w:r w:rsidRPr="00646C19">
        <w:t>евро в</w:t>
      </w:r>
      <w:r w:rsidR="005507FC">
        <w:t xml:space="preserve"> </w:t>
      </w:r>
      <w:r w:rsidRPr="00646C19">
        <w:t>год и не более 62</w:t>
      </w:r>
      <w:r w:rsidR="005507FC">
        <w:t xml:space="preserve"> </w:t>
      </w:r>
      <w:r w:rsidRPr="00646C19">
        <w:t>евро в месяц для пенсионеров с д</w:t>
      </w:r>
      <w:r w:rsidRPr="00646C19">
        <w:t>о</w:t>
      </w:r>
      <w:r w:rsidRPr="00646C19">
        <w:t>ходом более 100</w:t>
      </w:r>
      <w:r w:rsidR="005507FC">
        <w:t xml:space="preserve"> </w:t>
      </w:r>
      <w:r w:rsidRPr="00646C19">
        <w:t>000</w:t>
      </w:r>
      <w:r w:rsidR="005507FC">
        <w:t xml:space="preserve"> </w:t>
      </w:r>
      <w:r w:rsidRPr="00646C19">
        <w:t>евро в год. Для жителей, пользующихся услугами касс вз</w:t>
      </w:r>
      <w:r w:rsidRPr="00646C19">
        <w:t>а</w:t>
      </w:r>
      <w:r w:rsidRPr="00646C19">
        <w:t>имопомощи (МУФАСЕ − организации сотрудников государственной гражда</w:t>
      </w:r>
      <w:r w:rsidRPr="00646C19">
        <w:t>н</w:t>
      </w:r>
      <w:r w:rsidRPr="00646C19">
        <w:t>ской администрации, ИСФАС − организации военнослужащих и МУГЕХУ − организации сотрудников судебной системы), предусмотрен режим, покрыва</w:t>
      </w:r>
      <w:r w:rsidRPr="00646C19">
        <w:t>ю</w:t>
      </w:r>
      <w:r w:rsidRPr="00646C19">
        <w:t>щий трудящимся и пенсионерам 30</w:t>
      </w:r>
      <w:r w:rsidR="005507FC">
        <w:t>%</w:t>
      </w:r>
      <w:r w:rsidRPr="00646C19">
        <w:t xml:space="preserve"> расходов на лекарственные средства. Фармацевтическое обслуживание предусматривает использование широкого а</w:t>
      </w:r>
      <w:r w:rsidRPr="00646C19">
        <w:t>с</w:t>
      </w:r>
      <w:r w:rsidRPr="00646C19">
        <w:t>сортимента разрешенных в Испании медикаментов. Исключения составляют только рекламируемые препараты, косметические и эстетические средства. С</w:t>
      </w:r>
      <w:r w:rsidRPr="00646C19">
        <w:t>у</w:t>
      </w:r>
      <w:r w:rsidRPr="00646C19">
        <w:t>ществует перечень неоплачиваемых препаратов, который включает медикаме</w:t>
      </w:r>
      <w:r w:rsidRPr="00646C19">
        <w:t>н</w:t>
      </w:r>
      <w:r w:rsidRPr="00646C19">
        <w:t>ты с низким коэффициентом полезности/лечебного эффекта. Оценкой медик</w:t>
      </w:r>
      <w:r w:rsidRPr="00646C19">
        <w:t>а</w:t>
      </w:r>
      <w:r w:rsidRPr="00646C19">
        <w:t>ментов в целях их регистрации и выдачи разрешений на использование заним</w:t>
      </w:r>
      <w:r w:rsidRPr="00646C19">
        <w:t>а</w:t>
      </w:r>
      <w:r w:rsidRPr="00646C19">
        <w:t>ется Испанское агентство медикаментов и продуктов медицинского назначения (учреждение по линии Министерства здравоохранения и социальной политики). Доступ к фармацевтическому обслуживанию на уровне первичной медико-санитарной помощи осуществляется через аптеки. Регулирование их деятел</w:t>
      </w:r>
      <w:r w:rsidRPr="00646C19">
        <w:t>ь</w:t>
      </w:r>
      <w:r w:rsidRPr="00646C19">
        <w:t>ности в плане выдачи лицензий на открытие новых аптек, определения граф</w:t>
      </w:r>
      <w:r w:rsidRPr="00646C19">
        <w:t>и</w:t>
      </w:r>
      <w:r w:rsidRPr="00646C19">
        <w:t>ков работы или проведения инспекций входит в компетенцию автономных с</w:t>
      </w:r>
      <w:r w:rsidRPr="00646C19">
        <w:t>о</w:t>
      </w:r>
      <w:r w:rsidRPr="00646C19">
        <w:t>обществ. Государственная система обеспечивает предоставление дополнител</w:t>
      </w:r>
      <w:r w:rsidRPr="00646C19">
        <w:t>ь</w:t>
      </w:r>
      <w:r w:rsidRPr="00646C19">
        <w:t>ных ортопедических услуг, медицинского транспорта для оказания неотложной помощи и плановых перевозок, комплексного диетотерапевтического лечения и оксигенотерапевтического лечения на дому.</w:t>
      </w:r>
    </w:p>
    <w:p w:rsidR="00646C19" w:rsidRPr="00646C19" w:rsidRDefault="00646C19" w:rsidP="00646C19">
      <w:pPr>
        <w:pStyle w:val="SingleTxtGR"/>
      </w:pPr>
      <w:r w:rsidRPr="00646C19">
        <w:t>51.</w:t>
      </w:r>
      <w:r w:rsidRPr="00646C19">
        <w:tab/>
        <w:t>Согласно докладу Министерства здравоохранения, социальных услуг и по вопросам равенства о деятельности Национальной системы здравоохранения в 2012</w:t>
      </w:r>
      <w:r w:rsidR="005507FC">
        <w:t xml:space="preserve"> </w:t>
      </w:r>
      <w:r w:rsidRPr="00646C19">
        <w:t>году, в рамках НСЗ действуют 3</w:t>
      </w:r>
      <w:r w:rsidR="00CA5AC8">
        <w:t> </w:t>
      </w:r>
      <w:r w:rsidRPr="00646C19">
        <w:t>006</w:t>
      </w:r>
      <w:r w:rsidR="005507FC">
        <w:t xml:space="preserve"> </w:t>
      </w:r>
      <w:r w:rsidRPr="00646C19">
        <w:t>медицинских учреждений. Многие малые муниципалитеты располагают местными консультациями, общее колич</w:t>
      </w:r>
      <w:r w:rsidRPr="00646C19">
        <w:t>е</w:t>
      </w:r>
      <w:r w:rsidRPr="00646C19">
        <w:t>ство которых составляет 10</w:t>
      </w:r>
      <w:r w:rsidR="00CA5AC8">
        <w:t> </w:t>
      </w:r>
      <w:r w:rsidRPr="00646C19">
        <w:t>116 единиц. В этих консультациях работают спец</w:t>
      </w:r>
      <w:r w:rsidRPr="00646C19">
        <w:t>и</w:t>
      </w:r>
      <w:r w:rsidRPr="00646C19">
        <w:t>алисты, направляемые зональными медицинскими центрами в целях приближ</w:t>
      </w:r>
      <w:r w:rsidRPr="00646C19">
        <w:t>е</w:t>
      </w:r>
      <w:r w:rsidRPr="00646C19">
        <w:t>ния базовых услуг к населению, рассредоточено проживающему в сельских районах и имеющему высокий индекс старения. Кроме того, в Национальной системе здравоохранения действуют 790</w:t>
      </w:r>
      <w:r w:rsidR="005507FC">
        <w:t xml:space="preserve"> </w:t>
      </w:r>
      <w:r w:rsidR="00E3029A">
        <w:t>государственных больниц (1,8 </w:t>
      </w:r>
      <w:r w:rsidRPr="00646C19">
        <w:t>на 100</w:t>
      </w:r>
      <w:r w:rsidR="009E29DC">
        <w:t> </w:t>
      </w:r>
      <w:r w:rsidRPr="00646C19">
        <w:t>000</w:t>
      </w:r>
      <w:r w:rsidR="005507FC">
        <w:t xml:space="preserve"> </w:t>
      </w:r>
      <w:r w:rsidRPr="00646C19">
        <w:t>жителей) на 162</w:t>
      </w:r>
      <w:r w:rsidR="005507FC">
        <w:t xml:space="preserve"> </w:t>
      </w:r>
      <w:r w:rsidRPr="00646C19">
        <w:t>538</w:t>
      </w:r>
      <w:r w:rsidR="005507FC">
        <w:t xml:space="preserve"> </w:t>
      </w:r>
      <w:r w:rsidRPr="00646C19">
        <w:t>койко-мест (352,5/100</w:t>
      </w:r>
      <w:r w:rsidR="005507FC">
        <w:t xml:space="preserve"> </w:t>
      </w:r>
      <w:r w:rsidRPr="00646C19">
        <w:t>000</w:t>
      </w:r>
      <w:r w:rsidR="005507FC">
        <w:t xml:space="preserve"> </w:t>
      </w:r>
      <w:r w:rsidRPr="00646C19">
        <w:t xml:space="preserve">жителей). Что касается принадлежности, то из каждых 10 больниц 4 являются государственными, </w:t>
      </w:r>
      <w:r w:rsidR="00E3029A">
        <w:br/>
      </w:r>
      <w:r w:rsidRPr="00646C19">
        <w:t>а 6 – частными. Это соотношение приобретает прямо противоположный хара</w:t>
      </w:r>
      <w:r w:rsidRPr="00646C19">
        <w:t>к</w:t>
      </w:r>
      <w:r w:rsidRPr="00646C19">
        <w:t>тер при расчете количества – из каждых 10</w:t>
      </w:r>
      <w:r w:rsidR="005507FC">
        <w:t xml:space="preserve"> </w:t>
      </w:r>
      <w:r w:rsidRPr="00646C19">
        <w:t>койко-мест 7 являются госуда</w:t>
      </w:r>
      <w:r w:rsidRPr="00646C19">
        <w:t>р</w:t>
      </w:r>
      <w:r w:rsidRPr="00646C19">
        <w:t>ственными, а 3 – частными. По назначению из каждых 10 больниц 7 занимаю</w:t>
      </w:r>
      <w:r w:rsidRPr="00646C19">
        <w:t>т</w:t>
      </w:r>
      <w:r w:rsidRPr="00646C19">
        <w:t>ся лечением острых патологий, 1 является психиатрической, а еще 2 предназн</w:t>
      </w:r>
      <w:r w:rsidRPr="00646C19">
        <w:t>а</w:t>
      </w:r>
      <w:r w:rsidRPr="00646C19">
        <w:t>чены для оказания гериатрической помощи и длительного пребывания пацие</w:t>
      </w:r>
      <w:r w:rsidRPr="00646C19">
        <w:t>н</w:t>
      </w:r>
      <w:r w:rsidR="00E3029A">
        <w:t>тов. Из </w:t>
      </w:r>
      <w:r w:rsidRPr="00646C19">
        <w:t>каждых 10 койко-мест 8 находятся в больницах для лечения острых з</w:t>
      </w:r>
      <w:r w:rsidRPr="00646C19">
        <w:t>а</w:t>
      </w:r>
      <w:r w:rsidRPr="00646C19">
        <w:t>болеваний, 1 – в психиатрической больнице и 1 – в больнице для гериатрич</w:t>
      </w:r>
      <w:r w:rsidRPr="00646C19">
        <w:t>е</w:t>
      </w:r>
      <w:r w:rsidRPr="00646C19">
        <w:t>ской помощи и длительного пребывания пациентов. По принадлежности пол</w:t>
      </w:r>
      <w:r w:rsidRPr="00646C19">
        <w:t>о</w:t>
      </w:r>
      <w:r w:rsidRPr="00646C19">
        <w:t>вина занимающихся лечением острых заболеваний больниц и 75</w:t>
      </w:r>
      <w:r w:rsidR="005507FC">
        <w:t>%</w:t>
      </w:r>
      <w:r w:rsidRPr="00646C19">
        <w:t xml:space="preserve"> предназн</w:t>
      </w:r>
      <w:r w:rsidRPr="00646C19">
        <w:t>а</w:t>
      </w:r>
      <w:r w:rsidRPr="00646C19">
        <w:t>ченных для этого койко-мест являются государственными. Государственными являются 30</w:t>
      </w:r>
      <w:r w:rsidR="005507FC">
        <w:t>%</w:t>
      </w:r>
      <w:r w:rsidRPr="00646C19">
        <w:t xml:space="preserve"> психиатрических больниц и 34</w:t>
      </w:r>
      <w:r w:rsidR="005507FC">
        <w:t>%</w:t>
      </w:r>
      <w:r w:rsidRPr="00646C19">
        <w:t xml:space="preserve"> соответствующих койко-мест, а также 30</w:t>
      </w:r>
      <w:r w:rsidR="005507FC">
        <w:t>%</w:t>
      </w:r>
      <w:r w:rsidRPr="00646C19">
        <w:t xml:space="preserve"> больниц и 37</w:t>
      </w:r>
      <w:r w:rsidR="005507FC">
        <w:t>%</w:t>
      </w:r>
      <w:r w:rsidRPr="00646C19">
        <w:t xml:space="preserve"> койко-мест гериатрической помощи и длительного пребывания пациентов.</w:t>
      </w:r>
    </w:p>
    <w:p w:rsidR="00646C19" w:rsidRPr="00646C19" w:rsidRDefault="00646C19" w:rsidP="00646C19">
      <w:pPr>
        <w:pStyle w:val="SingleTxtGR"/>
      </w:pPr>
      <w:r w:rsidRPr="00646C19">
        <w:t>52.</w:t>
      </w:r>
      <w:r w:rsidRPr="00646C19">
        <w:tab/>
        <w:t>В государственных медицинских центрах и больницах работают около 272</w:t>
      </w:r>
      <w:r w:rsidR="009E29DC">
        <w:t> </w:t>
      </w:r>
      <w:r w:rsidRPr="00646C19">
        <w:t>000</w:t>
      </w:r>
      <w:r w:rsidR="005507FC">
        <w:t xml:space="preserve"> </w:t>
      </w:r>
      <w:r w:rsidRPr="00646C19">
        <w:t>врачей и средних медицинских работников, среди которых больши</w:t>
      </w:r>
      <w:r w:rsidRPr="00646C19">
        <w:t>н</w:t>
      </w:r>
      <w:r w:rsidRPr="00646C19">
        <w:t>ство составляют женщины – 7 из каждых 10</w:t>
      </w:r>
      <w:r w:rsidR="005507FC">
        <w:t xml:space="preserve"> </w:t>
      </w:r>
      <w:r w:rsidRPr="00646C19">
        <w:t>специалистов в данной сфере я</w:t>
      </w:r>
      <w:r w:rsidRPr="00646C19">
        <w:t>в</w:t>
      </w:r>
      <w:r w:rsidRPr="00646C19">
        <w:t>ляются женщинами. Врачи составляют примерно 114</w:t>
      </w:r>
      <w:r w:rsidR="009E29DC">
        <w:t> </w:t>
      </w:r>
      <w:r w:rsidRPr="00646C19">
        <w:t>000</w:t>
      </w:r>
      <w:r w:rsidR="005507FC">
        <w:t xml:space="preserve"> </w:t>
      </w:r>
      <w:r w:rsidRPr="00646C19">
        <w:t>человек, а числе</w:t>
      </w:r>
      <w:r w:rsidRPr="00646C19">
        <w:t>н</w:t>
      </w:r>
      <w:r w:rsidRPr="00646C19">
        <w:t>ность среднего медицинского персонала несколько выше – 157</w:t>
      </w:r>
      <w:r w:rsidR="009E29DC">
        <w:t> </w:t>
      </w:r>
      <w:r w:rsidRPr="00646C19">
        <w:t>000</w:t>
      </w:r>
      <w:r w:rsidR="005507FC">
        <w:t xml:space="preserve"> </w:t>
      </w:r>
      <w:r w:rsidR="009E29DC">
        <w:t>человек. К </w:t>
      </w:r>
      <w:r w:rsidRPr="00646C19">
        <w:t>этому числу следует добавить специалистов, проходящих курс подготовки по завершении обучения в высшей школе, среди которых примерно 19</w:t>
      </w:r>
      <w:r w:rsidR="009E29DC">
        <w:t> 000 вр</w:t>
      </w:r>
      <w:r w:rsidR="009E29DC">
        <w:t>а</w:t>
      </w:r>
      <w:r w:rsidR="009E29DC">
        <w:t>чей </w:t>
      </w:r>
      <w:r w:rsidRPr="00646C19">
        <w:t>– интернов и практикантов, работающих</w:t>
      </w:r>
      <w:r w:rsidR="009E29DC">
        <w:t xml:space="preserve"> в государственных больницах. В </w:t>
      </w:r>
      <w:r w:rsidRPr="00646C19">
        <w:t>местных медицинских центрах и консультациях Национальной системы здр</w:t>
      </w:r>
      <w:r w:rsidRPr="00646C19">
        <w:t>а</w:t>
      </w:r>
      <w:r w:rsidRPr="00646C19">
        <w:t>воохранения работают более 35</w:t>
      </w:r>
      <w:r w:rsidR="009E29DC">
        <w:t> </w:t>
      </w:r>
      <w:r w:rsidRPr="00646C19">
        <w:t>000</w:t>
      </w:r>
      <w:r w:rsidR="005507FC">
        <w:t xml:space="preserve"> </w:t>
      </w:r>
      <w:r w:rsidRPr="00646C19">
        <w:t>врачей (примерно 29</w:t>
      </w:r>
      <w:r w:rsidR="009E29DC">
        <w:t> </w:t>
      </w:r>
      <w:r w:rsidRPr="00646C19">
        <w:t>000 семейных врачей и чуть более 6</w:t>
      </w:r>
      <w:r w:rsidR="009E29DC">
        <w:t> </w:t>
      </w:r>
      <w:r w:rsidRPr="00646C19">
        <w:t>000</w:t>
      </w:r>
      <w:r w:rsidR="005507FC">
        <w:t xml:space="preserve"> </w:t>
      </w:r>
      <w:r w:rsidRPr="00646C19">
        <w:t xml:space="preserve">педиатров), половина из которых являются женщинами </w:t>
      </w:r>
      <w:r w:rsidR="009E29DC">
        <w:br/>
      </w:r>
      <w:r w:rsidRPr="00646C19">
        <w:t>(5 из каждых 10), а также более 29</w:t>
      </w:r>
      <w:r w:rsidR="009E29DC">
        <w:t> </w:t>
      </w:r>
      <w:r w:rsidRPr="00646C19">
        <w:t>000</w:t>
      </w:r>
      <w:r w:rsidR="005507FC">
        <w:t xml:space="preserve"> </w:t>
      </w:r>
      <w:r w:rsidRPr="00646C19">
        <w:t>средних медицинских работников, среди которых 8 из каждых 10 – женщины. На уровне первичной медицинской пом</w:t>
      </w:r>
      <w:r w:rsidRPr="00646C19">
        <w:t>о</w:t>
      </w:r>
      <w:r w:rsidRPr="00646C19">
        <w:t>щи на каждые 10</w:t>
      </w:r>
      <w:r w:rsidR="005507FC">
        <w:t xml:space="preserve"> </w:t>
      </w:r>
      <w:r w:rsidRPr="00646C19">
        <w:t>000 жителей приходится 7,6 врача и 6,3 среднего медицинск</w:t>
      </w:r>
      <w:r w:rsidRPr="00646C19">
        <w:t>о</w:t>
      </w:r>
      <w:r w:rsidRPr="00646C19">
        <w:t>го работника. В больницах и специализированных центрах Национальной с</w:t>
      </w:r>
      <w:r w:rsidRPr="00646C19">
        <w:t>и</w:t>
      </w:r>
      <w:r w:rsidRPr="00646C19">
        <w:t>стемы здравоохранения оказанием</w:t>
      </w:r>
      <w:r w:rsidR="009E29DC">
        <w:t xml:space="preserve"> услуг занимаются чуть более 79 </w:t>
      </w:r>
      <w:r w:rsidRPr="00646C19">
        <w:t>000 врачей (коэффициент 17,2 на 10</w:t>
      </w:r>
      <w:r w:rsidR="009E29DC">
        <w:t> </w:t>
      </w:r>
      <w:r w:rsidRPr="00646C19">
        <w:t>000</w:t>
      </w:r>
      <w:r w:rsidR="005507FC">
        <w:t xml:space="preserve"> </w:t>
      </w:r>
      <w:r w:rsidRPr="00646C19">
        <w:t>жителей), среди которых 4 из каждых 10 – женщ</w:t>
      </w:r>
      <w:r w:rsidRPr="00646C19">
        <w:t>и</w:t>
      </w:r>
      <w:r w:rsidRPr="00646C19">
        <w:t>ны, а также более 128</w:t>
      </w:r>
      <w:r w:rsidR="009E29DC">
        <w:t> </w:t>
      </w:r>
      <w:r w:rsidRPr="00646C19">
        <w:t>000 средних медицинск</w:t>
      </w:r>
      <w:r w:rsidR="009E29DC">
        <w:t>их работников (коэффициент 27,9 </w:t>
      </w:r>
      <w:r w:rsidRPr="00646C19">
        <w:t>на 10</w:t>
      </w:r>
      <w:r w:rsidR="009E29DC">
        <w:t> </w:t>
      </w:r>
      <w:r w:rsidRPr="00646C19">
        <w:t>000</w:t>
      </w:r>
      <w:r w:rsidR="005507FC">
        <w:t xml:space="preserve"> </w:t>
      </w:r>
      <w:r w:rsidRPr="00646C19">
        <w:t>жителей), среди которых 9 из каждых 10 – женщины. В разбивке по специальностям 5 из каждых 10</w:t>
      </w:r>
      <w:r w:rsidR="005507FC">
        <w:t xml:space="preserve"> </w:t>
      </w:r>
      <w:r w:rsidRPr="00646C19">
        <w:t>врачей</w:t>
      </w:r>
      <w:r w:rsidR="005507FC">
        <w:t xml:space="preserve"> </w:t>
      </w:r>
      <w:r w:rsidRPr="00646C19">
        <w:t>– специалисты по различным направлениям медицины, 3 – хирурги, чуть более 1</w:t>
      </w:r>
      <w:r w:rsidR="005507FC">
        <w:t xml:space="preserve"> </w:t>
      </w:r>
      <w:r w:rsidRPr="00646C19">
        <w:t>– работники центральных служб (клинические анализы, микробиология, рентгенология…) и еще приме</w:t>
      </w:r>
      <w:r w:rsidRPr="00646C19">
        <w:t>р</w:t>
      </w:r>
      <w:r w:rsidRPr="00646C19">
        <w:t>но 1 – специалист по экстренной медицинской помощи.</w:t>
      </w:r>
    </w:p>
    <w:p w:rsidR="00646C19" w:rsidRPr="00646C19" w:rsidRDefault="00646C19" w:rsidP="00646C19">
      <w:pPr>
        <w:pStyle w:val="SingleTxtGR"/>
      </w:pPr>
      <w:r w:rsidRPr="00646C19">
        <w:t>53.</w:t>
      </w:r>
      <w:r w:rsidRPr="00646C19">
        <w:tab/>
        <w:t xml:space="preserve">Как правило, на первичном уровне помощи в Национальной системе здравоохранения среднестатистический житель обращается </w:t>
      </w:r>
      <w:r w:rsidR="004047E3">
        <w:t>за медицинскими консультациями шесть</w:t>
      </w:r>
      <w:r w:rsidR="005507FC">
        <w:t xml:space="preserve"> </w:t>
      </w:r>
      <w:r w:rsidRPr="00646C19">
        <w:t xml:space="preserve">раз в год, </w:t>
      </w:r>
      <w:r w:rsidR="005507FC">
        <w:t>т.е.</w:t>
      </w:r>
      <w:r w:rsidRPr="00646C19">
        <w:t xml:space="preserve"> ежегодно в медицинских центрах и ко</w:t>
      </w:r>
      <w:r w:rsidRPr="00646C19">
        <w:t>н</w:t>
      </w:r>
      <w:r w:rsidRPr="00646C19">
        <w:t>сультациях проводится примерно 259</w:t>
      </w:r>
      <w:r w:rsidR="005507FC">
        <w:t xml:space="preserve"> </w:t>
      </w:r>
      <w:r w:rsidRPr="00646C19">
        <w:t>млн. приемов пациентов. При учете о</w:t>
      </w:r>
      <w:r w:rsidRPr="00646C19">
        <w:t>б</w:t>
      </w:r>
      <w:r w:rsidRPr="00646C19">
        <w:t>ращений за срочной медицинской помощью в нерабочее время количество ко</w:t>
      </w:r>
      <w:r w:rsidRPr="00646C19">
        <w:t>н</w:t>
      </w:r>
      <w:r w:rsidRPr="00646C19">
        <w:t>сультаций достигает 279</w:t>
      </w:r>
      <w:r w:rsidR="005507FC">
        <w:t xml:space="preserve"> </w:t>
      </w:r>
      <w:r w:rsidRPr="00646C19">
        <w:t>млн. Если же учитывать медицинскую помощь, кот</w:t>
      </w:r>
      <w:r w:rsidRPr="00646C19">
        <w:t>о</w:t>
      </w:r>
      <w:r w:rsidRPr="00646C19">
        <w:t>рую оказывает средний медицинский персонал, то количество обращений пр</w:t>
      </w:r>
      <w:r w:rsidRPr="00646C19">
        <w:t>е</w:t>
      </w:r>
      <w:r w:rsidRPr="00646C19">
        <w:t>вышает 418</w:t>
      </w:r>
      <w:r w:rsidR="005507FC">
        <w:t xml:space="preserve"> </w:t>
      </w:r>
      <w:r w:rsidRPr="00646C19">
        <w:t>млн. Ежегодно в стране проводится более 5,2</w:t>
      </w:r>
      <w:r w:rsidR="005507FC">
        <w:t xml:space="preserve"> </w:t>
      </w:r>
      <w:r w:rsidRPr="00646C19">
        <w:t>млн. госпитализаций, из которых 4,2</w:t>
      </w:r>
      <w:r w:rsidR="005507FC">
        <w:t xml:space="preserve"> </w:t>
      </w:r>
      <w:r w:rsidRPr="00646C19">
        <w:t>млн. (80,7</w:t>
      </w:r>
      <w:r w:rsidR="005507FC">
        <w:t>%</w:t>
      </w:r>
      <w:r w:rsidRPr="00646C19">
        <w:t xml:space="preserve"> от общего количества) финансируются Национал</w:t>
      </w:r>
      <w:r w:rsidRPr="00646C19">
        <w:t>ь</w:t>
      </w:r>
      <w:r w:rsidRPr="00646C19">
        <w:t>ной системой здравоохранения. Кроме того, ежегодно проводится 82,6</w:t>
      </w:r>
      <w:r w:rsidR="005507FC">
        <w:t xml:space="preserve"> </w:t>
      </w:r>
      <w:r w:rsidRPr="00646C19">
        <w:t>млн. консультаций у различных врачей-специалистов (87,3</w:t>
      </w:r>
      <w:r w:rsidR="005507FC">
        <w:t>%</w:t>
      </w:r>
      <w:r w:rsidRPr="00646C19">
        <w:t xml:space="preserve"> финансируются Наци</w:t>
      </w:r>
      <w:r w:rsidRPr="00646C19">
        <w:t>о</w:t>
      </w:r>
      <w:r w:rsidRPr="00646C19">
        <w:t>нальной системой здравоохранения), 26,2</w:t>
      </w:r>
      <w:r w:rsidR="005507FC">
        <w:t xml:space="preserve"> </w:t>
      </w:r>
      <w:r w:rsidRPr="00646C19">
        <w:t>млн. случаев неотложной помощи (78,6</w:t>
      </w:r>
      <w:r w:rsidR="005507FC">
        <w:t>%</w:t>
      </w:r>
      <w:r w:rsidRPr="00646C19">
        <w:t xml:space="preserve"> за государственный счет) и 4,7</w:t>
      </w:r>
      <w:r w:rsidR="005507FC">
        <w:t xml:space="preserve"> </w:t>
      </w:r>
      <w:r w:rsidRPr="00646C19">
        <w:t>млн. случаев хирургического вмешател</w:t>
      </w:r>
      <w:r w:rsidRPr="00646C19">
        <w:t>ь</w:t>
      </w:r>
      <w:r w:rsidRPr="00646C19">
        <w:t>ства, 1,3</w:t>
      </w:r>
      <w:r w:rsidR="005507FC">
        <w:t xml:space="preserve"> </w:t>
      </w:r>
      <w:r w:rsidRPr="00646C19">
        <w:t>млн. из которых – в амбулаторных условиях. В больницах принимается более 358</w:t>
      </w:r>
      <w:r w:rsidR="004047E3">
        <w:t> </w:t>
      </w:r>
      <w:r w:rsidRPr="00646C19">
        <w:t>000</w:t>
      </w:r>
      <w:r w:rsidR="005507FC">
        <w:t xml:space="preserve"> </w:t>
      </w:r>
      <w:r w:rsidRPr="00646C19">
        <w:t>родов, более 121</w:t>
      </w:r>
      <w:r w:rsidR="004047E3">
        <w:t> </w:t>
      </w:r>
      <w:r w:rsidRPr="00646C19">
        <w:t>000 из которых – путем кесарева сечения. 13</w:t>
      </w:r>
      <w:r w:rsidR="005507FC">
        <w:t>%</w:t>
      </w:r>
      <w:r w:rsidR="004047E3">
        <w:t> </w:t>
      </w:r>
      <w:r w:rsidRPr="00646C19">
        <w:t>случаев срочной госпитализации в рамках Национальной системы здрав</w:t>
      </w:r>
      <w:r w:rsidRPr="00646C19">
        <w:t>о</w:t>
      </w:r>
      <w:r w:rsidRPr="00646C19">
        <w:t>охранения проводятся в связи с родами, патологиями в послеродовой период и осложнениями беременности; это же является причиной 25,7</w:t>
      </w:r>
      <w:r w:rsidR="005507FC">
        <w:t>%</w:t>
      </w:r>
      <w:r w:rsidRPr="00646C19">
        <w:t xml:space="preserve"> случаев обр</w:t>
      </w:r>
      <w:r w:rsidRPr="00646C19">
        <w:t>а</w:t>
      </w:r>
      <w:r w:rsidRPr="00646C19">
        <w:t>щений женщин в больницы за помощью. Кроме того, к числу следующих по значимости причин обращений женщин за медицинской помощью относятся заболевания системы кровообращения, органов пищеварительного тракта и д</w:t>
      </w:r>
      <w:r w:rsidRPr="00646C19">
        <w:t>ы</w:t>
      </w:r>
      <w:r w:rsidRPr="00646C19">
        <w:t>хательной системы (10,2 и 8,9</w:t>
      </w:r>
      <w:r w:rsidR="005507FC">
        <w:t>%</w:t>
      </w:r>
      <w:r w:rsidRPr="00646C19">
        <w:t xml:space="preserve"> соответственно). 8,8</w:t>
      </w:r>
      <w:r w:rsidR="005507FC">
        <w:t>%</w:t>
      </w:r>
      <w:r w:rsidRPr="00646C19">
        <w:t xml:space="preserve"> обращений связаны с опухолями. Что касается мужчин, то чаще всего причиной госпитализации та</w:t>
      </w:r>
      <w:r w:rsidRPr="00646C19">
        <w:t>к</w:t>
      </w:r>
      <w:r w:rsidRPr="00646C19">
        <w:t>же являются заболевания системы кровообращения (16,9</w:t>
      </w:r>
      <w:r w:rsidR="005507FC">
        <w:t>%</w:t>
      </w:r>
      <w:r w:rsidRPr="00646C19">
        <w:t>), болезни дыхател</w:t>
      </w:r>
      <w:r w:rsidRPr="00646C19">
        <w:t>ь</w:t>
      </w:r>
      <w:r w:rsidRPr="00646C19">
        <w:t>ной системы (14,7</w:t>
      </w:r>
      <w:r w:rsidR="005507FC">
        <w:t>%</w:t>
      </w:r>
      <w:r w:rsidRPr="00646C19">
        <w:t>) и болезни пищеварительного тракта (14,4</w:t>
      </w:r>
      <w:r w:rsidR="005507FC">
        <w:t>%</w:t>
      </w:r>
      <w:r w:rsidRPr="00646C19">
        <w:t>). 11,2</w:t>
      </w:r>
      <w:r w:rsidR="005507FC">
        <w:t>%</w:t>
      </w:r>
      <w:r w:rsidRPr="00646C19">
        <w:t xml:space="preserve"> случ</w:t>
      </w:r>
      <w:r w:rsidRPr="00646C19">
        <w:t>а</w:t>
      </w:r>
      <w:r w:rsidRPr="00646C19">
        <w:t>ев госпитализации связаны с опухолями. По причине психических расстройств мужчины попадают в больницы чаще женщин (соответственно 2,4 и 1,9</w:t>
      </w:r>
      <w:r w:rsidR="005507FC">
        <w:t>%</w:t>
      </w:r>
      <w:r w:rsidRPr="00646C19">
        <w:t xml:space="preserve"> сл</w:t>
      </w:r>
      <w:r w:rsidRPr="00646C19">
        <w:t>у</w:t>
      </w:r>
      <w:r w:rsidRPr="00646C19">
        <w:t>чаев госпитализации).</w:t>
      </w:r>
    </w:p>
    <w:p w:rsidR="00646C19" w:rsidRPr="00646C19" w:rsidRDefault="00646C19" w:rsidP="00646C19">
      <w:pPr>
        <w:pStyle w:val="SingleTxtGR"/>
      </w:pPr>
      <w:r w:rsidRPr="00646C19">
        <w:t>54.</w:t>
      </w:r>
      <w:r w:rsidRPr="00646C19">
        <w:tab/>
        <w:t>Больницы в Испании занимают лидирующие позиции в мире по тран</w:t>
      </w:r>
      <w:r w:rsidRPr="00646C19">
        <w:t>с</w:t>
      </w:r>
      <w:r w:rsidRPr="00646C19">
        <w:t>плантации органов и тканей, которая осуществляется в специальных аккред</w:t>
      </w:r>
      <w:r w:rsidRPr="00646C19">
        <w:t>и</w:t>
      </w:r>
      <w:r w:rsidRPr="00646C19">
        <w:t>тованных центрах. Для пересадки органов необходимо согласие доноров. В</w:t>
      </w:r>
      <w:r w:rsidR="004047E3">
        <w:t> </w:t>
      </w:r>
      <w:r w:rsidRPr="00646C19">
        <w:t>настоящее время пересадка органов является обычной медицинской технол</w:t>
      </w:r>
      <w:r w:rsidRPr="00646C19">
        <w:t>о</w:t>
      </w:r>
      <w:r w:rsidRPr="00646C19">
        <w:t>гией, а те, кто ее проводит, используют новейшие технические достижения. Научный прогресс создал условия для того, чтобы все большее число заболев</w:t>
      </w:r>
      <w:r w:rsidRPr="00646C19">
        <w:t>а</w:t>
      </w:r>
      <w:r w:rsidRPr="00646C19">
        <w:t>ний лечились с помощью трансплантации. Работа по трансплантации органов является в Испании постоянным и хорошо налаженным процессом. Эту работу ограничивает наличие доноров и органов для трансплантации. В 1989</w:t>
      </w:r>
      <w:r w:rsidR="005507FC">
        <w:t xml:space="preserve"> </w:t>
      </w:r>
      <w:r w:rsidRPr="00646C19">
        <w:t>году в Испании была создана Национальная организация трансплантологии. За эти 25</w:t>
      </w:r>
      <w:r w:rsidR="00E0494E">
        <w:t> </w:t>
      </w:r>
      <w:r w:rsidRPr="00646C19">
        <w:t>лет Испании удалось увеличить в три раза число доноров и операций по трансплантации органов. По состоянию на сегодняшний день в стране провед</w:t>
      </w:r>
      <w:r w:rsidRPr="00646C19">
        <w:t>е</w:t>
      </w:r>
      <w:r w:rsidRPr="00646C19">
        <w:t>но более 90</w:t>
      </w:r>
      <w:r w:rsidR="00E0494E">
        <w:t> </w:t>
      </w:r>
      <w:r w:rsidRPr="00646C19">
        <w:t>000</w:t>
      </w:r>
      <w:r w:rsidR="005507FC">
        <w:t xml:space="preserve"> </w:t>
      </w:r>
      <w:r w:rsidRPr="00646C19">
        <w:t>трансплантаций органов, более 300</w:t>
      </w:r>
      <w:r w:rsidR="005507FC">
        <w:t xml:space="preserve"> </w:t>
      </w:r>
      <w:r w:rsidRPr="00646C19">
        <w:t>000</w:t>
      </w:r>
      <w:r w:rsidR="005507FC">
        <w:t xml:space="preserve"> </w:t>
      </w:r>
      <w:r w:rsidRPr="00646C19">
        <w:t>трансплантаций тканей и около 50</w:t>
      </w:r>
      <w:r w:rsidR="00E0494E">
        <w:t> </w:t>
      </w:r>
      <w:r w:rsidRPr="00646C19">
        <w:t>000</w:t>
      </w:r>
      <w:r w:rsidR="005507FC">
        <w:t xml:space="preserve"> </w:t>
      </w:r>
      <w:r w:rsidRPr="00646C19">
        <w:t>трансплантаций кроветворных клеток (костного мозга и пуп</w:t>
      </w:r>
      <w:r w:rsidRPr="00646C19">
        <w:t>о</w:t>
      </w:r>
      <w:r w:rsidRPr="00646C19">
        <w:t>винной крови), что означает, что услугами испанской системы трансплантации воспользовались около полумиллиона больных, что составляет примерно 1</w:t>
      </w:r>
      <w:r w:rsidR="00E0494E">
        <w:t>%</w:t>
      </w:r>
      <w:r w:rsidRPr="00646C19">
        <w:t xml:space="preserve"> нынешнего населения Испании. Испанская модель трансплантологии является примером того, как, объединяя усилия граждан и специалистов – участников процесса донорства и трансплантации, удается спасти или улучшить качество жизни тысяч жителей страны. Национальная организация трансплантологии внедрила оригинальную модель управления, позволившую Испании выйти на ведущие позиции в мире в области донорства и трансплантации. В 2013</w:t>
      </w:r>
      <w:r w:rsidR="005507FC">
        <w:t xml:space="preserve"> </w:t>
      </w:r>
      <w:r w:rsidRPr="00646C19">
        <w:t>году были зарегистрированы самые высокие за всю историю показатели общего к</w:t>
      </w:r>
      <w:r w:rsidRPr="00646C19">
        <w:t>о</w:t>
      </w:r>
      <w:r w:rsidRPr="00646C19">
        <w:t>личества пересаженных органов – благодаря 1</w:t>
      </w:r>
      <w:r w:rsidR="00E0494E">
        <w:t> </w:t>
      </w:r>
      <w:r w:rsidRPr="00646C19">
        <w:t>655</w:t>
      </w:r>
      <w:r w:rsidR="005507FC">
        <w:t xml:space="preserve"> </w:t>
      </w:r>
      <w:r w:rsidRPr="00646C19">
        <w:t>донорам были проведены трансплантации 4</w:t>
      </w:r>
      <w:r w:rsidR="00E0494E">
        <w:t> </w:t>
      </w:r>
      <w:r w:rsidRPr="00646C19">
        <w:t>279</w:t>
      </w:r>
      <w:r w:rsidR="005507FC">
        <w:t xml:space="preserve"> </w:t>
      </w:r>
      <w:r w:rsidRPr="00646C19">
        <w:t>органов. Показатель донорства вырос до 35,1</w:t>
      </w:r>
      <w:r w:rsidR="005507FC">
        <w:t xml:space="preserve"> </w:t>
      </w:r>
      <w:r w:rsidRPr="00646C19">
        <w:t>донора на миллион жителей. Особо следует отметить увеличение количества пересадок легких (+19,7</w:t>
      </w:r>
      <w:r w:rsidR="005507FC">
        <w:t>%</w:t>
      </w:r>
      <w:r w:rsidRPr="00646C19">
        <w:t>) и поджелудочной железы (+10,8</w:t>
      </w:r>
      <w:r w:rsidR="005507FC">
        <w:t>%</w:t>
      </w:r>
      <w:r w:rsidRPr="00646C19">
        <w:t>). В</w:t>
      </w:r>
      <w:r w:rsidR="005507FC">
        <w:t xml:space="preserve"> </w:t>
      </w:r>
      <w:r w:rsidRPr="00646C19">
        <w:t>общей сложности пров</w:t>
      </w:r>
      <w:r w:rsidRPr="00646C19">
        <w:t>е</w:t>
      </w:r>
      <w:r w:rsidRPr="00646C19">
        <w:t>дено 2</w:t>
      </w:r>
      <w:r w:rsidR="00E0494E">
        <w:t> </w:t>
      </w:r>
      <w:r w:rsidRPr="00646C19">
        <w:t>552</w:t>
      </w:r>
      <w:r w:rsidR="005507FC">
        <w:t xml:space="preserve"> </w:t>
      </w:r>
      <w:r w:rsidRPr="00646C19">
        <w:t>пересадки почек, 1</w:t>
      </w:r>
      <w:r w:rsidR="00E0494E">
        <w:t> </w:t>
      </w:r>
      <w:r w:rsidRPr="00646C19">
        <w:t>093</w:t>
      </w:r>
      <w:r w:rsidR="005507FC">
        <w:t xml:space="preserve"> </w:t>
      </w:r>
      <w:r w:rsidRPr="00646C19">
        <w:t>пересадки печени, 285</w:t>
      </w:r>
      <w:r w:rsidR="005507FC">
        <w:t xml:space="preserve"> </w:t>
      </w:r>
      <w:r w:rsidRPr="00646C19">
        <w:t>пересадок легких, 249</w:t>
      </w:r>
      <w:r w:rsidR="00E0494E">
        <w:t> </w:t>
      </w:r>
      <w:r w:rsidRPr="00646C19">
        <w:t>пересадок сердца, 92</w:t>
      </w:r>
      <w:r w:rsidR="005507FC">
        <w:t xml:space="preserve"> </w:t>
      </w:r>
      <w:r w:rsidRPr="00646C19">
        <w:t>пересадки поджелудочной железы и 8</w:t>
      </w:r>
      <w:r w:rsidR="005507FC">
        <w:t xml:space="preserve"> </w:t>
      </w:r>
      <w:r w:rsidRPr="00646C19">
        <w:t>пересадок к</w:t>
      </w:r>
      <w:r w:rsidRPr="00646C19">
        <w:t>и</w:t>
      </w:r>
      <w:r w:rsidRPr="00646C19">
        <w:t>шечника. В 2013</w:t>
      </w:r>
      <w:r w:rsidR="005507FC">
        <w:t xml:space="preserve"> </w:t>
      </w:r>
      <w:r w:rsidRPr="00646C19">
        <w:t>году число живых доноров почки увеличилось до 382</w:t>
      </w:r>
      <w:r w:rsidR="005507FC">
        <w:t xml:space="preserve"> </w:t>
      </w:r>
      <w:r w:rsidRPr="00646C19">
        <w:t>человек, 41 из которых были участниками программы перекрестной пересадки почек. Пересадки почек от живых доноров составили 15</w:t>
      </w:r>
      <w:r w:rsidR="005507FC">
        <w:t>%</w:t>
      </w:r>
      <w:r w:rsidRPr="00646C19">
        <w:t xml:space="preserve"> от общего числа проведе</w:t>
      </w:r>
      <w:r w:rsidRPr="00646C19">
        <w:t>н</w:t>
      </w:r>
      <w:r w:rsidRPr="00646C19">
        <w:t>ных в Испании трансплантаций почек. В 2013</w:t>
      </w:r>
      <w:r w:rsidR="005507FC">
        <w:t xml:space="preserve"> </w:t>
      </w:r>
      <w:r w:rsidRPr="00646C19">
        <w:t>году число доноров, скончавши</w:t>
      </w:r>
      <w:r w:rsidRPr="00646C19">
        <w:t>х</w:t>
      </w:r>
      <w:r w:rsidRPr="00646C19">
        <w:t>ся от остановки сердца, оставалось неизменным – 159</w:t>
      </w:r>
      <w:r w:rsidR="005507FC">
        <w:t xml:space="preserve"> </w:t>
      </w:r>
      <w:r w:rsidRPr="00646C19">
        <w:t>человек. Такие доноры составляют 10</w:t>
      </w:r>
      <w:r w:rsidR="005507FC">
        <w:t>%</w:t>
      </w:r>
      <w:r w:rsidRPr="00646C19">
        <w:t xml:space="preserve"> от общего числа доноров, и в этой программе участвует 21</w:t>
      </w:r>
      <w:r w:rsidR="005507FC">
        <w:t xml:space="preserve"> </w:t>
      </w:r>
      <w:r w:rsidRPr="00646C19">
        <w:t>и</w:t>
      </w:r>
      <w:r w:rsidRPr="00646C19">
        <w:t>с</w:t>
      </w:r>
      <w:r w:rsidRPr="00646C19">
        <w:t>панская больница. С другой стороны, доноры – жертвы дорожно-транспортных происшествий составляют 4,4</w:t>
      </w:r>
      <w:r w:rsidR="005507FC">
        <w:t>%</w:t>
      </w:r>
      <w:r w:rsidRPr="00646C19">
        <w:t xml:space="preserve"> от общего числа доноров (в</w:t>
      </w:r>
      <w:r w:rsidR="005507FC">
        <w:t xml:space="preserve"> </w:t>
      </w:r>
      <w:r w:rsidRPr="00646C19">
        <w:t>2012</w:t>
      </w:r>
      <w:r w:rsidR="005507FC">
        <w:t xml:space="preserve"> </w:t>
      </w:r>
      <w:r w:rsidRPr="00646C19">
        <w:t>году</w:t>
      </w:r>
      <w:r w:rsidR="005507FC">
        <w:t xml:space="preserve"> </w:t>
      </w:r>
      <w:r w:rsidRPr="00646C19">
        <w:t>– 6</w:t>
      </w:r>
      <w:r w:rsidR="005507FC">
        <w:t>%</w:t>
      </w:r>
      <w:r w:rsidRPr="00646C19">
        <w:t>), Кроме того, после вступления в силу Национального плана донорства костного мозга существенно увеличилось число доноров костного мозга. На 1 января 2014</w:t>
      </w:r>
      <w:r w:rsidR="005507FC">
        <w:t xml:space="preserve"> </w:t>
      </w:r>
      <w:r w:rsidRPr="00646C19">
        <w:t>года в Испании было 136</w:t>
      </w:r>
      <w:r w:rsidR="00E0494E">
        <w:t> </w:t>
      </w:r>
      <w:r w:rsidRPr="00646C19">
        <w:t>449</w:t>
      </w:r>
      <w:r w:rsidR="005507FC">
        <w:t xml:space="preserve"> </w:t>
      </w:r>
      <w:r w:rsidRPr="00646C19">
        <w:t>доноров костного мозга, а в государственных хранилищах находилась 58</w:t>
      </w:r>
      <w:r w:rsidR="00E0494E">
        <w:t> </w:t>
      </w:r>
      <w:r w:rsidRPr="00646C19">
        <w:t>851 доза пуповинной крови, что очень близко к п</w:t>
      </w:r>
      <w:r w:rsidRPr="00646C19">
        <w:t>о</w:t>
      </w:r>
      <w:r w:rsidRPr="00646C19">
        <w:t>казателю 60</w:t>
      </w:r>
      <w:r w:rsidR="00E0494E">
        <w:t> </w:t>
      </w:r>
      <w:r w:rsidRPr="00646C19">
        <w:t>000 доз, предусмотренному на 2015</w:t>
      </w:r>
      <w:r w:rsidR="005507FC">
        <w:t xml:space="preserve"> </w:t>
      </w:r>
      <w:r w:rsidRPr="00646C19">
        <w:t>год Национальным планом д</w:t>
      </w:r>
      <w:r w:rsidRPr="00646C19">
        <w:t>о</w:t>
      </w:r>
      <w:r w:rsidRPr="00646C19">
        <w:t>норства пуповинной крови. Следует отметить, что донорство и трансплантации являются фактором социального сплочения страны. 22,5</w:t>
      </w:r>
      <w:r w:rsidR="005507FC">
        <w:t>%</w:t>
      </w:r>
      <w:r w:rsidRPr="00646C19">
        <w:t xml:space="preserve"> органов пересажив</w:t>
      </w:r>
      <w:r w:rsidRPr="00646C19">
        <w:t>а</w:t>
      </w:r>
      <w:r w:rsidRPr="00646C19">
        <w:t>ется за пределами автономного сообщества, в котором проживает или проживал донор.</w:t>
      </w:r>
    </w:p>
    <w:p w:rsidR="00646C19" w:rsidRPr="00646C19" w:rsidRDefault="00646C19" w:rsidP="00646C19">
      <w:pPr>
        <w:pStyle w:val="SingleTxtGR"/>
      </w:pPr>
      <w:r w:rsidRPr="00646C19">
        <w:t>55.</w:t>
      </w:r>
      <w:r w:rsidRPr="00646C19">
        <w:tab/>
        <w:t>Данные о расходах Испании на здравоохранение публикуются на веб-сайте Министерства здравоохранения в рамках Статистических данных о гос</w:t>
      </w:r>
      <w:r w:rsidRPr="00646C19">
        <w:t>у</w:t>
      </w:r>
      <w:r w:rsidRPr="00646C19">
        <w:t>дарственных расходах на здравоохранение, отражающих затраты государства на здравоохранение</w:t>
      </w:r>
      <w:r w:rsidR="00E0494E">
        <w:rPr>
          <w:rStyle w:val="ac"/>
        </w:rPr>
        <w:footnoteReference w:id="4"/>
      </w:r>
      <w:r w:rsidRPr="00646C19">
        <w:t>, а также в рамках Системы счетов сектора здравоохранения, в которой приводятся данные о расходах государства и частных компаний</w:t>
      </w:r>
      <w:r w:rsidR="003E7EBB">
        <w:rPr>
          <w:rStyle w:val="ac"/>
        </w:rPr>
        <w:footnoteReference w:id="5"/>
      </w:r>
      <w:r w:rsidRPr="00646C19">
        <w:t>. Да</w:t>
      </w:r>
      <w:r w:rsidRPr="00646C19">
        <w:t>н</w:t>
      </w:r>
      <w:r w:rsidRPr="00646C19">
        <w:t>ные по Испании за 2011</w:t>
      </w:r>
      <w:r w:rsidR="005507FC">
        <w:t xml:space="preserve"> </w:t>
      </w:r>
      <w:r w:rsidRPr="00646C19">
        <w:t>год, обнародованные в 2013</w:t>
      </w:r>
      <w:r w:rsidR="005507FC">
        <w:t xml:space="preserve"> </w:t>
      </w:r>
      <w:r w:rsidRPr="00646C19">
        <w:t>году Системой счетов се</w:t>
      </w:r>
      <w:r w:rsidRPr="00646C19">
        <w:t>к</w:t>
      </w:r>
      <w:r w:rsidRPr="00646C19">
        <w:t>тора здравоохранения, показывают, что общие расходы на здравоохранение в стране составили в 2011</w:t>
      </w:r>
      <w:r w:rsidR="005507FC">
        <w:t xml:space="preserve"> </w:t>
      </w:r>
      <w:r w:rsidRPr="00646C19">
        <w:t>году 98</w:t>
      </w:r>
      <w:r w:rsidR="003E7EBB">
        <w:t> </w:t>
      </w:r>
      <w:r w:rsidRPr="00646C19">
        <w:t>860</w:t>
      </w:r>
      <w:r w:rsidR="005507FC">
        <w:t xml:space="preserve"> </w:t>
      </w:r>
      <w:r w:rsidRPr="00646C19">
        <w:t>млн. евро (72 217</w:t>
      </w:r>
      <w:r w:rsidR="005507FC">
        <w:t xml:space="preserve"> </w:t>
      </w:r>
      <w:r w:rsidRPr="00646C19">
        <w:t>млн. из государственных средств и 26</w:t>
      </w:r>
      <w:r w:rsidR="005507FC">
        <w:t xml:space="preserve"> </w:t>
      </w:r>
      <w:r w:rsidRPr="00646C19">
        <w:t>643 млн. из средств частного сектора). В период с 2007 по 2011</w:t>
      </w:r>
      <w:r w:rsidR="005507FC">
        <w:t xml:space="preserve"> </w:t>
      </w:r>
      <w:r w:rsidRPr="00646C19">
        <w:t>год общие расходы на здравоохранение росли ежегодно в среднем на 2,5</w:t>
      </w:r>
      <w:r w:rsidR="005507FC">
        <w:t>%</w:t>
      </w:r>
      <w:r w:rsidRPr="00646C19">
        <w:t xml:space="preserve">. </w:t>
      </w:r>
      <w:r w:rsidR="003E7EBB">
        <w:br/>
      </w:r>
      <w:r w:rsidRPr="00646C19">
        <w:t>В 2011</w:t>
      </w:r>
      <w:r w:rsidR="005507FC">
        <w:t xml:space="preserve"> </w:t>
      </w:r>
      <w:r w:rsidRPr="00646C19">
        <w:t>году государственные расходы на здравоохранение сократились на 3,4</w:t>
      </w:r>
      <w:r w:rsidR="005507FC">
        <w:t>%</w:t>
      </w:r>
      <w:r w:rsidRPr="00646C19">
        <w:t>, а расходы частного сектора, наоборот, увеличились на 2,5</w:t>
      </w:r>
      <w:r w:rsidR="005507FC">
        <w:t>%</w:t>
      </w:r>
      <w:r w:rsidRPr="00646C19">
        <w:t>. В 2011</w:t>
      </w:r>
      <w:r w:rsidR="005507FC">
        <w:t xml:space="preserve"> </w:t>
      </w:r>
      <w:r w:rsidRPr="00646C19">
        <w:t>году расх</w:t>
      </w:r>
      <w:r w:rsidRPr="00646C19">
        <w:t>о</w:t>
      </w:r>
      <w:r w:rsidRPr="00646C19">
        <w:t>ды на здравоохранение составляли 9,3</w:t>
      </w:r>
      <w:r w:rsidR="005507FC">
        <w:t>%</w:t>
      </w:r>
      <w:r w:rsidRPr="00646C19">
        <w:t xml:space="preserve"> валового внутреннего продукта, что является средним показателем для стран ОЭСР, и из них 6,8</w:t>
      </w:r>
      <w:r w:rsidR="005507FC">
        <w:t>%</w:t>
      </w:r>
      <w:r w:rsidRPr="00646C19">
        <w:t xml:space="preserve"> финансировалось за счет государственных средств, а 2,5</w:t>
      </w:r>
      <w:r w:rsidR="005507FC">
        <w:t xml:space="preserve">% </w:t>
      </w:r>
      <w:r w:rsidRPr="00646C19">
        <w:t>– за с</w:t>
      </w:r>
      <w:r w:rsidR="003E7EBB">
        <w:t>чет средств частных структур. В </w:t>
      </w:r>
      <w:r w:rsidRPr="00646C19">
        <w:t>расчете на душу населения общие расходы на здравоохранение выросли с 1</w:t>
      </w:r>
      <w:r w:rsidR="003E7EBB">
        <w:t> </w:t>
      </w:r>
      <w:r w:rsidRPr="00646C19">
        <w:t>978</w:t>
      </w:r>
      <w:r w:rsidR="005507FC">
        <w:t xml:space="preserve"> </w:t>
      </w:r>
      <w:r w:rsidRPr="00646C19">
        <w:t>евро на человека в 2007</w:t>
      </w:r>
      <w:r w:rsidR="005507FC">
        <w:t xml:space="preserve"> </w:t>
      </w:r>
      <w:r w:rsidRPr="00646C19">
        <w:t>году до 2</w:t>
      </w:r>
      <w:r w:rsidR="003E7EBB">
        <w:t> </w:t>
      </w:r>
      <w:r w:rsidRPr="00646C19">
        <w:t>095</w:t>
      </w:r>
      <w:r w:rsidR="005507FC">
        <w:t xml:space="preserve"> </w:t>
      </w:r>
      <w:r w:rsidRPr="00646C19">
        <w:t>евро в 2011</w:t>
      </w:r>
      <w:r w:rsidR="005507FC">
        <w:t xml:space="preserve"> </w:t>
      </w:r>
      <w:r w:rsidRPr="00646C19">
        <w:t xml:space="preserve">году, </w:t>
      </w:r>
      <w:r w:rsidR="005507FC">
        <w:t>т.е.</w:t>
      </w:r>
      <w:r w:rsidRPr="00646C19">
        <w:t xml:space="preserve"> в среднем за пятилетие ежегодный прирост составлял 1,4</w:t>
      </w:r>
      <w:r w:rsidR="005507FC">
        <w:t>%</w:t>
      </w:r>
      <w:r w:rsidRPr="00646C19">
        <w:t>. Если брать дезагрегированные данные, то расходы на услуги по лечению и реабилитации достигли в 2011</w:t>
      </w:r>
      <w:r w:rsidR="005507FC">
        <w:t xml:space="preserve"> </w:t>
      </w:r>
      <w:r w:rsidRPr="00646C19">
        <w:t>году 56</w:t>
      </w:r>
      <w:r w:rsidR="003E7EBB">
        <w:t> </w:t>
      </w:r>
      <w:r w:rsidRPr="00646C19">
        <w:t>316</w:t>
      </w:r>
      <w:r w:rsidR="005507FC">
        <w:t xml:space="preserve"> </w:t>
      </w:r>
      <w:r w:rsidRPr="00646C19">
        <w:t>млн. евро, что составило 57,0</w:t>
      </w:r>
      <w:r w:rsidR="005507FC">
        <w:t>%</w:t>
      </w:r>
      <w:r w:rsidRPr="00646C19">
        <w:t xml:space="preserve"> от общей суммы расходов на здрав</w:t>
      </w:r>
      <w:r w:rsidRPr="00646C19">
        <w:t>о</w:t>
      </w:r>
      <w:r w:rsidRPr="00646C19">
        <w:t>охранение, а следующими по степени значимости являются расходы на мед</w:t>
      </w:r>
      <w:r w:rsidRPr="00646C19">
        <w:t>и</w:t>
      </w:r>
      <w:r w:rsidRPr="00646C19">
        <w:t>цинские продукты для пациентов, находящихся на амбулаторном лечении</w:t>
      </w:r>
      <w:r w:rsidR="005507FC">
        <w:t xml:space="preserve"> </w:t>
      </w:r>
      <w:r w:rsidRPr="00646C19">
        <w:t>– 20,1</w:t>
      </w:r>
      <w:r w:rsidR="005507FC">
        <w:t>%</w:t>
      </w:r>
      <w:r w:rsidRPr="00646C19">
        <w:t>, расходы на услуги по оказанию долгосрочной помощи</w:t>
      </w:r>
      <w:r w:rsidR="005507FC">
        <w:t xml:space="preserve"> </w:t>
      </w:r>
      <w:r w:rsidRPr="00646C19">
        <w:t>– 10,4</w:t>
      </w:r>
      <w:r w:rsidR="005507FC">
        <w:t>%</w:t>
      </w:r>
      <w:r w:rsidRPr="00646C19">
        <w:t xml:space="preserve"> (10</w:t>
      </w:r>
      <w:r w:rsidR="003E7EBB">
        <w:t> </w:t>
      </w:r>
      <w:r w:rsidRPr="00646C19">
        <w:t>328</w:t>
      </w:r>
      <w:r w:rsidR="003E7EBB">
        <w:t> </w:t>
      </w:r>
      <w:r w:rsidRPr="00646C19">
        <w:t>млн. евро – 6</w:t>
      </w:r>
      <w:r w:rsidR="00A46956">
        <w:t> </w:t>
      </w:r>
      <w:r w:rsidRPr="00646C19">
        <w:t>753</w:t>
      </w:r>
      <w:r w:rsidR="005507FC">
        <w:t xml:space="preserve"> </w:t>
      </w:r>
      <w:r w:rsidRPr="00646C19">
        <w:t>млн. евро из государственных средств и 3</w:t>
      </w:r>
      <w:r w:rsidR="00A46956">
        <w:t> </w:t>
      </w:r>
      <w:r w:rsidRPr="00646C19">
        <w:t>575</w:t>
      </w:r>
      <w:r w:rsidR="005507FC">
        <w:t xml:space="preserve"> </w:t>
      </w:r>
      <w:r w:rsidRPr="00646C19">
        <w:t>млн. евро из средств частного сектора), а также расходы на вспомогательные мед</w:t>
      </w:r>
      <w:r w:rsidRPr="00646C19">
        <w:t>и</w:t>
      </w:r>
      <w:r w:rsidRPr="00646C19">
        <w:t>цинские услуги – 5,3</w:t>
      </w:r>
      <w:r w:rsidR="005507FC">
        <w:t>%</w:t>
      </w:r>
      <w:r w:rsidRPr="00646C19">
        <w:t xml:space="preserve"> от общих расходов на здравоохранение. В 2007–2011</w:t>
      </w:r>
      <w:r w:rsidR="005507FC">
        <w:t xml:space="preserve"> </w:t>
      </w:r>
      <w:r w:rsidRPr="00646C19">
        <w:t>г</w:t>
      </w:r>
      <w:r w:rsidRPr="00646C19">
        <w:t>о</w:t>
      </w:r>
      <w:r w:rsidRPr="00646C19">
        <w:t>дах расходы возросли в следующем соотношении: на услуги по лечению и ре</w:t>
      </w:r>
      <w:r w:rsidRPr="00646C19">
        <w:t>а</w:t>
      </w:r>
      <w:r w:rsidRPr="00646C19">
        <w:t>билитации – на 2</w:t>
      </w:r>
      <w:r w:rsidR="005507FC">
        <w:t>%</w:t>
      </w:r>
      <w:r w:rsidRPr="00646C19">
        <w:t>, на услуги по оказанию долгосрочной помощи – на 1,1</w:t>
      </w:r>
      <w:r w:rsidR="005507FC">
        <w:t>%</w:t>
      </w:r>
      <w:r w:rsidRPr="00646C19">
        <w:t>, а на вспомогательные медицинские услуги – на 0,4</w:t>
      </w:r>
      <w:r w:rsidR="005507FC">
        <w:t>%</w:t>
      </w:r>
      <w:r w:rsidRPr="00646C19">
        <w:t>. Расходы на медицинские продукты для пациентов, находящихся на амбулаторном лечении, сократились на 1,2</w:t>
      </w:r>
      <w:r w:rsidR="005507FC">
        <w:t>%</w:t>
      </w:r>
      <w:r w:rsidRPr="00646C19">
        <w:t>. В 2011</w:t>
      </w:r>
      <w:r w:rsidR="005507FC">
        <w:t xml:space="preserve"> </w:t>
      </w:r>
      <w:r w:rsidRPr="00646C19">
        <w:t>году снизились расходы на все статьи медицинского обслуж</w:t>
      </w:r>
      <w:r w:rsidRPr="00646C19">
        <w:t>и</w:t>
      </w:r>
      <w:r w:rsidRPr="00646C19">
        <w:t>вания, за исключением вспомогательных услуг и услуг по лечению и реабил</w:t>
      </w:r>
      <w:r w:rsidRPr="00646C19">
        <w:t>и</w:t>
      </w:r>
      <w:r w:rsidRPr="00646C19">
        <w:t>тации. Резкий скачок в расходах на профилактические услуги и государстве</w:t>
      </w:r>
      <w:r w:rsidRPr="00646C19">
        <w:t>н</w:t>
      </w:r>
      <w:r w:rsidRPr="00646C19">
        <w:t>ное здравоохранение в период с 2008 по 2010</w:t>
      </w:r>
      <w:r w:rsidR="005507FC">
        <w:t xml:space="preserve"> </w:t>
      </w:r>
      <w:r w:rsidRPr="00646C19">
        <w:t>год был связан с централизова</w:t>
      </w:r>
      <w:r w:rsidRPr="00646C19">
        <w:t>н</w:t>
      </w:r>
      <w:r w:rsidRPr="00646C19">
        <w:t>ными закупками осенью 2009</w:t>
      </w:r>
      <w:r w:rsidR="005507FC">
        <w:t xml:space="preserve"> </w:t>
      </w:r>
      <w:r w:rsidRPr="00646C19">
        <w:t>года тогдашним Министерством здравоохранения и социальной политики импортной вакцины против гриппа A (H1N1) на 333</w:t>
      </w:r>
      <w:r w:rsidR="00A46956">
        <w:t> </w:t>
      </w:r>
      <w:r w:rsidRPr="00646C19">
        <w:t>млн.</w:t>
      </w:r>
      <w:r w:rsidR="005507FC">
        <w:t xml:space="preserve"> </w:t>
      </w:r>
      <w:r w:rsidRPr="00646C19">
        <w:t>евро. Что касается расходов на услуги по оказанию долгосрочной п</w:t>
      </w:r>
      <w:r w:rsidRPr="00646C19">
        <w:t>о</w:t>
      </w:r>
      <w:r w:rsidRPr="00646C19">
        <w:t>мощи, то на оказание помощи в больницах пришлось 65</w:t>
      </w:r>
      <w:r w:rsidR="005507FC">
        <w:t>%</w:t>
      </w:r>
      <w:r w:rsidRPr="00646C19">
        <w:t xml:space="preserve"> (6</w:t>
      </w:r>
      <w:r w:rsidR="00A46956">
        <w:t> </w:t>
      </w:r>
      <w:r w:rsidRPr="00646C19">
        <w:t>709</w:t>
      </w:r>
      <w:r w:rsidR="005507FC">
        <w:t xml:space="preserve"> </w:t>
      </w:r>
      <w:r w:rsidRPr="00646C19">
        <w:t>млн. евро, в том числе 4</w:t>
      </w:r>
      <w:r w:rsidR="00A46956">
        <w:t> </w:t>
      </w:r>
      <w:r w:rsidRPr="00646C19">
        <w:t>202</w:t>
      </w:r>
      <w:r w:rsidR="005507FC">
        <w:t xml:space="preserve"> </w:t>
      </w:r>
      <w:r w:rsidRPr="00646C19">
        <w:t>млн. евро из государственных средств и 2</w:t>
      </w:r>
      <w:r w:rsidR="00A46956">
        <w:t> </w:t>
      </w:r>
      <w:r w:rsidRPr="00646C19">
        <w:t>507</w:t>
      </w:r>
      <w:r w:rsidR="005507FC">
        <w:t xml:space="preserve"> </w:t>
      </w:r>
      <w:r w:rsidRPr="00646C19">
        <w:t>млн. евро из средств частного сектора), на оказание помощи на дому – 24</w:t>
      </w:r>
      <w:r w:rsidR="005507FC">
        <w:t>%</w:t>
      </w:r>
      <w:r w:rsidRPr="00646C19">
        <w:t xml:space="preserve"> (2</w:t>
      </w:r>
      <w:r w:rsidR="00A46956">
        <w:t> </w:t>
      </w:r>
      <w:r w:rsidRPr="00646C19">
        <w:t>478</w:t>
      </w:r>
      <w:r w:rsidR="005507FC">
        <w:t xml:space="preserve"> </w:t>
      </w:r>
      <w:r w:rsidRPr="00646C19">
        <w:t>млн. евро, в том числе 1784</w:t>
      </w:r>
      <w:r w:rsidR="005507FC">
        <w:t xml:space="preserve"> </w:t>
      </w:r>
      <w:r w:rsidRPr="00646C19">
        <w:t>млн. евро из государственных средств и 694</w:t>
      </w:r>
      <w:r w:rsidR="005507FC">
        <w:t xml:space="preserve"> </w:t>
      </w:r>
      <w:r w:rsidRPr="00646C19">
        <w:t>млн. евро из средств частного сектора), а на оказание помощи в дневных стационарах</w:t>
      </w:r>
      <w:r w:rsidR="005507FC">
        <w:t xml:space="preserve"> </w:t>
      </w:r>
      <w:r w:rsidRPr="00646C19">
        <w:t>– 11</w:t>
      </w:r>
      <w:r w:rsidR="005507FC">
        <w:t>%</w:t>
      </w:r>
      <w:r w:rsidRPr="00646C19">
        <w:t xml:space="preserve"> (1</w:t>
      </w:r>
      <w:r w:rsidR="00A46956">
        <w:t> </w:t>
      </w:r>
      <w:r w:rsidRPr="00646C19">
        <w:t>141</w:t>
      </w:r>
      <w:r w:rsidR="005507FC">
        <w:t xml:space="preserve"> </w:t>
      </w:r>
      <w:r w:rsidRPr="00646C19">
        <w:t>млн. евро, в том числе 767</w:t>
      </w:r>
      <w:r w:rsidR="005507FC">
        <w:t xml:space="preserve"> </w:t>
      </w:r>
      <w:r w:rsidRPr="00646C19">
        <w:t>млн. евро из государственных средств и 374</w:t>
      </w:r>
      <w:r w:rsidR="00A46956">
        <w:t> </w:t>
      </w:r>
      <w:r w:rsidRPr="00646C19">
        <w:t>млн. евро из средств частного сектора).</w:t>
      </w:r>
    </w:p>
    <w:p w:rsidR="00646C19" w:rsidRPr="00646C19" w:rsidRDefault="00646C19" w:rsidP="00646C19">
      <w:pPr>
        <w:pStyle w:val="SingleTxtGR"/>
      </w:pPr>
      <w:r w:rsidRPr="00646C19">
        <w:t>56.</w:t>
      </w:r>
      <w:r w:rsidRPr="00646C19">
        <w:tab/>
        <w:t>Региональные органы власти профинансировали испанскую систему здравоохранения на 91,5</w:t>
      </w:r>
      <w:r w:rsidR="005507FC">
        <w:t>%</w:t>
      </w:r>
      <w:r w:rsidRPr="00646C19">
        <w:t>, руководство Системы социального страхования, включая кассы взаимопомощи государственных служащих (МУФАСЕ, ИСФАС и МУГЕХУ) – на 6,5</w:t>
      </w:r>
      <w:r w:rsidR="005507FC">
        <w:t>%</w:t>
      </w:r>
      <w:r w:rsidRPr="00646C19">
        <w:t>, а центральная гос</w:t>
      </w:r>
      <w:r w:rsidR="00A46956">
        <w:t>ударственная администрация – на </w:t>
      </w:r>
      <w:r w:rsidRPr="00646C19">
        <w:t>0,7</w:t>
      </w:r>
      <w:r w:rsidR="005507FC">
        <w:t>%</w:t>
      </w:r>
      <w:r w:rsidRPr="00646C19">
        <w:t>. С 2009</w:t>
      </w:r>
      <w:r w:rsidR="005507FC">
        <w:t xml:space="preserve"> </w:t>
      </w:r>
      <w:r w:rsidRPr="00646C19">
        <w:t>года, когда прервалась давняя традиция к увеличению расходов на здравоохранение, расходы органов государственной администрации сниз</w:t>
      </w:r>
      <w:r w:rsidRPr="00646C19">
        <w:t>и</w:t>
      </w:r>
      <w:r w:rsidRPr="00646C19">
        <w:t>лись на 4,2</w:t>
      </w:r>
      <w:r w:rsidR="005507FC">
        <w:t>%</w:t>
      </w:r>
      <w:r w:rsidRPr="00646C19">
        <w:t>, и это стало следствием принятия экстренных мер по сокращению дефицита государственного бюджета, принимавшихся с мая 2010</w:t>
      </w:r>
      <w:r w:rsidR="005507FC">
        <w:t xml:space="preserve"> </w:t>
      </w:r>
      <w:r w:rsidRPr="00646C19">
        <w:t>года из-за экономического кризиса. В числе претерпевших наибольшее сокращение статей расходов на государственное здравоохранение следует отметить сокращение расходов на фармацевтические средства и другие расходные медицинские пр</w:t>
      </w:r>
      <w:r w:rsidRPr="00646C19">
        <w:t>о</w:t>
      </w:r>
      <w:r w:rsidRPr="00646C19">
        <w:t>дукты: с</w:t>
      </w:r>
      <w:r w:rsidR="005507FC">
        <w:t xml:space="preserve"> </w:t>
      </w:r>
      <w:r w:rsidRPr="00646C19">
        <w:t>2009</w:t>
      </w:r>
      <w:r w:rsidR="005507FC">
        <w:t xml:space="preserve"> </w:t>
      </w:r>
      <w:r w:rsidRPr="00646C19">
        <w:t>года эти доходы снизились на 8,9</w:t>
      </w:r>
      <w:r w:rsidR="005507FC">
        <w:t>%</w:t>
      </w:r>
      <w:r w:rsidRPr="00646C19">
        <w:t>. В 2011</w:t>
      </w:r>
      <w:r w:rsidR="005507FC">
        <w:t xml:space="preserve"> </w:t>
      </w:r>
      <w:r w:rsidRPr="00646C19">
        <w:t>году по сравнению с 2010</w:t>
      </w:r>
      <w:r w:rsidR="005507FC">
        <w:t xml:space="preserve"> </w:t>
      </w:r>
      <w:r w:rsidRPr="00646C19">
        <w:t>годом сократились расходы органов государственной власти всех уровней на здравоохранение. Наибольшее сокращение – на 7,7</w:t>
      </w:r>
      <w:r w:rsidR="005507FC">
        <w:t xml:space="preserve">% </w:t>
      </w:r>
      <w:r w:rsidRPr="00646C19">
        <w:t>– претерпели расходы центральной государственной администрации.</w:t>
      </w:r>
    </w:p>
    <w:p w:rsidR="00646C19" w:rsidRPr="00646C19" w:rsidRDefault="00646C19" w:rsidP="00646C19">
      <w:pPr>
        <w:pStyle w:val="SingleTxtGR"/>
      </w:pPr>
      <w:r w:rsidRPr="00646C19">
        <w:t>57.</w:t>
      </w:r>
      <w:r w:rsidRPr="00646C19">
        <w:tab/>
        <w:t>Залогом нормальной работы любой системы оказания услуг, к числу к</w:t>
      </w:r>
      <w:r w:rsidRPr="00646C19">
        <w:t>о</w:t>
      </w:r>
      <w:r w:rsidRPr="00646C19">
        <w:t>торых также относится Национальная система здравоохранения, является уд</w:t>
      </w:r>
      <w:r w:rsidRPr="00646C19">
        <w:t>о</w:t>
      </w:r>
      <w:r w:rsidRPr="00646C19">
        <w:t>влетворенность ее работой, и поэтому информация об оценке работы системы имеет ключевое значение. Более 7 из каждых 10</w:t>
      </w:r>
      <w:r w:rsidR="005507FC">
        <w:t xml:space="preserve"> </w:t>
      </w:r>
      <w:r w:rsidRPr="00646C19">
        <w:t>взрослых жителей страны по</w:t>
      </w:r>
      <w:r w:rsidRPr="00646C19">
        <w:t>д</w:t>
      </w:r>
      <w:r w:rsidRPr="00646C19">
        <w:t>держивают государственную систему здравоохранения, позитивно оценивая ее работу. В последние</w:t>
      </w:r>
      <w:r w:rsidR="005507FC">
        <w:t xml:space="preserve"> </w:t>
      </w:r>
      <w:r w:rsidRPr="00646C19">
        <w:t>годы степень этого одобрения постоянно росла. Примерно 2 из каждых 10</w:t>
      </w:r>
      <w:r w:rsidR="005507FC">
        <w:t xml:space="preserve"> </w:t>
      </w:r>
      <w:r w:rsidRPr="00646C19">
        <w:t>опрошенных высказались за необходимость реформирования системы, и этот показатель ниже, чем в предыдущие</w:t>
      </w:r>
      <w:r w:rsidR="005507FC">
        <w:t xml:space="preserve"> </w:t>
      </w:r>
      <w:r w:rsidRPr="00646C19">
        <w:t>годы. Доля тех, кто выр</w:t>
      </w:r>
      <w:r w:rsidRPr="00646C19">
        <w:t>а</w:t>
      </w:r>
      <w:r w:rsidRPr="00646C19">
        <w:t>жает недовольство и требует полного преобразования системы, ниже 1 на ка</w:t>
      </w:r>
      <w:r w:rsidRPr="00646C19">
        <w:t>ж</w:t>
      </w:r>
      <w:r w:rsidRPr="00646C19">
        <w:t>дые 10 опрошенных (4,2</w:t>
      </w:r>
      <w:r w:rsidR="005507FC">
        <w:t>%</w:t>
      </w:r>
      <w:r w:rsidRPr="00646C19">
        <w:t>) – этот показатель за последние</w:t>
      </w:r>
      <w:r w:rsidR="005507FC">
        <w:t xml:space="preserve"> </w:t>
      </w:r>
      <w:r w:rsidRPr="00646C19">
        <w:t>годы не изменился.</w:t>
      </w:r>
    </w:p>
    <w:p w:rsidR="00646C19" w:rsidRPr="00646C19" w:rsidRDefault="00646C19" w:rsidP="00A46956">
      <w:pPr>
        <w:pStyle w:val="H4GR"/>
      </w:pPr>
      <w:r w:rsidRPr="00646C19">
        <w:tab/>
      </w:r>
      <w:r w:rsidRPr="00646C19">
        <w:tab/>
        <w:t>Образование</w:t>
      </w:r>
    </w:p>
    <w:p w:rsidR="00646C19" w:rsidRPr="00646C19" w:rsidRDefault="00646C19" w:rsidP="00646C19">
      <w:pPr>
        <w:pStyle w:val="SingleTxtGR"/>
      </w:pPr>
      <w:r w:rsidRPr="00646C19">
        <w:t>58.</w:t>
      </w:r>
      <w:r w:rsidRPr="00646C19">
        <w:tab/>
        <w:t>Законодательные основы, регламентирующие и направляющие деятел</w:t>
      </w:r>
      <w:r w:rsidRPr="00646C19">
        <w:t>ь</w:t>
      </w:r>
      <w:r w:rsidRPr="00646C19">
        <w:t>ность испанской системы образования, определены Конституцией Испании 1978</w:t>
      </w:r>
      <w:r w:rsidR="005507FC">
        <w:t xml:space="preserve"> </w:t>
      </w:r>
      <w:r w:rsidRPr="00646C19">
        <w:t>года и следующими законами, в которых получают дальнейшее развитие закрепленные в Конституции принципы и права в данной области:</w:t>
      </w:r>
    </w:p>
    <w:p w:rsidR="00646C19" w:rsidRPr="00646C19" w:rsidRDefault="00646C19" w:rsidP="00F85BB9">
      <w:pPr>
        <w:pStyle w:val="Bullet1GR"/>
      </w:pPr>
      <w:r w:rsidRPr="00646C19">
        <w:t>Органическим законом 1985</w:t>
      </w:r>
      <w:r w:rsidR="00FE0E94">
        <w:t> </w:t>
      </w:r>
      <w:r w:rsidRPr="00646C19">
        <w:t>года, регулирующим право на образование (ОЗПО);</w:t>
      </w:r>
    </w:p>
    <w:p w:rsidR="00646C19" w:rsidRPr="00646C19" w:rsidRDefault="00646C19" w:rsidP="00F85BB9">
      <w:pPr>
        <w:pStyle w:val="Bullet1GR"/>
      </w:pPr>
      <w:r w:rsidRPr="00646C19">
        <w:t>Органическим законом от 3 мая 2006</w:t>
      </w:r>
      <w:r w:rsidR="005507FC">
        <w:t xml:space="preserve"> </w:t>
      </w:r>
      <w:r w:rsidRPr="00646C19">
        <w:t>года об образовании (ОЗО);</w:t>
      </w:r>
    </w:p>
    <w:p w:rsidR="00646C19" w:rsidRPr="00646C19" w:rsidRDefault="00646C19" w:rsidP="00F85BB9">
      <w:pPr>
        <w:pStyle w:val="Bullet1GR"/>
      </w:pPr>
      <w:r w:rsidRPr="00646C19">
        <w:t>Законом 5/2002 от 19 июня о профессиональной квалификации и подг</w:t>
      </w:r>
      <w:r w:rsidRPr="00646C19">
        <w:t>о</w:t>
      </w:r>
      <w:r w:rsidRPr="00646C19">
        <w:t>товке от 19</w:t>
      </w:r>
      <w:r w:rsidR="005507FC">
        <w:t xml:space="preserve"> </w:t>
      </w:r>
      <w:r w:rsidRPr="00646C19">
        <w:t>июня 2002</w:t>
      </w:r>
      <w:r w:rsidR="005507FC">
        <w:t xml:space="preserve"> </w:t>
      </w:r>
      <w:r w:rsidRPr="00646C19">
        <w:t>года;</w:t>
      </w:r>
    </w:p>
    <w:p w:rsidR="00646C19" w:rsidRPr="00646C19" w:rsidRDefault="00646C19" w:rsidP="00F85BB9">
      <w:pPr>
        <w:pStyle w:val="Bullet1GR"/>
      </w:pPr>
      <w:r w:rsidRPr="00646C19">
        <w:t>Органическим законом</w:t>
      </w:r>
      <w:r w:rsidR="005507FC">
        <w:t xml:space="preserve"> </w:t>
      </w:r>
      <w:r w:rsidRPr="00646C19">
        <w:t>№</w:t>
      </w:r>
      <w:r w:rsidR="005507FC">
        <w:t xml:space="preserve"> </w:t>
      </w:r>
      <w:r w:rsidRPr="00646C19">
        <w:t>8/2013 от 9</w:t>
      </w:r>
      <w:r w:rsidR="005507FC">
        <w:t xml:space="preserve"> </w:t>
      </w:r>
      <w:r w:rsidRPr="00646C19">
        <w:t>декабря о повышении качества о</w:t>
      </w:r>
      <w:r w:rsidRPr="00646C19">
        <w:t>б</w:t>
      </w:r>
      <w:r w:rsidRPr="00646C19">
        <w:t>разования (ОЗПКО), внесшим изменения в ОЗО.</w:t>
      </w:r>
    </w:p>
    <w:p w:rsidR="00646C19" w:rsidRPr="00646C19" w:rsidRDefault="00646C19" w:rsidP="00646C19">
      <w:pPr>
        <w:pStyle w:val="SingleTxtGR"/>
      </w:pPr>
      <w:r w:rsidRPr="00646C19">
        <w:t>59.</w:t>
      </w:r>
      <w:r w:rsidRPr="00646C19">
        <w:tab/>
        <w:t>Органический закон об образовании регулирует структуру и организацию системы образования на всех уровнях, кроме университетского. Он подтве</w:t>
      </w:r>
      <w:r w:rsidRPr="00646C19">
        <w:t>р</w:t>
      </w:r>
      <w:r w:rsidRPr="00646C19">
        <w:t>ждает признанные в Конституции и ОЗПО принципы и права, подкрепляя новое законодательство о высоком качестве образования для всех в условиях равн</w:t>
      </w:r>
      <w:r w:rsidRPr="00646C19">
        <w:t>о</w:t>
      </w:r>
      <w:r w:rsidRPr="00646C19">
        <w:t>правия. В законе подчеркивается необходимость инклюзивного характера обр</w:t>
      </w:r>
      <w:r w:rsidRPr="00646C19">
        <w:t>а</w:t>
      </w:r>
      <w:r w:rsidRPr="00646C19">
        <w:t>зования, равенство в обращении и недопустимость дискриминации в отнош</w:t>
      </w:r>
      <w:r w:rsidRPr="00646C19">
        <w:t>е</w:t>
      </w:r>
      <w:r w:rsidRPr="00646C19">
        <w:t>нии любого лица при любых обстоятельствах. ОЗПКО обращает особое вним</w:t>
      </w:r>
      <w:r w:rsidRPr="00646C19">
        <w:t>а</w:t>
      </w:r>
      <w:r w:rsidRPr="00646C19">
        <w:t>ние на вопросы равноправия мужчин и женщин. Оба закона рассматривают о</w:t>
      </w:r>
      <w:r w:rsidRPr="00646C19">
        <w:t>б</w:t>
      </w:r>
      <w:r w:rsidRPr="00646C19">
        <w:t>разование как предоставление обществу существенно важной услуги, которая должна обеспечивать доступность школьного образования для всех без разгр</w:t>
      </w:r>
      <w:r w:rsidRPr="00646C19">
        <w:t>а</w:t>
      </w:r>
      <w:r w:rsidRPr="00646C19">
        <w:t>ничений по каким-либо категориям, в условиях равенства возможностей, с г</w:t>
      </w:r>
      <w:r w:rsidRPr="00646C19">
        <w:t>а</w:t>
      </w:r>
      <w:r w:rsidRPr="00646C19">
        <w:t>рантией его регулярности и непрерывности, а также на принципах его пост</w:t>
      </w:r>
      <w:r w:rsidRPr="00646C19">
        <w:t>е</w:t>
      </w:r>
      <w:r w:rsidRPr="00646C19">
        <w:t>пенной адаптации к изменениям социального характера. Государственная обр</w:t>
      </w:r>
      <w:r w:rsidRPr="00646C19">
        <w:t>а</w:t>
      </w:r>
      <w:r w:rsidRPr="00646C19">
        <w:t>зовательная услуга может быть предоставлена как государственными органами власти, так и по общественной инициативе. Основные задачи системы образ</w:t>
      </w:r>
      <w:r w:rsidRPr="00646C19">
        <w:t>о</w:t>
      </w:r>
      <w:r w:rsidRPr="00646C19">
        <w:t>вания в связи с учебным процессом заключаются в совершенствовании образ</w:t>
      </w:r>
      <w:r w:rsidRPr="00646C19">
        <w:t>о</w:t>
      </w:r>
      <w:r w:rsidRPr="00646C19">
        <w:t>вания и повышении успеваемости, успешном получении всеми обязательного образования, расширении охвата дошкольным, средним и специальным образ</w:t>
      </w:r>
      <w:r w:rsidRPr="00646C19">
        <w:t>о</w:t>
      </w:r>
      <w:r w:rsidRPr="00646C19">
        <w:t>ванием, увеличении выпуска дипломированных специалистов на уровне сре</w:t>
      </w:r>
      <w:r w:rsidRPr="00646C19">
        <w:t>д</w:t>
      </w:r>
      <w:r w:rsidRPr="00646C19">
        <w:t>него и средне-технического образования, воспитании демократической гра</w:t>
      </w:r>
      <w:r w:rsidRPr="00646C19">
        <w:t>ж</w:t>
      </w:r>
      <w:r w:rsidRPr="00646C19">
        <w:t>данственности в целях утверждения свободного, толерантного и справедливого общества и для содействия защите ценностей и принципов свободы, плюрали</w:t>
      </w:r>
      <w:r w:rsidRPr="00646C19">
        <w:t>з</w:t>
      </w:r>
      <w:r w:rsidRPr="00646C19">
        <w:t>ма, прав</w:t>
      </w:r>
      <w:r w:rsidR="005507FC">
        <w:t xml:space="preserve"> </w:t>
      </w:r>
      <w:r w:rsidRPr="00646C19">
        <w:t>человека и верховенства закона, являющихся основой демократии, обеспечивая учет принципов гражданского воспитания и приверженности Ко</w:t>
      </w:r>
      <w:r w:rsidRPr="00646C19">
        <w:t>н</w:t>
      </w:r>
      <w:r w:rsidRPr="00646C19">
        <w:t>ституции при изучении всех предметов основной школы, поощрении обучения на протяжении всей жизни, строгом соблюдении принципов справедливости в системе образования и конвергенции со странами ЕС. Согласно ОЗО и ОЗПКО, базовое образование предусматривает 10</w:t>
      </w:r>
      <w:r w:rsidR="005507FC">
        <w:t xml:space="preserve"> </w:t>
      </w:r>
      <w:r w:rsidRPr="00646C19">
        <w:t>лет регулярного школьного обучения для детей от 6 до 16</w:t>
      </w:r>
      <w:r w:rsidR="005507FC">
        <w:t xml:space="preserve"> </w:t>
      </w:r>
      <w:r w:rsidRPr="00646C19">
        <w:t>лет. Базовое образование подразделяется на начальное и обязательное среднее образование. Кроме того, закон регламентирует пред</w:t>
      </w:r>
      <w:r w:rsidRPr="00646C19">
        <w:t>о</w:t>
      </w:r>
      <w:r w:rsidRPr="00646C19">
        <w:t>ставление дошкольного образования, образования на старшей ступени средней школы, художественного образования, спортивного образования, изучение яз</w:t>
      </w:r>
      <w:r w:rsidRPr="00646C19">
        <w:t>ы</w:t>
      </w:r>
      <w:r w:rsidRPr="00646C19">
        <w:t>ков, а также образование взрослых и дистанционное образование в рамках об</w:t>
      </w:r>
      <w:r w:rsidRPr="00646C19">
        <w:t>у</w:t>
      </w:r>
      <w:r w:rsidRPr="00646C19">
        <w:t>чения на протяжении всей жизни. В нем также содержатся положения о план</w:t>
      </w:r>
      <w:r w:rsidRPr="00646C19">
        <w:t>и</w:t>
      </w:r>
      <w:r w:rsidRPr="00646C19">
        <w:t>ровании при участии заинтересованных сторон и аспектах, имеющих отнош</w:t>
      </w:r>
      <w:r w:rsidRPr="00646C19">
        <w:t>е</w:t>
      </w:r>
      <w:r w:rsidRPr="00646C19">
        <w:t>ние к организации и функционированию учебных заведений с акцентом на их полномочия и организационную автономию. Кроме того, устанавливаются по</w:t>
      </w:r>
      <w:r w:rsidRPr="00646C19">
        <w:t>л</w:t>
      </w:r>
      <w:r w:rsidRPr="00646C19">
        <w:t>номочия школьных советов и преподавательского коллектива. Следует отм</w:t>
      </w:r>
      <w:r w:rsidRPr="00646C19">
        <w:t>е</w:t>
      </w:r>
      <w:r w:rsidRPr="00646C19">
        <w:t>тить, что ОЗО стимулирует сотрудничество между семьей и школой, спосо</w:t>
      </w:r>
      <w:r w:rsidRPr="00646C19">
        <w:t>б</w:t>
      </w:r>
      <w:r w:rsidRPr="00646C19">
        <w:t>ствуя расширению участия и повышению ответственности учащихся и родит</w:t>
      </w:r>
      <w:r w:rsidRPr="00646C19">
        <w:t>е</w:t>
      </w:r>
      <w:r w:rsidRPr="00646C19">
        <w:t>лей. Равным образом, ОЗПКО закрепляет автономию образовательных учр</w:t>
      </w:r>
      <w:r w:rsidRPr="00646C19">
        <w:t>е</w:t>
      </w:r>
      <w:r w:rsidRPr="00646C19">
        <w:t>ждений, дает право руководству этих учреждений оценивать результаты своей работы и осуществлять соответствующие планы деятельности, а также, имея в виду реформирование системы образования, обращает особое внимание на три аспекта, а именно развитие информационно-коммуникационных технологий в целях создания рентабельной с точки зрения экономики цифровой школы, с</w:t>
      </w:r>
      <w:r w:rsidRPr="00646C19">
        <w:t>о</w:t>
      </w:r>
      <w:r w:rsidRPr="00646C19">
        <w:t>действие многоязычию в целях обеспечения владения учащимися одним или даже двумя иностранными языками, а также модернизация системы професс</w:t>
      </w:r>
      <w:r w:rsidRPr="00646C19">
        <w:t>и</w:t>
      </w:r>
      <w:r w:rsidRPr="00646C19">
        <w:t>онального образования.</w:t>
      </w:r>
    </w:p>
    <w:p w:rsidR="00646C19" w:rsidRPr="00646C19" w:rsidRDefault="00646C19" w:rsidP="00FE0E94">
      <w:pPr>
        <w:pStyle w:val="H4GR"/>
      </w:pPr>
      <w:r w:rsidRPr="00646C19">
        <w:tab/>
      </w:r>
      <w:r w:rsidRPr="00646C19">
        <w:tab/>
        <w:t>Высшее университетское образование</w:t>
      </w:r>
    </w:p>
    <w:p w:rsidR="00646C19" w:rsidRPr="00646C19" w:rsidRDefault="00646C19" w:rsidP="00646C19">
      <w:pPr>
        <w:pStyle w:val="SingleTxtGR"/>
      </w:pPr>
      <w:r w:rsidRPr="00646C19">
        <w:t>60.</w:t>
      </w:r>
      <w:r w:rsidRPr="00646C19">
        <w:tab/>
        <w:t>Действующий в структуре Министерства образования, культуры и спорта и под непосредственным руководством главы этого ведомства Генеральный секретариат университетов исполняет все функции, закрепленные за централ</w:t>
      </w:r>
      <w:r w:rsidRPr="00646C19">
        <w:t>ь</w:t>
      </w:r>
      <w:r w:rsidRPr="00646C19">
        <w:t>ными органами государственной власти в сфере высшего университетского о</w:t>
      </w:r>
      <w:r w:rsidRPr="00646C19">
        <w:t>б</w:t>
      </w:r>
      <w:r w:rsidRPr="00646C19">
        <w:t>разования. В</w:t>
      </w:r>
      <w:r w:rsidR="005507FC">
        <w:t xml:space="preserve"> </w:t>
      </w:r>
      <w:r w:rsidRPr="00646C19">
        <w:t>соответствии с Королевским декретом</w:t>
      </w:r>
      <w:r w:rsidR="005507FC">
        <w:t xml:space="preserve"> </w:t>
      </w:r>
      <w:r w:rsidRPr="00646C19">
        <w:t>257/2012 от 27</w:t>
      </w:r>
      <w:r w:rsidR="005507FC">
        <w:t xml:space="preserve"> </w:t>
      </w:r>
      <w:r w:rsidRPr="00646C19">
        <w:t>января, определившим базовую структуру Министерства образования, культуры и спорта, в подчинении Генерального секретариата университетов действует Главное управление по вопросам политики в сфере университетского образов</w:t>
      </w:r>
      <w:r w:rsidRPr="00646C19">
        <w:t>а</w:t>
      </w:r>
      <w:r w:rsidRPr="00646C19">
        <w:t>ния, на которое возложены, в числе прочего, такие обязанности, как:</w:t>
      </w:r>
    </w:p>
    <w:p w:rsidR="00646C19" w:rsidRPr="00646C19" w:rsidRDefault="00646C19" w:rsidP="00FE0E94">
      <w:pPr>
        <w:pStyle w:val="Bullet1GR"/>
      </w:pPr>
      <w:r w:rsidRPr="00646C19">
        <w:t>регламентирование университетского образования и порядка приема в университеты;</w:t>
      </w:r>
    </w:p>
    <w:p w:rsidR="00646C19" w:rsidRPr="00646C19" w:rsidRDefault="00646C19" w:rsidP="00FE0E94">
      <w:pPr>
        <w:pStyle w:val="Bullet1GR"/>
      </w:pPr>
      <w:r w:rsidRPr="00646C19">
        <w:t>развитие Европейского пространства высшего образования и содействие в принятии мер к внедрению системы университетских степеней;</w:t>
      </w:r>
    </w:p>
    <w:p w:rsidR="00646C19" w:rsidRPr="00646C19" w:rsidRDefault="00646C19" w:rsidP="00FE0E94">
      <w:pPr>
        <w:pStyle w:val="Bullet1GR"/>
      </w:pPr>
      <w:r w:rsidRPr="00646C19">
        <w:t>создание условий для аккредитации официальных университетских ст</w:t>
      </w:r>
      <w:r w:rsidRPr="00646C19">
        <w:t>е</w:t>
      </w:r>
      <w:r w:rsidRPr="00646C19">
        <w:t>пеней и приравненных к ним званий, признания и подтверждения званий, присваиваемых в Испании и за рубежом;</w:t>
      </w:r>
    </w:p>
    <w:p w:rsidR="00646C19" w:rsidRPr="00646C19" w:rsidRDefault="00646C19" w:rsidP="00FE0E94">
      <w:pPr>
        <w:pStyle w:val="Bullet1GR"/>
      </w:pPr>
      <w:r w:rsidRPr="00646C19">
        <w:t>административное и экономико-финансовое управление общей системой стипендий, материальной помощи для учебы и других видов помощи;</w:t>
      </w:r>
    </w:p>
    <w:p w:rsidR="00646C19" w:rsidRPr="00646C19" w:rsidRDefault="00646C19" w:rsidP="00FE0E94">
      <w:pPr>
        <w:pStyle w:val="Bullet1GR"/>
      </w:pPr>
      <w:r w:rsidRPr="00646C19">
        <w:t>содействие в международной мобильности студентов и дипломированных специалистов в рамках Европейского союза и за его пределами;</w:t>
      </w:r>
    </w:p>
    <w:p w:rsidR="00646C19" w:rsidRPr="00646C19" w:rsidRDefault="00646C19" w:rsidP="00FE0E94">
      <w:pPr>
        <w:pStyle w:val="Bullet1GR"/>
      </w:pPr>
      <w:r w:rsidRPr="00646C19">
        <w:t>планирование и осуществление программ по регламентированию, моде</w:t>
      </w:r>
      <w:r w:rsidRPr="00646C19">
        <w:t>р</w:t>
      </w:r>
      <w:r w:rsidRPr="00646C19">
        <w:t>низации и наращиванию потенциала управленческих структур и инфр</w:t>
      </w:r>
      <w:r w:rsidRPr="00646C19">
        <w:t>а</w:t>
      </w:r>
      <w:r w:rsidRPr="00646C19">
        <w:t>структуры университетов.</w:t>
      </w:r>
    </w:p>
    <w:p w:rsidR="00646C19" w:rsidRPr="00646C19" w:rsidRDefault="00646C19" w:rsidP="00646C19">
      <w:pPr>
        <w:pStyle w:val="SingleTxtGR"/>
      </w:pPr>
      <w:r w:rsidRPr="00646C19">
        <w:t>61.</w:t>
      </w:r>
      <w:r w:rsidRPr="00646C19">
        <w:tab/>
        <w:t>Через это Главное управление осуществляются контакты между Мин</w:t>
      </w:r>
      <w:r w:rsidRPr="00646C19">
        <w:t>и</w:t>
      </w:r>
      <w:r w:rsidRPr="00646C19">
        <w:t>стерством, с одной стороны, и Национальной комиссией по оценке исследов</w:t>
      </w:r>
      <w:r w:rsidRPr="00646C19">
        <w:t>а</w:t>
      </w:r>
      <w:r w:rsidRPr="00646C19">
        <w:t>тельской деятельности (НКОИД), действующей на основе Королевского декр</w:t>
      </w:r>
      <w:r w:rsidRPr="00646C19">
        <w:t>е</w:t>
      </w:r>
      <w:r w:rsidRPr="00646C19">
        <w:t>та</w:t>
      </w:r>
      <w:r w:rsidR="00FE0E94">
        <w:t> </w:t>
      </w:r>
      <w:r w:rsidRPr="00646C19">
        <w:t>№</w:t>
      </w:r>
      <w:r w:rsidR="005507FC">
        <w:t xml:space="preserve"> </w:t>
      </w:r>
      <w:r w:rsidRPr="00646C19">
        <w:t>1086/1989 от 28</w:t>
      </w:r>
      <w:r w:rsidR="005507FC">
        <w:t xml:space="preserve"> </w:t>
      </w:r>
      <w:r w:rsidRPr="00646C19">
        <w:t>августа об оплате труда преподавателей университетов, и Национальным агентством по оценке качества и аккредитации (АНЕКА). Ген</w:t>
      </w:r>
      <w:r w:rsidRPr="00646C19">
        <w:t>е</w:t>
      </w:r>
      <w:r w:rsidRPr="00646C19">
        <w:t>ральный секретариат университетов (ГСУ) во исполнение своей функции по определению направленности и поддержанию международных отношений в сфере высшего университетского образования приступает в 2014</w:t>
      </w:r>
      <w:r w:rsidR="005507FC">
        <w:t xml:space="preserve"> </w:t>
      </w:r>
      <w:r w:rsidRPr="00646C19">
        <w:t>году к ос</w:t>
      </w:r>
      <w:r w:rsidRPr="00646C19">
        <w:t>у</w:t>
      </w:r>
      <w:r w:rsidRPr="00646C19">
        <w:t>ществлению Стратегии усиления международного характера университетов Испании. Кроме того, важным инструментом в руках ГСУ является Комплек</w:t>
      </w:r>
      <w:r w:rsidRPr="00646C19">
        <w:t>с</w:t>
      </w:r>
      <w:r w:rsidRPr="00646C19">
        <w:t>ная система информации о деятельности университетов (КСИДУ), которая на постоянной основе собирает показатели, необходимые для оценки и монит</w:t>
      </w:r>
      <w:r w:rsidRPr="00646C19">
        <w:t>о</w:t>
      </w:r>
      <w:r w:rsidRPr="00646C19">
        <w:t>ринга Испанской университетской системы.</w:t>
      </w:r>
    </w:p>
    <w:p w:rsidR="00646C19" w:rsidRPr="00646C19" w:rsidRDefault="00646C19" w:rsidP="00646C19">
      <w:pPr>
        <w:pStyle w:val="SingleTxtGR"/>
      </w:pPr>
      <w:r w:rsidRPr="00646C19">
        <w:t>62.</w:t>
      </w:r>
      <w:r w:rsidRPr="00646C19">
        <w:tab/>
        <w:t>Принятый 12 апреля 2007</w:t>
      </w:r>
      <w:r w:rsidR="005507FC">
        <w:t xml:space="preserve"> </w:t>
      </w:r>
      <w:r w:rsidRPr="00646C19">
        <w:t>года Органический закон</w:t>
      </w:r>
      <w:r w:rsidR="005507FC">
        <w:t xml:space="preserve"> </w:t>
      </w:r>
      <w:r w:rsidRPr="00646C19">
        <w:t>№</w:t>
      </w:r>
      <w:r w:rsidR="005507FC">
        <w:t xml:space="preserve"> </w:t>
      </w:r>
      <w:r w:rsidRPr="00646C19">
        <w:t>4/2007 (ОЗИОЗУ) о внесении изменений в Органический закон об университетах</w:t>
      </w:r>
      <w:r w:rsidR="005507FC">
        <w:t xml:space="preserve"> </w:t>
      </w:r>
      <w:r w:rsidRPr="00646C19">
        <w:t>№</w:t>
      </w:r>
      <w:r w:rsidR="005507FC">
        <w:t xml:space="preserve"> </w:t>
      </w:r>
      <w:r w:rsidRPr="00646C19">
        <w:t>6/2001 от 21</w:t>
      </w:r>
      <w:r w:rsidR="00533C6F">
        <w:t> </w:t>
      </w:r>
      <w:r w:rsidRPr="00646C19">
        <w:t>декабря 2001</w:t>
      </w:r>
      <w:r w:rsidR="005507FC">
        <w:t xml:space="preserve"> </w:t>
      </w:r>
      <w:r w:rsidRPr="00646C19">
        <w:t>года, предусматривает ряд реформ, направленных на укрепл</w:t>
      </w:r>
      <w:r w:rsidRPr="00646C19">
        <w:t>е</w:t>
      </w:r>
      <w:r w:rsidRPr="00646C19">
        <w:t>ние автономии университетов с одновременным ужесточением требования в отношении отчетности о выполнении ими своих функций. Эти изменения направлены прежде всего на повышение качества образования в испанских университетах, а также на содействие в их вхождении в Европейское простра</w:t>
      </w:r>
      <w:r w:rsidRPr="00646C19">
        <w:t>н</w:t>
      </w:r>
      <w:r w:rsidRPr="00646C19">
        <w:t>ство высшего образования (ЕПВО) и на присоединение испанского научного и исследовательского сообщества к проекту Европейского научно-исследовательского пространства (ЕНИП). Европейский союз оказывает соде</w:t>
      </w:r>
      <w:r w:rsidRPr="00646C19">
        <w:t>й</w:t>
      </w:r>
      <w:r w:rsidRPr="00646C19">
        <w:t>ствие данной инициативе путем модернизации университетов в целях их пр</w:t>
      </w:r>
      <w:r w:rsidRPr="00646C19">
        <w:t>е</w:t>
      </w:r>
      <w:r w:rsidRPr="00646C19">
        <w:t>вращения в активных субъектов преобразований в Европе "на основе знаний, повышения конкурентоспособности и динамики мировой экономики, поощр</w:t>
      </w:r>
      <w:r w:rsidRPr="00646C19">
        <w:t>е</w:t>
      </w:r>
      <w:r w:rsidRPr="00646C19">
        <w:t>ния устойчивого экономического роста на принципах расширения занятости и улучшения условий труда и содействия укреплению социального единства". Для решения этой задачи европейские университеты должны взять на себя в</w:t>
      </w:r>
      <w:r w:rsidRPr="00646C19">
        <w:t>е</w:t>
      </w:r>
      <w:r w:rsidRPr="00646C19">
        <w:t>дущую роль и стать проводниками новой парадигмы, в основе которой лежит общество знаний, а также стать конкурентоспособными на мировой арене, как это было заявлено в коммюнике Европейской комиссии, указавшей на необх</w:t>
      </w:r>
      <w:r w:rsidRPr="00646C19">
        <w:t>о</w:t>
      </w:r>
      <w:r w:rsidRPr="00646C19">
        <w:t>димость "мобилизовать интеллектуальный капитал Европы: создать условия, необходимые для того, чтобы университеты могли в полной мере вносить свой вклад в осуществление Лиссабонской стратегии 2005</w:t>
      </w:r>
      <w:r w:rsidR="005507FC">
        <w:t xml:space="preserve"> </w:t>
      </w:r>
      <w:r w:rsidRPr="00646C19">
        <w:t>года". Кроме того, пр</w:t>
      </w:r>
      <w:r w:rsidRPr="00646C19">
        <w:t>о</w:t>
      </w:r>
      <w:r w:rsidRPr="00646C19">
        <w:t>цесс создания ЕПВО предусматривает, в числе прочего, внедрение системы удостоверения и аккредитации АНЕКА и региональными агентствами офиц</w:t>
      </w:r>
      <w:r w:rsidRPr="00646C19">
        <w:t>и</w:t>
      </w:r>
      <w:r w:rsidRPr="00646C19">
        <w:t>альных степеней, а также создание системы присвоения новых степеней авт</w:t>
      </w:r>
      <w:r w:rsidRPr="00646C19">
        <w:t>о</w:t>
      </w:r>
      <w:r w:rsidRPr="00646C19">
        <w:t>номными сообществами и Советом университетов.</w:t>
      </w:r>
    </w:p>
    <w:p w:rsidR="00646C19" w:rsidRPr="00646C19" w:rsidRDefault="00646C19" w:rsidP="00646C19">
      <w:pPr>
        <w:pStyle w:val="SingleTxtGR"/>
      </w:pPr>
      <w:r w:rsidRPr="00646C19">
        <w:t>63.</w:t>
      </w:r>
      <w:r w:rsidRPr="00646C19">
        <w:tab/>
        <w:t>В 2013/14 учебном</w:t>
      </w:r>
      <w:r w:rsidR="005507FC">
        <w:t xml:space="preserve"> </w:t>
      </w:r>
      <w:r w:rsidRPr="00646C19">
        <w:t>году в состав Испанской университетской системы (ИУС) входили в общей сложности 82</w:t>
      </w:r>
      <w:r w:rsidR="005507FC">
        <w:t xml:space="preserve"> </w:t>
      </w:r>
      <w:r w:rsidRPr="00646C19">
        <w:t>университета (в 80 из которых велось преподавание)</w:t>
      </w:r>
      <w:r w:rsidR="005507FC">
        <w:t xml:space="preserve"> </w:t>
      </w:r>
      <w:r w:rsidRPr="00646C19">
        <w:t>– 50</w:t>
      </w:r>
      <w:r w:rsidR="005507FC">
        <w:t xml:space="preserve"> </w:t>
      </w:r>
      <w:r w:rsidRPr="00646C19">
        <w:t>государственных и 32</w:t>
      </w:r>
      <w:r w:rsidR="005507FC">
        <w:t xml:space="preserve"> </w:t>
      </w:r>
      <w:r w:rsidRPr="00646C19">
        <w:t>частных; 6 из этих университетов в</w:t>
      </w:r>
      <w:r w:rsidRPr="00646C19">
        <w:t>е</w:t>
      </w:r>
      <w:r w:rsidRPr="00646C19">
        <w:t>дут дистанционное обучение. Один университет приходится в Испании на 569</w:t>
      </w:r>
      <w:r w:rsidR="004B39CD">
        <w:t> </w:t>
      </w:r>
      <w:r w:rsidRPr="00646C19">
        <w:t>852</w:t>
      </w:r>
      <w:r w:rsidR="005507FC">
        <w:t xml:space="preserve"> </w:t>
      </w:r>
      <w:r w:rsidRPr="00646C19">
        <w:t>жителя страны. Генеральная конференция по политике в области ун</w:t>
      </w:r>
      <w:r w:rsidRPr="00646C19">
        <w:t>и</w:t>
      </w:r>
      <w:r w:rsidRPr="00646C19">
        <w:t>верситетского образования утвердила выделение на 2013/14 учебный год в ц</w:t>
      </w:r>
      <w:r w:rsidRPr="00646C19">
        <w:t>е</w:t>
      </w:r>
      <w:r w:rsidRPr="00646C19">
        <w:t>лом 303</w:t>
      </w:r>
      <w:r w:rsidR="005507FC">
        <w:t xml:space="preserve"> </w:t>
      </w:r>
      <w:r w:rsidRPr="00646C19">
        <w:t>534</w:t>
      </w:r>
      <w:r w:rsidR="005507FC">
        <w:t xml:space="preserve"> </w:t>
      </w:r>
      <w:r w:rsidRPr="00646C19">
        <w:t>мест в государственных университетах – практически столько же, что и в предыдущем</w:t>
      </w:r>
      <w:r w:rsidR="005507FC">
        <w:t xml:space="preserve"> </w:t>
      </w:r>
      <w:r w:rsidRPr="00646C19">
        <w:t>году. В университетах с очной формой обучения было 244</w:t>
      </w:r>
      <w:r w:rsidR="004B39CD">
        <w:t> </w:t>
      </w:r>
      <w:r w:rsidRPr="00646C19">
        <w:t>789</w:t>
      </w:r>
      <w:r w:rsidR="005507FC">
        <w:t xml:space="preserve"> </w:t>
      </w:r>
      <w:r w:rsidRPr="00646C19">
        <w:t>мест. 46</w:t>
      </w:r>
      <w:r w:rsidR="005507FC">
        <w:t>%</w:t>
      </w:r>
      <w:r w:rsidRPr="00646C19">
        <w:t xml:space="preserve"> этих мест выделены в категории "общественные науки и юриспруденция", 20,2</w:t>
      </w:r>
      <w:r w:rsidR="005507FC">
        <w:t xml:space="preserve">% </w:t>
      </w:r>
      <w:r w:rsidRPr="00646C19">
        <w:t>– в категории "инженерное дело и архитектура", 14,8</w:t>
      </w:r>
      <w:r w:rsidR="004B39CD">
        <w:t>% </w:t>
      </w:r>
      <w:r w:rsidRPr="00646C19">
        <w:t>– в категории "медицина", 12,3</w:t>
      </w:r>
      <w:r w:rsidR="005507FC">
        <w:t xml:space="preserve">% </w:t>
      </w:r>
      <w:r w:rsidRPr="00646C19">
        <w:t>– в категории "искусство и гуманита</w:t>
      </w:r>
      <w:r w:rsidRPr="00646C19">
        <w:t>р</w:t>
      </w:r>
      <w:r w:rsidRPr="00646C19">
        <w:t>ные науки" и 6,7</w:t>
      </w:r>
      <w:r w:rsidR="005507FC">
        <w:t xml:space="preserve">% </w:t>
      </w:r>
      <w:r w:rsidRPr="00646C19">
        <w:t>– в категории "естественные науки". Как можно видеть, ра</w:t>
      </w:r>
      <w:r w:rsidRPr="00646C19">
        <w:t>с</w:t>
      </w:r>
      <w:r w:rsidRPr="00646C19">
        <w:t>пределение мест отличается от распределения по специальностям выпускников университетов – большинство мест предоставляется в области "общественные науки и юриспруденция". Для получения работы в качестве преподавателя ун</w:t>
      </w:r>
      <w:r w:rsidRPr="00646C19">
        <w:t>и</w:t>
      </w:r>
      <w:r w:rsidRPr="00646C19">
        <w:t>верситета соискатели должны пройти предварительную аккредитацию, в ходе которой оцениваются их достижения в педагогической исследовательской де</w:t>
      </w:r>
      <w:r w:rsidRPr="00646C19">
        <w:t>я</w:t>
      </w:r>
      <w:r w:rsidRPr="00646C19">
        <w:t>тельности. Аккредитацию проводят агентства по вопросам качества, удостов</w:t>
      </w:r>
      <w:r w:rsidRPr="00646C19">
        <w:t>е</w:t>
      </w:r>
      <w:r w:rsidRPr="00646C19">
        <w:t>ряющие соответствие соискателя предлагаемому месту. Такая оценка обеспеч</w:t>
      </w:r>
      <w:r w:rsidRPr="00646C19">
        <w:t>и</w:t>
      </w:r>
      <w:r w:rsidRPr="00646C19">
        <w:t>вает соответствие лица, принимаемого на работу по договору или в качестве постоянного сотрудника, минимальным т</w:t>
      </w:r>
      <w:r w:rsidR="004B39CD">
        <w:t>ребованиям. В общей сложности в </w:t>
      </w:r>
      <w:r w:rsidRPr="00646C19">
        <w:t>2012/13</w:t>
      </w:r>
      <w:r w:rsidR="005507FC">
        <w:t xml:space="preserve"> </w:t>
      </w:r>
      <w:r w:rsidRPr="00646C19">
        <w:t>учебном году численность штата преподавателей и научных работн</w:t>
      </w:r>
      <w:r w:rsidRPr="00646C19">
        <w:t>и</w:t>
      </w:r>
      <w:r w:rsidRPr="00646C19">
        <w:t>ков составляла 115</w:t>
      </w:r>
      <w:r w:rsidR="004B39CD">
        <w:t> </w:t>
      </w:r>
      <w:r w:rsidRPr="00646C19">
        <w:t>332</w:t>
      </w:r>
      <w:r w:rsidR="005507FC">
        <w:t xml:space="preserve"> </w:t>
      </w:r>
      <w:r w:rsidRPr="00646C19">
        <w:t>человека. Хотя соотношение в численности мужчин и женщин среди преподавателей в сравнении с предыдущими</w:t>
      </w:r>
      <w:r w:rsidR="005507FC">
        <w:t xml:space="preserve"> </w:t>
      </w:r>
      <w:r w:rsidRPr="00646C19">
        <w:t>годами существе</w:t>
      </w:r>
      <w:r w:rsidRPr="00646C19">
        <w:t>н</w:t>
      </w:r>
      <w:r w:rsidRPr="00646C19">
        <w:t>но не изменилось, следует отметить, что доля женщин среди университетских преподавателей постепенно растет. В 2005/06 учебном году женщины составл</w:t>
      </w:r>
      <w:r w:rsidRPr="00646C19">
        <w:t>я</w:t>
      </w:r>
      <w:r w:rsidRPr="00646C19">
        <w:t>ли 13,7</w:t>
      </w:r>
      <w:r w:rsidR="005507FC">
        <w:t>%</w:t>
      </w:r>
      <w:r w:rsidRPr="00646C19">
        <w:t xml:space="preserve"> от общего числа университетских преподавателей, а в 2010/11</w:t>
      </w:r>
      <w:r w:rsidR="005507FC">
        <w:t xml:space="preserve"> </w:t>
      </w:r>
      <w:r w:rsidRPr="00646C19">
        <w:t>уче</w:t>
      </w:r>
      <w:r w:rsidRPr="00646C19">
        <w:t>б</w:t>
      </w:r>
      <w:r w:rsidRPr="00646C19">
        <w:t>ном году их доля возросла уже до 20,3</w:t>
      </w:r>
      <w:r w:rsidR="005507FC">
        <w:t>%</w:t>
      </w:r>
      <w:r w:rsidRPr="00646C19">
        <w:t>. Еще один важный показатель связан с национальным составом преподавателей университетов: 97,5</w:t>
      </w:r>
      <w:r w:rsidR="005507FC">
        <w:t>%</w:t>
      </w:r>
      <w:r w:rsidRPr="00646C19">
        <w:t xml:space="preserve"> составляют граждане Испании. Хотя данный показатель примерно одинаков по всем обл</w:t>
      </w:r>
      <w:r w:rsidRPr="00646C19">
        <w:t>а</w:t>
      </w:r>
      <w:r w:rsidRPr="00646C19">
        <w:t>стям, в категории "искусство и гуманитарные науки" доля иностранцев среди преподавателей чуть выше</w:t>
      </w:r>
      <w:r w:rsidR="005507FC">
        <w:t xml:space="preserve"> </w:t>
      </w:r>
      <w:r w:rsidRPr="00646C19">
        <w:t>– 4,5</w:t>
      </w:r>
      <w:r w:rsidR="005507FC">
        <w:t>%</w:t>
      </w:r>
      <w:r w:rsidRPr="00646C19">
        <w:t>. Половина преподавателей-иностранцев – это граждане Европейского союза, а среди преподавателей в категории "искусство и гуманитарные науки" их доля достигает 79</w:t>
      </w:r>
      <w:r w:rsidR="005507FC">
        <w:t>%</w:t>
      </w:r>
      <w:r w:rsidRPr="00646C19">
        <w:t>.</w:t>
      </w:r>
    </w:p>
    <w:p w:rsidR="00646C19" w:rsidRPr="00646C19" w:rsidRDefault="00646C19" w:rsidP="00646C19">
      <w:pPr>
        <w:pStyle w:val="SingleTxtGR"/>
      </w:pPr>
      <w:r w:rsidRPr="00646C19">
        <w:t>64.</w:t>
      </w:r>
      <w:r w:rsidRPr="00646C19">
        <w:tab/>
        <w:t>Кроме того, процесс создания Европейского пространства высшего обр</w:t>
      </w:r>
      <w:r w:rsidRPr="00646C19">
        <w:t>а</w:t>
      </w:r>
      <w:r w:rsidRPr="00646C19">
        <w:t>зования, начатый с принятием Болонской декларации 1999</w:t>
      </w:r>
      <w:r w:rsidR="005507FC">
        <w:t xml:space="preserve"> </w:t>
      </w:r>
      <w:r w:rsidRPr="00646C19">
        <w:t>года, предусматр</w:t>
      </w:r>
      <w:r w:rsidRPr="00646C19">
        <w:t>и</w:t>
      </w:r>
      <w:r w:rsidRPr="00646C19">
        <w:t>вает, среди прочего, внедрение гибкой системы четких и сопоставимых ученых степеней в целях расширения таким образом возможности учащихся в плане трудоустройства и повышения конкурентоспособности европейской системы высшего образования на международной арене. В свою очередь 23</w:t>
      </w:r>
      <w:r w:rsidR="005507FC">
        <w:t xml:space="preserve"> </w:t>
      </w:r>
      <w:r w:rsidRPr="00646C19">
        <w:t>ноября 2007</w:t>
      </w:r>
      <w:r w:rsidR="004B39CD">
        <w:t> </w:t>
      </w:r>
      <w:r w:rsidRPr="00646C19">
        <w:t>года Совет ЕС усилил роль университетов в модели "Треугольника зн</w:t>
      </w:r>
      <w:r w:rsidRPr="00646C19">
        <w:t>а</w:t>
      </w:r>
      <w:r w:rsidRPr="00646C19">
        <w:t>ний" в рамках "модернизации университетов в целях обеспечения конкурент</w:t>
      </w:r>
      <w:r w:rsidRPr="00646C19">
        <w:t>о</w:t>
      </w:r>
      <w:r w:rsidRPr="00646C19">
        <w:t>способности Европы в мировой экономике знаний". Вклад университетской с</w:t>
      </w:r>
      <w:r w:rsidRPr="00646C19">
        <w:t>и</w:t>
      </w:r>
      <w:r w:rsidRPr="00646C19">
        <w:t>стемы Испании в создание ЕПВО и ЕНИП и ее полная интеграция в них пре</w:t>
      </w:r>
      <w:r w:rsidRPr="00646C19">
        <w:t>д</w:t>
      </w:r>
      <w:r w:rsidRPr="00646C19">
        <w:t>полагает трансформацию всех аспектов ее структуры и представляет собой и</w:t>
      </w:r>
      <w:r w:rsidRPr="00646C19">
        <w:t>с</w:t>
      </w:r>
      <w:r w:rsidRPr="00646C19">
        <w:t>торически важную веху в плане как ее собственного генезиса, так и ее метод</w:t>
      </w:r>
      <w:r w:rsidRPr="00646C19">
        <w:t>о</w:t>
      </w:r>
      <w:r w:rsidRPr="00646C19">
        <w:t>логической концепции и целей, что открывает перед ней возможности обновл</w:t>
      </w:r>
      <w:r w:rsidRPr="00646C19">
        <w:t>е</w:t>
      </w:r>
      <w:r w:rsidRPr="00646C19">
        <w:t>ния. Для придания нового импульса университетской системе Испании было начато осуществление Стратегии "Университет 2015", призванной стать катал</w:t>
      </w:r>
      <w:r w:rsidRPr="00646C19">
        <w:t>и</w:t>
      </w:r>
      <w:r w:rsidRPr="00646C19">
        <w:t>затором более широкого обсуждения той роли, которую университет должен играть в новой социальной политике и в новой системе устойчивого произво</w:t>
      </w:r>
      <w:r w:rsidRPr="00646C19">
        <w:t>д</w:t>
      </w:r>
      <w:r w:rsidRPr="00646C19">
        <w:t>ства на основе знаний, а также того, как улучшение и модернизация универс</w:t>
      </w:r>
      <w:r w:rsidRPr="00646C19">
        <w:t>и</w:t>
      </w:r>
      <w:r w:rsidRPr="00646C19">
        <w:t>тетов на основе добровольных решений может способствовать заключению н</w:t>
      </w:r>
      <w:r w:rsidRPr="00646C19">
        <w:t>о</w:t>
      </w:r>
      <w:r w:rsidRPr="00646C19">
        <w:t>вого общественного договора между университетом и обществом.</w:t>
      </w:r>
    </w:p>
    <w:p w:rsidR="00646C19" w:rsidRPr="00646C19" w:rsidRDefault="00646C19" w:rsidP="00646C19">
      <w:pPr>
        <w:pStyle w:val="SingleTxtGR"/>
      </w:pPr>
      <w:r w:rsidRPr="00646C19">
        <w:t>65.</w:t>
      </w:r>
      <w:r w:rsidRPr="00646C19">
        <w:tab/>
        <w:t>В 2012/13 учебном году в университетах Испании по курсу квалификац</w:t>
      </w:r>
      <w:r w:rsidRPr="00646C19">
        <w:t>и</w:t>
      </w:r>
      <w:r w:rsidRPr="00646C19">
        <w:t>онного уровня и магистратуры обучались 1</w:t>
      </w:r>
      <w:r w:rsidR="004B39CD">
        <w:t> </w:t>
      </w:r>
      <w:r w:rsidRPr="00646C19">
        <w:t>561</w:t>
      </w:r>
      <w:r w:rsidR="004B39CD">
        <w:t> </w:t>
      </w:r>
      <w:r w:rsidRPr="00646C19">
        <w:t>123</w:t>
      </w:r>
      <w:r w:rsidR="005507FC">
        <w:t xml:space="preserve"> </w:t>
      </w:r>
      <w:r w:rsidRPr="00646C19">
        <w:t>учащихся, в том числе 1</w:t>
      </w:r>
      <w:r w:rsidR="004B39CD">
        <w:t> </w:t>
      </w:r>
      <w:r w:rsidRPr="00646C19">
        <w:t>046</w:t>
      </w:r>
      <w:r w:rsidR="004B39CD">
        <w:t> </w:t>
      </w:r>
      <w:r w:rsidRPr="00646C19">
        <w:t>570</w:t>
      </w:r>
      <w:r w:rsidR="005507FC">
        <w:t xml:space="preserve"> </w:t>
      </w:r>
      <w:r w:rsidRPr="00646C19">
        <w:t>студентов</w:t>
      </w:r>
      <w:r w:rsidR="005507FC">
        <w:t xml:space="preserve"> </w:t>
      </w:r>
      <w:r w:rsidRPr="00646C19">
        <w:t>– по курсу квалификационного уровня, 403</w:t>
      </w:r>
      <w:r w:rsidR="004B39CD">
        <w:t> </w:t>
      </w:r>
      <w:r w:rsidRPr="00646C19">
        <w:t>466 – по курсу первого и второго цикла и 111</w:t>
      </w:r>
      <w:r w:rsidR="004B39CD">
        <w:t> </w:t>
      </w:r>
      <w:r w:rsidRPr="00646C19">
        <w:t>087 – по курсу магистратуры. Женщины соста</w:t>
      </w:r>
      <w:r w:rsidRPr="00646C19">
        <w:t>в</w:t>
      </w:r>
      <w:r w:rsidRPr="00646C19">
        <w:t>ляют 54,3</w:t>
      </w:r>
      <w:r w:rsidR="005507FC">
        <w:t>%</w:t>
      </w:r>
      <w:r w:rsidRPr="00646C19">
        <w:t xml:space="preserve"> от числа студентов, а среди выпускников данный показатель н</w:t>
      </w:r>
      <w:r w:rsidRPr="00646C19">
        <w:t>е</w:t>
      </w:r>
      <w:r w:rsidRPr="00646C19">
        <w:t>сколько повышается (57,6</w:t>
      </w:r>
      <w:r w:rsidR="005507FC">
        <w:t>%</w:t>
      </w:r>
      <w:r w:rsidRPr="00646C19">
        <w:t>). Доля женщин и мужчин среди учащихся по ра</w:t>
      </w:r>
      <w:r w:rsidRPr="00646C19">
        <w:t>з</w:t>
      </w:r>
      <w:r w:rsidRPr="00646C19">
        <w:t>ным областям знаний остается примерно такой же, как и в предыдущие</w:t>
      </w:r>
      <w:r w:rsidR="005507FC">
        <w:t xml:space="preserve"> </w:t>
      </w:r>
      <w:r w:rsidRPr="00646C19">
        <w:t>годы, и доля мужчин особенно велика (73,9</w:t>
      </w:r>
      <w:r w:rsidR="005507FC">
        <w:t>%</w:t>
      </w:r>
      <w:r w:rsidRPr="00646C19">
        <w:t>) среди студентов, обучающихся по спец</w:t>
      </w:r>
      <w:r w:rsidRPr="00646C19">
        <w:t>и</w:t>
      </w:r>
      <w:r w:rsidRPr="00646C19">
        <w:t>альностям области "инженерное дело и архитектура". Обратная ситуация сл</w:t>
      </w:r>
      <w:r w:rsidRPr="00646C19">
        <w:t>о</w:t>
      </w:r>
      <w:r w:rsidRPr="00646C19">
        <w:t>жилась среди студентов-медиков: женщин здесь гораздо больше, чем мужчин (70,1</w:t>
      </w:r>
      <w:r w:rsidR="005507FC">
        <w:t>%</w:t>
      </w:r>
      <w:r w:rsidRPr="00646C19">
        <w:t>). Кроме того, женщины преобладают среди студентов магистратуры (54,1</w:t>
      </w:r>
      <w:r w:rsidR="005507FC">
        <w:t>%</w:t>
      </w:r>
      <w:r w:rsidRPr="00646C19">
        <w:t>). Распределение по областям знаний здесь примерно такое же, что и среди студентов квалификационного уровня.</w:t>
      </w:r>
    </w:p>
    <w:p w:rsidR="00646C19" w:rsidRPr="00646C19" w:rsidRDefault="00646C19" w:rsidP="00646C19">
      <w:pPr>
        <w:pStyle w:val="SingleTxtGR"/>
      </w:pPr>
      <w:r w:rsidRPr="00646C19">
        <w:t>66.</w:t>
      </w:r>
      <w:r w:rsidRPr="00646C19">
        <w:tab/>
        <w:t>В 2012/13 учебном году вновь выросло число испанцев – учащихся ун</w:t>
      </w:r>
      <w:r w:rsidRPr="00646C19">
        <w:t>и</w:t>
      </w:r>
      <w:r w:rsidRPr="00646C19">
        <w:t>верситетов, участвующих в программе ЭРАЗМУС – теперь их 36</w:t>
      </w:r>
      <w:r w:rsidR="004B39CD">
        <w:t> </w:t>
      </w:r>
      <w:r w:rsidRPr="00646C19">
        <w:t>889. Число студентов, въезжающих в Испанию и выезжающих из нее в рамках данной пр</w:t>
      </w:r>
      <w:r w:rsidRPr="00646C19">
        <w:t>о</w:t>
      </w:r>
      <w:r w:rsidRPr="00646C19">
        <w:t>граммы, примерно одинаково, и это означает, что возможности Испании по включению студентов в программу ЭРАЗМУС аналогичны ее возможностям привлекать учащихся – участников этой программы со всей Европы. 36,2</w:t>
      </w:r>
      <w:r w:rsidR="005507FC">
        <w:t>%</w:t>
      </w:r>
      <w:r w:rsidR="004B39CD">
        <w:t> </w:t>
      </w:r>
      <w:r w:rsidRPr="00646C19">
        <w:t>учащихся – участников программы ЭРАЗМУС изучают общественные науки, предпринимательство и право. Основной страной назначения для испа</w:t>
      </w:r>
      <w:r w:rsidRPr="00646C19">
        <w:t>н</w:t>
      </w:r>
      <w:r w:rsidRPr="00646C19">
        <w:t>ских учащихся в рамках программы ЭРАЗМУС является Италия – в 2011/12</w:t>
      </w:r>
      <w:r w:rsidR="004B39CD">
        <w:t> </w:t>
      </w:r>
      <w:r w:rsidRPr="00646C19">
        <w:t>учебном году сюда на обучение отправились 8</w:t>
      </w:r>
      <w:r w:rsidR="004B39CD">
        <w:t> </w:t>
      </w:r>
      <w:r w:rsidRPr="00646C19">
        <w:t>282</w:t>
      </w:r>
      <w:r w:rsidR="005507FC">
        <w:t xml:space="preserve"> </w:t>
      </w:r>
      <w:r w:rsidRPr="00646C19">
        <w:t>учащихся. Почти вдвое меньше испанских учащихся выезжали на учебу во Францию (4</w:t>
      </w:r>
      <w:r w:rsidR="004B39CD">
        <w:t> </w:t>
      </w:r>
      <w:r w:rsidRPr="00646C19">
        <w:t>744), Германию (4</w:t>
      </w:r>
      <w:r w:rsidR="004B39CD">
        <w:t> </w:t>
      </w:r>
      <w:r w:rsidRPr="00646C19">
        <w:t>609) и Соединенное Королевство (4</w:t>
      </w:r>
      <w:r w:rsidR="004B39CD">
        <w:t> </w:t>
      </w:r>
      <w:r w:rsidRPr="00646C19">
        <w:t>170). Кроме того, университ</w:t>
      </w:r>
      <w:r w:rsidRPr="00646C19">
        <w:t>е</w:t>
      </w:r>
      <w:r w:rsidRPr="00646C19">
        <w:t>ты Испании принимают все больше иностранных студентов: в 2012/13</w:t>
      </w:r>
      <w:r w:rsidR="005507FC">
        <w:t xml:space="preserve"> </w:t>
      </w:r>
      <w:r w:rsidRPr="00646C19">
        <w:t>учебном году их число возросло до 74</w:t>
      </w:r>
      <w:r w:rsidR="005507FC">
        <w:t xml:space="preserve"> </w:t>
      </w:r>
      <w:r w:rsidRPr="00646C19">
        <w:t>297</w:t>
      </w:r>
      <w:r w:rsidR="005507FC">
        <w:t xml:space="preserve"> </w:t>
      </w:r>
      <w:r w:rsidRPr="00646C19">
        <w:t>человек, 53</w:t>
      </w:r>
      <w:r w:rsidR="005507FC">
        <w:t xml:space="preserve"> </w:t>
      </w:r>
      <w:r w:rsidRPr="00646C19">
        <w:t>832 из которых проходят обучение по курсам квалификационного уровня и первого и второго циклов, а 20</w:t>
      </w:r>
      <w:r w:rsidR="005507FC">
        <w:t xml:space="preserve"> </w:t>
      </w:r>
      <w:r w:rsidRPr="00646C19">
        <w:t>465 – по курсу магистратуры. Число иностранных учащихся, занимающихся по курсу квалификационного уровня, постоянно увеличивается – в среднем на 3–3,5</w:t>
      </w:r>
      <w:r w:rsidR="005507FC">
        <w:t>%</w:t>
      </w:r>
      <w:r w:rsidRPr="00646C19">
        <w:t xml:space="preserve"> ежегодно. Анализ национального состава учащихся по ступеням обучения п</w:t>
      </w:r>
      <w:r w:rsidRPr="00646C19">
        <w:t>о</w:t>
      </w:r>
      <w:r w:rsidRPr="00646C19">
        <w:t>казывает, что среди иностранцев, обучающихся в магистратуре, преобладают студенты из стран Латинской Америки и Карибского бассейна – они составляют 53,7</w:t>
      </w:r>
      <w:r w:rsidR="005507FC">
        <w:t>%</w:t>
      </w:r>
      <w:r w:rsidRPr="00646C19">
        <w:t xml:space="preserve"> от общего числа иностранных учащихся. В университетах Испании наблюдается небольшой прирост числа учащихся из стран Азии – они соста</w:t>
      </w:r>
      <w:r w:rsidRPr="00646C19">
        <w:t>в</w:t>
      </w:r>
      <w:r w:rsidRPr="00646C19">
        <w:t>ляют 8,4</w:t>
      </w:r>
      <w:r w:rsidR="005507FC">
        <w:t>%</w:t>
      </w:r>
      <w:r w:rsidRPr="00646C19">
        <w:t xml:space="preserve"> от общего числа иностранцев, занимающихся по курсу квалифик</w:t>
      </w:r>
      <w:r w:rsidRPr="00646C19">
        <w:t>а</w:t>
      </w:r>
      <w:r w:rsidRPr="00646C19">
        <w:t>ционного уровня, и 13,5</w:t>
      </w:r>
      <w:r w:rsidR="005507FC">
        <w:t>%</w:t>
      </w:r>
      <w:r w:rsidRPr="00646C19">
        <w:t xml:space="preserve"> от числа иностранцев, обучающихся в магистратуре.</w:t>
      </w:r>
    </w:p>
    <w:p w:rsidR="00646C19" w:rsidRPr="00646C19" w:rsidRDefault="00646C19" w:rsidP="00646C19">
      <w:pPr>
        <w:pStyle w:val="SingleTxtGR"/>
      </w:pPr>
      <w:r w:rsidRPr="00646C19">
        <w:t>67.</w:t>
      </w:r>
      <w:r w:rsidRPr="00646C19">
        <w:tab/>
        <w:t>Чистый показатель доли учащихся университетов в возрастной группе от 18 до 24</w:t>
      </w:r>
      <w:r w:rsidR="005507FC">
        <w:t xml:space="preserve"> </w:t>
      </w:r>
      <w:r w:rsidRPr="00646C19">
        <w:t>лет продолжает увеличиваться и составляет на сегодня 28,6</w:t>
      </w:r>
      <w:r w:rsidR="005507FC">
        <w:t>%</w:t>
      </w:r>
      <w:r w:rsidRPr="00646C19">
        <w:t>. Это я</w:t>
      </w:r>
      <w:r w:rsidRPr="00646C19">
        <w:t>в</w:t>
      </w:r>
      <w:r w:rsidRPr="00646C19">
        <w:t>ляется следствием как увеличения числа учащихся университетов в данной возрастной группе, так и сокращением числ</w:t>
      </w:r>
      <w:r w:rsidR="008A11F6">
        <w:t>енности населения в возрасте 18−</w:t>
      </w:r>
      <w:r w:rsidRPr="00646C19">
        <w:t>24</w:t>
      </w:r>
      <w:r w:rsidR="008A11F6">
        <w:t> </w:t>
      </w:r>
      <w:r w:rsidRPr="00646C19">
        <w:t>лет. Вместе с тем, судя по предварительным данным, число учащихся, обучающихся по курсам квалификационного уровня и первого и второго ци</w:t>
      </w:r>
      <w:r w:rsidRPr="00646C19">
        <w:t>к</w:t>
      </w:r>
      <w:r w:rsidRPr="00646C19">
        <w:t>лов, составляет в 2012/13</w:t>
      </w:r>
      <w:r w:rsidR="005507FC">
        <w:t xml:space="preserve"> </w:t>
      </w:r>
      <w:r w:rsidRPr="00646C19">
        <w:t>учебном году 1</w:t>
      </w:r>
      <w:r w:rsidR="008A11F6">
        <w:t> </w:t>
      </w:r>
      <w:r w:rsidRPr="00646C19">
        <w:t>450</w:t>
      </w:r>
      <w:r w:rsidR="008A11F6">
        <w:t> </w:t>
      </w:r>
      <w:r w:rsidRPr="00646C19">
        <w:t>036</w:t>
      </w:r>
      <w:r w:rsidR="005507FC">
        <w:t xml:space="preserve"> </w:t>
      </w:r>
      <w:r w:rsidRPr="00646C19">
        <w:t>человек, что на 0,5</w:t>
      </w:r>
      <w:r w:rsidR="005507FC">
        <w:t>%</w:t>
      </w:r>
      <w:r w:rsidRPr="00646C19">
        <w:t xml:space="preserve"> меньше, чем в предыдущем учебном</w:t>
      </w:r>
      <w:r w:rsidR="005507FC">
        <w:t xml:space="preserve"> </w:t>
      </w:r>
      <w:r w:rsidRPr="00646C19">
        <w:t>году. По прогнозам в 2013/14</w:t>
      </w:r>
      <w:r w:rsidR="005507FC">
        <w:t xml:space="preserve"> </w:t>
      </w:r>
      <w:r w:rsidRPr="00646C19">
        <w:t>учебном году числе</w:t>
      </w:r>
      <w:r w:rsidRPr="00646C19">
        <w:t>н</w:t>
      </w:r>
      <w:r w:rsidRPr="00646C19">
        <w:t>ность учащихся университетов составит 1</w:t>
      </w:r>
      <w:r w:rsidR="008A11F6">
        <w:t> </w:t>
      </w:r>
      <w:r w:rsidRPr="00646C19">
        <w:t>438</w:t>
      </w:r>
      <w:r w:rsidR="008A11F6">
        <w:t> </w:t>
      </w:r>
      <w:r w:rsidRPr="00646C19">
        <w:t>115</w:t>
      </w:r>
      <w:r w:rsidR="005507FC">
        <w:t xml:space="preserve"> </w:t>
      </w:r>
      <w:r w:rsidRPr="00646C19">
        <w:t>человек, снизившись таким образом на 0,8</w:t>
      </w:r>
      <w:r w:rsidR="005507FC">
        <w:t>%</w:t>
      </w:r>
      <w:r w:rsidRPr="00646C19">
        <w:t>, что напрямую обусловлено сокращением численности нас</w:t>
      </w:r>
      <w:r w:rsidRPr="00646C19">
        <w:t>е</w:t>
      </w:r>
      <w:r w:rsidRPr="00646C19">
        <w:t>ления в возрасте 18–24</w:t>
      </w:r>
      <w:r w:rsidR="005507FC">
        <w:t xml:space="preserve"> </w:t>
      </w:r>
      <w:r w:rsidRPr="00646C19">
        <w:t>лет. Можно утверждать, что увеличение численности учащихся университетов, имевшее место в период между 2008/09 и 2011/12</w:t>
      </w:r>
      <w:r w:rsidR="008A11F6">
        <w:t> </w:t>
      </w:r>
      <w:r w:rsidRPr="00646C19">
        <w:t>учебными годами, было исключением, связанным с последствиями кризиса и адаптацией к ЕПВО (приведение специальностей по диплому в соо</w:t>
      </w:r>
      <w:r w:rsidRPr="00646C19">
        <w:t>т</w:t>
      </w:r>
      <w:r w:rsidRPr="00646C19">
        <w:t>ветствие с квалификационными уровнями), а также с началом официального обучения в университетах по курсу магистратуры, в результате чего число уч</w:t>
      </w:r>
      <w:r w:rsidRPr="00646C19">
        <w:t>а</w:t>
      </w:r>
      <w:r w:rsidRPr="00646C19">
        <w:t>щихся сначала увеличилось, а затем в течение 2012/13</w:t>
      </w:r>
      <w:r w:rsidR="005507FC">
        <w:t xml:space="preserve"> </w:t>
      </w:r>
      <w:r w:rsidRPr="00646C19">
        <w:t>учебного года стабил</w:t>
      </w:r>
      <w:r w:rsidRPr="00646C19">
        <w:t>и</w:t>
      </w:r>
      <w:r w:rsidRPr="00646C19">
        <w:t>зировалось. Значительно сократилось число учащихся, изучающих инженерное дело и архитектуру: ежегодно их становилось меньше на 5,3</w:t>
      </w:r>
      <w:r w:rsidR="005507FC">
        <w:t>%</w:t>
      </w:r>
      <w:r w:rsidRPr="00646C19">
        <w:t>, а за десятилетие их число сократилось на 23,3</w:t>
      </w:r>
      <w:r w:rsidR="005507FC">
        <w:t>%</w:t>
      </w:r>
      <w:r w:rsidRPr="00646C19">
        <w:t>. Снижается и число тех¸ кто изучает естестве</w:t>
      </w:r>
      <w:r w:rsidRPr="00646C19">
        <w:t>н</w:t>
      </w:r>
      <w:r w:rsidRPr="00646C19">
        <w:t>ные науки,</w:t>
      </w:r>
      <w:r w:rsidR="005507FC">
        <w:t xml:space="preserve"> </w:t>
      </w:r>
      <w:r w:rsidRPr="00646C19">
        <w:t>– на 0,9</w:t>
      </w:r>
      <w:r w:rsidR="005507FC">
        <w:t>%</w:t>
      </w:r>
      <w:r w:rsidRPr="00646C19">
        <w:t xml:space="preserve"> ежегодно и на 25,3</w:t>
      </w:r>
      <w:r w:rsidR="005507FC">
        <w:t>%</w:t>
      </w:r>
      <w:r w:rsidRPr="00646C19">
        <w:t xml:space="preserve"> за 10</w:t>
      </w:r>
      <w:r w:rsidR="005507FC">
        <w:t xml:space="preserve"> </w:t>
      </w:r>
      <w:r w:rsidRPr="00646C19">
        <w:t>лет. Продолжился рост числе</w:t>
      </w:r>
      <w:r w:rsidRPr="00646C19">
        <w:t>н</w:t>
      </w:r>
      <w:r w:rsidRPr="00646C19">
        <w:t>ности студентов-медиков – за 10</w:t>
      </w:r>
      <w:r w:rsidR="005507FC">
        <w:t xml:space="preserve"> </w:t>
      </w:r>
      <w:r w:rsidRPr="00646C19">
        <w:t>лет прирост составил 88,6</w:t>
      </w:r>
      <w:r w:rsidR="005507FC">
        <w:t>%</w:t>
      </w:r>
      <w:r w:rsidRPr="00646C19">
        <w:t>, а ежегодно – 11</w:t>
      </w:r>
      <w:r w:rsidR="005507FC">
        <w:t>%</w:t>
      </w:r>
      <w:r w:rsidRPr="00646C19">
        <w:t>. Сопоставление данных за последние 10</w:t>
      </w:r>
      <w:r w:rsidR="005507FC">
        <w:t xml:space="preserve"> </w:t>
      </w:r>
      <w:r w:rsidRPr="00646C19">
        <w:t>лет о выпускниках университетов по специальностям показывает, что доля тех, кто изучал общественные науки и право, увеличилась менее чем на один процентный пункт, доля инженеров и а</w:t>
      </w:r>
      <w:r w:rsidRPr="00646C19">
        <w:t>р</w:t>
      </w:r>
      <w:r w:rsidRPr="00646C19">
        <w:t>хитекторов, а также доля медиков – на два процентных пункта. Вместе с тем среди выпускников уменьшилась доля тех, кто изучал искусство, гуманитарные и естественные науки.</w:t>
      </w:r>
    </w:p>
    <w:p w:rsidR="00646C19" w:rsidRPr="00646C19" w:rsidRDefault="008A11F6" w:rsidP="008A11F6">
      <w:pPr>
        <w:pStyle w:val="H4GR"/>
      </w:pPr>
      <w:r>
        <w:tab/>
      </w:r>
      <w:r>
        <w:tab/>
      </w:r>
      <w:r w:rsidR="00646C19" w:rsidRPr="00646C19">
        <w:t xml:space="preserve">Культура </w:t>
      </w:r>
    </w:p>
    <w:p w:rsidR="00646C19" w:rsidRPr="00646C19" w:rsidRDefault="00646C19" w:rsidP="00646C19">
      <w:pPr>
        <w:pStyle w:val="SingleTxtGR"/>
      </w:pPr>
      <w:r w:rsidRPr="00646C19">
        <w:t>68.</w:t>
      </w:r>
      <w:r w:rsidRPr="00646C19">
        <w:tab/>
        <w:t>Согласно действующей Конституции 1978</w:t>
      </w:r>
      <w:r w:rsidR="005507FC">
        <w:t xml:space="preserve"> </w:t>
      </w:r>
      <w:r w:rsidRPr="00646C19">
        <w:t>года, государственные органы должны обеспечивать и поощрять более широкий доступ к культуре для всех граждан и защищать культурное и языковое многообразие. Это означает, что государственные органы, не ограничиваясь только мерами защиты, обязаны с</w:t>
      </w:r>
      <w:r w:rsidRPr="00646C19">
        <w:t>о</w:t>
      </w:r>
      <w:r w:rsidRPr="00646C19">
        <w:t>действовать культурному развитию общества в соответствии с общими интер</w:t>
      </w:r>
      <w:r w:rsidRPr="00646C19">
        <w:t>е</w:t>
      </w:r>
      <w:r w:rsidRPr="00646C19">
        <w:t>сами и обеспечивать доступ всех людей к культуре. За период после вступления Конституции в силу все органы политической власти прошли долгий путь в формировании инфраструктуры культуры, в содействии развитию творческих начал и в организации культурных мероприятий, и параллельно с этим росла и потребность граждан в культуре. Этот процесс шел весьма интенсивно и треб</w:t>
      </w:r>
      <w:r w:rsidRPr="00646C19">
        <w:t>о</w:t>
      </w:r>
      <w:r w:rsidRPr="00646C19">
        <w:t xml:space="preserve">вал больших усилий, поскольку исходные уровни были невысоки, и перелом в этом отношении, вероятно, произошел в середине 1990-х годов. </w:t>
      </w:r>
    </w:p>
    <w:p w:rsidR="00646C19" w:rsidRPr="00646C19" w:rsidRDefault="00646C19" w:rsidP="00646C19">
      <w:pPr>
        <w:pStyle w:val="SingleTxtGR"/>
      </w:pPr>
      <w:r w:rsidRPr="00646C19">
        <w:t>69.</w:t>
      </w:r>
      <w:r w:rsidRPr="00646C19">
        <w:tab/>
        <w:t>За этот период в развитие так называемых "ведущих учреждений культ</w:t>
      </w:r>
      <w:r w:rsidRPr="00646C19">
        <w:t>у</w:t>
      </w:r>
      <w:r w:rsidRPr="00646C19">
        <w:t>ры" были вложены большие средства. Значительная часть этих учреждений по праву занимает видное место на культурной карте мира: достаточно привести в пример лишь несколько музеев – Национальный музей "Центр искусства кор</w:t>
      </w:r>
      <w:r w:rsidRPr="00646C19">
        <w:t>о</w:t>
      </w:r>
      <w:r w:rsidRPr="00646C19">
        <w:t>левы Софии" (НМЦИКС) в Мадриде, Музей современного искусства в Барс</w:t>
      </w:r>
      <w:r w:rsidRPr="00646C19">
        <w:t>е</w:t>
      </w:r>
      <w:r w:rsidRPr="00646C19">
        <w:t>лоне (МСИБ), Валенсийский институт современного искусства (ВИСИ), музей Гуггенхейма в Бильбао или купленную государством коллекцию Тиссена. Эти большие центры наряду с такими известными музеями, как мадридский музей Прадо, в значительной мере способствовали развитию туризма в соответств</w:t>
      </w:r>
      <w:r w:rsidRPr="00646C19">
        <w:t>у</w:t>
      </w:r>
      <w:r w:rsidRPr="00646C19">
        <w:t>ющих городах. В частности, следует отметить музей Гуггенхейма, который дал стимул к всестороннему обновлению Бильбао и который сам стал центром пр</w:t>
      </w:r>
      <w:r w:rsidRPr="00646C19">
        <w:t>и</w:t>
      </w:r>
      <w:r w:rsidRPr="00646C19">
        <w:t>тяжения, благодаря чему через этот город стали проходить маршруты культу</w:t>
      </w:r>
      <w:r w:rsidRPr="00646C19">
        <w:t>р</w:t>
      </w:r>
      <w:r w:rsidRPr="00646C19">
        <w:t>ного туризма (внутреннего и внешнего), чего не было раньше.</w:t>
      </w:r>
    </w:p>
    <w:p w:rsidR="00646C19" w:rsidRPr="00646C19" w:rsidRDefault="00646C19" w:rsidP="00646C19">
      <w:pPr>
        <w:pStyle w:val="SingleTxtGR"/>
      </w:pPr>
      <w:r w:rsidRPr="00646C19">
        <w:t>70.</w:t>
      </w:r>
      <w:r w:rsidRPr="00646C19">
        <w:tab/>
        <w:t>Расходы на проведение культурных мероприятий берут на себя госуда</w:t>
      </w:r>
      <w:r w:rsidRPr="00646C19">
        <w:t>р</w:t>
      </w:r>
      <w:r w:rsidRPr="00646C19">
        <w:t>ственные органы всех уровней – центральные, органы власти автономных с</w:t>
      </w:r>
      <w:r w:rsidRPr="00646C19">
        <w:t>о</w:t>
      </w:r>
      <w:r w:rsidRPr="00646C19">
        <w:t>обществ и местные органы, причем на последние приходится более половины всех расходов. Единственное, что обязаны делать муниципалитеты населенных пунктов с населением более 5</w:t>
      </w:r>
      <w:r w:rsidR="005507FC">
        <w:t xml:space="preserve"> </w:t>
      </w:r>
      <w:r w:rsidR="008A11F6">
        <w:t>000</w:t>
      </w:r>
      <w:r w:rsidR="005507FC">
        <w:t xml:space="preserve"> </w:t>
      </w:r>
      <w:r w:rsidRPr="00646C19">
        <w:t>человек,</w:t>
      </w:r>
      <w:r w:rsidR="005507FC">
        <w:t xml:space="preserve"> </w:t>
      </w:r>
      <w:r w:rsidRPr="00646C19">
        <w:t>– это содействовать функционир</w:t>
      </w:r>
      <w:r w:rsidRPr="00646C19">
        <w:t>о</w:t>
      </w:r>
      <w:r w:rsidRPr="00646C19">
        <w:t xml:space="preserve">ванию публичных библиотек, однако обычно эти органы активно занимаются организацией концертов, кинопоказов, театральных постановок и </w:t>
      </w:r>
      <w:r w:rsidR="008A11F6">
        <w:t>т.п.</w:t>
      </w:r>
      <w:r w:rsidRPr="00646C19">
        <w:t xml:space="preserve"> В целом следует отметить, что государство главным образом предоставляет дотации на проведение мероприятий, тогда как местные органы организуют их непосре</w:t>
      </w:r>
      <w:r w:rsidRPr="00646C19">
        <w:t>д</w:t>
      </w:r>
      <w:r w:rsidRPr="00646C19">
        <w:t>ственно в тех или иных масштабах, с учетом своих размеров и имеющихся средств. В результате экономического кризиса последних лет существенно и</w:t>
      </w:r>
      <w:r w:rsidRPr="00646C19">
        <w:t>з</w:t>
      </w:r>
      <w:r w:rsidRPr="00646C19">
        <w:t>менилось положение дел и потребовались изменения модели финансирования культуры. Сейчас, с одной стороны, изыскиваются меры по расширению уч</w:t>
      </w:r>
      <w:r w:rsidRPr="00646C19">
        <w:t>а</w:t>
      </w:r>
      <w:r w:rsidRPr="00646C19">
        <w:t>стия частного сектора и гражданского общества, а с другой – значительно с</w:t>
      </w:r>
      <w:r w:rsidRPr="00646C19">
        <w:t>о</w:t>
      </w:r>
      <w:r w:rsidRPr="00646C19">
        <w:t>кращаются государственные расходы во многих секторах, включая культуру.</w:t>
      </w:r>
    </w:p>
    <w:p w:rsidR="00646C19" w:rsidRPr="00646C19" w:rsidRDefault="00646C19" w:rsidP="00646C19">
      <w:pPr>
        <w:pStyle w:val="SingleTxtGR"/>
      </w:pPr>
      <w:r w:rsidRPr="00646C19">
        <w:t>71.</w:t>
      </w:r>
      <w:r w:rsidRPr="00646C19">
        <w:tab/>
        <w:t>Получили широкое развитие системы измерения результатов деятельн</w:t>
      </w:r>
      <w:r w:rsidRPr="00646C19">
        <w:t>о</w:t>
      </w:r>
      <w:r w:rsidRPr="00646C19">
        <w:t xml:space="preserve">сти. Так, Министерство образования, культуры и спорта издает </w:t>
      </w:r>
      <w:r w:rsidRPr="0016128B">
        <w:rPr>
          <w:i/>
        </w:rPr>
        <w:t>Статистич</w:t>
      </w:r>
      <w:r w:rsidRPr="0016128B">
        <w:rPr>
          <w:i/>
        </w:rPr>
        <w:t>е</w:t>
      </w:r>
      <w:r w:rsidRPr="0016128B">
        <w:rPr>
          <w:i/>
        </w:rPr>
        <w:t>ский ежегодник в области культуры</w:t>
      </w:r>
      <w:r w:rsidR="0016128B">
        <w:rPr>
          <w:rStyle w:val="ac"/>
        </w:rPr>
        <w:footnoteReference w:id="6"/>
      </w:r>
      <w:r w:rsidRPr="00646C19">
        <w:t>, основная задача которого – представить выборку наиболее показательных данных, касающихся культуры, что позволяет следить за изменением культурной ситуации в Испании, осознать социальную ценность культуры и ее роль как генератора богатства и источника экономич</w:t>
      </w:r>
      <w:r w:rsidRPr="00646C19">
        <w:t>е</w:t>
      </w:r>
      <w:r w:rsidRPr="00646C19">
        <w:t>ского развития испанского общества. Результаты проводимого опроса о предп</w:t>
      </w:r>
      <w:r w:rsidRPr="00646C19">
        <w:t>о</w:t>
      </w:r>
      <w:r w:rsidRPr="00646C19">
        <w:t>чтениях и практике культурного досуга дают представление об участии в ра</w:t>
      </w:r>
      <w:r w:rsidRPr="00646C19">
        <w:t>з</w:t>
      </w:r>
      <w:r w:rsidRPr="00646C19">
        <w:t>ных ее формах культурной жизни. Кроме того, Испания – одна из немногих стран мира, в которой проводится исчисление показателей культуры (статист</w:t>
      </w:r>
      <w:r w:rsidRPr="00646C19">
        <w:t>и</w:t>
      </w:r>
      <w:r w:rsidRPr="00646C19">
        <w:t>ческая операция в рамках Системы национальных счетов, позволяющая оц</w:t>
      </w:r>
      <w:r w:rsidRPr="00646C19">
        <w:t>е</w:t>
      </w:r>
      <w:r w:rsidRPr="00646C19">
        <w:t xml:space="preserve">нить воздействие культуры на экономику страны в целом). Все эти источники позволяют получить обширную информацию. Согласно </w:t>
      </w:r>
      <w:r w:rsidRPr="0016128B">
        <w:rPr>
          <w:i/>
        </w:rPr>
        <w:t>Статистическому ежегоднику в области культуры</w:t>
      </w:r>
      <w:r w:rsidRPr="00646C19">
        <w:t>, сектор индустрии культуры составлял в 2013</w:t>
      </w:r>
      <w:r w:rsidR="0016128B">
        <w:t> </w:t>
      </w:r>
      <w:r w:rsidRPr="00646C19">
        <w:t>году 2,7</w:t>
      </w:r>
      <w:r w:rsidR="005507FC">
        <w:t>%</w:t>
      </w:r>
      <w:r w:rsidRPr="00646C19">
        <w:t xml:space="preserve"> ВВП Испании (3,5</w:t>
      </w:r>
      <w:r w:rsidR="005507FC">
        <w:t>%</w:t>
      </w:r>
      <w:r w:rsidRPr="00646C19">
        <w:t xml:space="preserve"> с учетом мероприятий в сфере охраны и</w:t>
      </w:r>
      <w:r w:rsidRPr="00646C19">
        <w:t>н</w:t>
      </w:r>
      <w:r w:rsidRPr="00646C19">
        <w:t>теллектуальной собственности), а в следующем</w:t>
      </w:r>
      <w:r w:rsidR="005507FC">
        <w:t xml:space="preserve"> </w:t>
      </w:r>
      <w:r w:rsidRPr="00646C19">
        <w:t>году оба эти показателя умен</w:t>
      </w:r>
      <w:r w:rsidRPr="00646C19">
        <w:t>ь</w:t>
      </w:r>
      <w:r w:rsidRPr="00646C19">
        <w:t>шились на 0,1</w:t>
      </w:r>
      <w:r w:rsidR="005507FC">
        <w:t>%</w:t>
      </w:r>
      <w:r w:rsidRPr="00646C19">
        <w:t>. Самый большой вклад вносит издательский сектор, за ним следуют радио и телевидение, а также кинематография и аудиовизуальные средства массовой информации. Работающих в секторе культуры отличает весьма высокий по сравнению со средними показателями уровень образования. В</w:t>
      </w:r>
      <w:r w:rsidR="005507FC">
        <w:t xml:space="preserve"> </w:t>
      </w:r>
      <w:r w:rsidRPr="00646C19">
        <w:t>этом секторе занято 2,6</w:t>
      </w:r>
      <w:r w:rsidR="005507FC">
        <w:t>%</w:t>
      </w:r>
      <w:r w:rsidRPr="00646C19">
        <w:t xml:space="preserve"> от общей численности работающих в стране. Что касается "потребления культуры", то средний уровень расходов на культуру в 2012</w:t>
      </w:r>
      <w:r w:rsidR="005507FC">
        <w:t xml:space="preserve"> </w:t>
      </w:r>
      <w:r w:rsidRPr="00646C19">
        <w:t>году снизился по сравнению с предыдущим</w:t>
      </w:r>
      <w:r w:rsidR="005507FC">
        <w:t xml:space="preserve"> </w:t>
      </w:r>
      <w:r w:rsidRPr="00646C19">
        <w:t>годом и составляет 2,6</w:t>
      </w:r>
      <w:r w:rsidR="005507FC">
        <w:t>%</w:t>
      </w:r>
      <w:r w:rsidRPr="00646C19">
        <w:t xml:space="preserve"> от общих расходов на товары и услуги (в предыдущем</w:t>
      </w:r>
      <w:r w:rsidR="005507FC">
        <w:t xml:space="preserve"> </w:t>
      </w:r>
      <w:r w:rsidRPr="00646C19">
        <w:t>году этот показатель с</w:t>
      </w:r>
      <w:r w:rsidRPr="00646C19">
        <w:t>о</w:t>
      </w:r>
      <w:r w:rsidRPr="00646C19">
        <w:t>ставлял 2,8</w:t>
      </w:r>
      <w:r w:rsidR="005507FC">
        <w:t>%</w:t>
      </w:r>
      <w:r w:rsidRPr="00646C19">
        <w:t>, а годом ранее</w:t>
      </w:r>
      <w:r w:rsidR="005507FC">
        <w:t xml:space="preserve"> </w:t>
      </w:r>
      <w:r w:rsidRPr="00646C19">
        <w:t>– 3,1</w:t>
      </w:r>
      <w:r w:rsidR="005507FC">
        <w:t>%</w:t>
      </w:r>
      <w:r w:rsidRPr="00646C19">
        <w:t>); в денежном выражении он составляет 288,7</w:t>
      </w:r>
      <w:r w:rsidR="005507FC">
        <w:t xml:space="preserve"> </w:t>
      </w:r>
      <w:r w:rsidRPr="00646C19">
        <w:t>евро на человека.</w:t>
      </w:r>
    </w:p>
    <w:p w:rsidR="00646C19" w:rsidRPr="00646C19" w:rsidRDefault="00646C19" w:rsidP="00646C19">
      <w:pPr>
        <w:pStyle w:val="SingleTxtGR"/>
      </w:pPr>
      <w:r w:rsidRPr="00646C19">
        <w:t>72.</w:t>
      </w:r>
      <w:r w:rsidRPr="00646C19">
        <w:tab/>
        <w:t xml:space="preserve">В Испании во всех отраслях культуры – литературе, кино, музыке, театре, хореографии и </w:t>
      </w:r>
      <w:r w:rsidR="0016128B">
        <w:t>т.д.</w:t>
      </w:r>
      <w:r w:rsidRPr="00646C19">
        <w:t xml:space="preserve"> – работают творческие деятели высочайшего уровня, пол</w:t>
      </w:r>
      <w:r w:rsidRPr="00646C19">
        <w:t>ь</w:t>
      </w:r>
      <w:r w:rsidRPr="00646C19">
        <w:t>зующиеся международным признанием. К их числу следует отнести и специ</w:t>
      </w:r>
      <w:r w:rsidRPr="00646C19">
        <w:t>а</w:t>
      </w:r>
      <w:r w:rsidRPr="00646C19">
        <w:t>листов, пришедших в культуру из других сфер или, говоря шире, в "отрасли и</w:t>
      </w:r>
      <w:r w:rsidRPr="00646C19">
        <w:t>н</w:t>
      </w:r>
      <w:r w:rsidRPr="00646C19">
        <w:t>дустрии культуры и творчества" (среди них – гастрономия, дизайн и мода, в</w:t>
      </w:r>
      <w:r w:rsidRPr="00646C19">
        <w:t>и</w:t>
      </w:r>
      <w:r w:rsidRPr="00646C19">
        <w:t>деоигры или архитектура), в которых также имеются выдающиеся представит</w:t>
      </w:r>
      <w:r w:rsidRPr="00646C19">
        <w:t>е</w:t>
      </w:r>
      <w:r w:rsidRPr="00646C19">
        <w:t>ли. Фактически культура является стратегически важным сектором для пр</w:t>
      </w:r>
      <w:r w:rsidRPr="00646C19">
        <w:t>о</w:t>
      </w:r>
      <w:r w:rsidRPr="00646C19">
        <w:t>движения "марки Испании" на международном уровне, и, несомненно, одним из ее величайших достояний является испанск</w:t>
      </w:r>
      <w:r w:rsidR="0016128B">
        <w:t>ий язык, на котором говорят 500 </w:t>
      </w:r>
      <w:r w:rsidRPr="00646C19">
        <w:t>млн.</w:t>
      </w:r>
      <w:r w:rsidR="005507FC">
        <w:t xml:space="preserve"> </w:t>
      </w:r>
      <w:r w:rsidRPr="00646C19">
        <w:t>человек и который по распространенности занимает второе место в мире (отставая лишь от китайского языка мандарин и быстро догоняя его). П</w:t>
      </w:r>
      <w:r w:rsidRPr="00646C19">
        <w:t>о</w:t>
      </w:r>
      <w:r w:rsidRPr="00646C19">
        <w:t>тенциал испанского языка, помимо демографического фактора определяется еще двумя обстоятельствами – его большой функциональностью (в качестве языка международного общения испанский занимает устойчивое положение на международной арене, обеспечивая тем, кто его изучает, будущее междунаро</w:t>
      </w:r>
      <w:r w:rsidRPr="00646C19">
        <w:t>д</w:t>
      </w:r>
      <w:r w:rsidRPr="00646C19">
        <w:t>ного масштаба) и его признанной культурной значимостью (владение им о</w:t>
      </w:r>
      <w:r w:rsidRPr="00646C19">
        <w:t>т</w:t>
      </w:r>
      <w:r w:rsidRPr="00646C19">
        <w:t>крывает доступ к произведениям культуры, создаваемым всеми испаноязычн</w:t>
      </w:r>
      <w:r w:rsidRPr="00646C19">
        <w:t>ы</w:t>
      </w:r>
      <w:r w:rsidRPr="00646C19">
        <w:t>ми странами в любых формах – в литературе, артистическом творчестве, кин</w:t>
      </w:r>
      <w:r w:rsidRPr="00646C19">
        <w:t>е</w:t>
      </w:r>
      <w:r w:rsidRPr="00646C19">
        <w:t xml:space="preserve">матографии и </w:t>
      </w:r>
      <w:r w:rsidR="0016128B">
        <w:t>т.д.</w:t>
      </w:r>
      <w:r w:rsidRPr="00646C19">
        <w:t>). Одним из ведущих учреждений культуры, о которых следует упомянуть, является Институт Сервантеса, созданный в 1991</w:t>
      </w:r>
      <w:r w:rsidR="005507FC">
        <w:t xml:space="preserve"> </w:t>
      </w:r>
      <w:r w:rsidRPr="00646C19">
        <w:t>году и функци</w:t>
      </w:r>
      <w:r w:rsidRPr="00646C19">
        <w:t>о</w:t>
      </w:r>
      <w:r w:rsidRPr="00646C19">
        <w:t>нирующий в 44</w:t>
      </w:r>
      <w:r w:rsidR="005507FC">
        <w:t xml:space="preserve"> </w:t>
      </w:r>
      <w:r w:rsidRPr="00646C19">
        <w:t>странах. Его основная задача – пропаганда испанского языка и испанской культуры. В сравнении с аналогичными учреждениями культуры, к</w:t>
      </w:r>
      <w:r w:rsidRPr="00646C19">
        <w:t>о</w:t>
      </w:r>
      <w:r w:rsidRPr="00646C19">
        <w:t>торые начали действовать в соседних европейских странах гораздо раньше, И</w:t>
      </w:r>
      <w:r w:rsidRPr="00646C19">
        <w:t>н</w:t>
      </w:r>
      <w:r w:rsidRPr="00646C19">
        <w:t>ституту Сервантеса предстоит еще многое сделать для расширения сферы своей деятельности.</w:t>
      </w:r>
    </w:p>
    <w:p w:rsidR="00646C19" w:rsidRPr="00646C19" w:rsidRDefault="00646C19" w:rsidP="00646C19">
      <w:pPr>
        <w:pStyle w:val="SingleTxtGR"/>
      </w:pPr>
      <w:r w:rsidRPr="00646C19">
        <w:t>73.</w:t>
      </w:r>
      <w:r w:rsidRPr="00646C19">
        <w:tab/>
        <w:t>Следует упомянуть также о тех изменениях, которые влечет за собой те</w:t>
      </w:r>
      <w:r w:rsidRPr="00646C19">
        <w:t>х</w:t>
      </w:r>
      <w:r w:rsidRPr="00646C19">
        <w:t>нический прогресс в области как потребления культуры, так и художественного творчества. Около 70</w:t>
      </w:r>
      <w:r w:rsidR="005507FC">
        <w:t>%</w:t>
      </w:r>
      <w:r w:rsidRPr="00646C19">
        <w:t xml:space="preserve"> домохозяйств имеют доступ к Интернету, что ставит п</w:t>
      </w:r>
      <w:r w:rsidRPr="00646C19">
        <w:t>е</w:t>
      </w:r>
      <w:r w:rsidRPr="00646C19">
        <w:t>ред поставщиками услуг новые задачи – от оцифровки фондов (значительная часть фондов музеев и библиотек доступна для публики) до продаж или пред</w:t>
      </w:r>
      <w:r w:rsidRPr="00646C19">
        <w:t>о</w:t>
      </w:r>
      <w:r w:rsidRPr="00646C19">
        <w:t>ставления в аренду продуктов культуры (книг, кинофильмов). Серьезную пр</w:t>
      </w:r>
      <w:r w:rsidRPr="00646C19">
        <w:t>о</w:t>
      </w:r>
      <w:r w:rsidRPr="00646C19">
        <w:t>блему для Испании представляет пиратство, справиться с которым пытаются путем принятия согласованных мер государственными органами и секторами, представляющими обладателей авторских прав или авторов. В числе этих мер – как образовательные мероприятия и рекламные кампании, так и более жесткие меры принуждения. Еще одной сферой такого рода деятельности является ув</w:t>
      </w:r>
      <w:r w:rsidRPr="00646C19">
        <w:t>е</w:t>
      </w:r>
      <w:r w:rsidRPr="00646C19">
        <w:t>личение предложения легального контента в Интернете при существенной п</w:t>
      </w:r>
      <w:r w:rsidRPr="00646C19">
        <w:t>о</w:t>
      </w:r>
      <w:r w:rsidRPr="00646C19">
        <w:t xml:space="preserve">мощи со стороны Государственного секретариата по вопросам культуры. </w:t>
      </w:r>
    </w:p>
    <w:p w:rsidR="00646C19" w:rsidRPr="00646C19" w:rsidRDefault="00646C19" w:rsidP="00646C19">
      <w:pPr>
        <w:pStyle w:val="SingleTxtGR"/>
      </w:pPr>
      <w:r w:rsidRPr="00646C19">
        <w:t>74.</w:t>
      </w:r>
      <w:r w:rsidRPr="00646C19">
        <w:tab/>
        <w:t>Министерство образования, культуры и спорта приняло Стратегический план на 2012–2015</w:t>
      </w:r>
      <w:r w:rsidR="005507FC">
        <w:t xml:space="preserve"> </w:t>
      </w:r>
      <w:r w:rsidRPr="00646C19">
        <w:t>годы, в котором учитываются изменения в экономической ситуации и предусматриваются пять основных целей: a)</w:t>
      </w:r>
      <w:r w:rsidR="005507FC">
        <w:t xml:space="preserve"> </w:t>
      </w:r>
      <w:r w:rsidRPr="00646C19">
        <w:t>формулирование гос</w:t>
      </w:r>
      <w:r w:rsidRPr="00646C19">
        <w:t>у</w:t>
      </w:r>
      <w:r w:rsidRPr="00646C19">
        <w:t>дарственной политики, которая гарантировала бы право на культуру, содейств</w:t>
      </w:r>
      <w:r w:rsidRPr="00646C19">
        <w:t>о</w:t>
      </w:r>
      <w:r w:rsidRPr="00646C19">
        <w:t>вала укреплению основ гражданственности и социального единства; b)</w:t>
      </w:r>
      <w:r w:rsidR="005507FC">
        <w:t xml:space="preserve"> </w:t>
      </w:r>
      <w:r w:rsidRPr="00646C19">
        <w:t>сове</w:t>
      </w:r>
      <w:r w:rsidRPr="00646C19">
        <w:t>р</w:t>
      </w:r>
      <w:r w:rsidRPr="00646C19">
        <w:t>шенствование, при обеспечении транспарентности, механизмов взаимосвязи и взаимодействия в сфере культуры между государственными органами и друг</w:t>
      </w:r>
      <w:r w:rsidRPr="00646C19">
        <w:t>и</w:t>
      </w:r>
      <w:r w:rsidRPr="00646C19">
        <w:t>ми учреждениями в целях содействия эффективному и рациональному испол</w:t>
      </w:r>
      <w:r w:rsidRPr="00646C19">
        <w:t>ь</w:t>
      </w:r>
      <w:r w:rsidRPr="00646C19">
        <w:t>зованию ресурсов культуры; c)</w:t>
      </w:r>
      <w:r w:rsidR="005507FC">
        <w:t xml:space="preserve"> </w:t>
      </w:r>
      <w:r w:rsidRPr="00646C19">
        <w:t>содействие развитию культуры как важнейшему элементу продвижения на международной арене "марки" Испании; d)</w:t>
      </w:r>
      <w:r w:rsidR="005507FC">
        <w:t xml:space="preserve"> </w:t>
      </w:r>
      <w:r w:rsidRPr="00646C19">
        <w:t>активиз</w:t>
      </w:r>
      <w:r w:rsidRPr="00646C19">
        <w:t>а</w:t>
      </w:r>
      <w:r w:rsidRPr="00646C19">
        <w:t>ция участия гражданского общества в деле поддержки и развития культуры; e)</w:t>
      </w:r>
      <w:r w:rsidR="0058388A">
        <w:t> </w:t>
      </w:r>
      <w:r w:rsidRPr="00646C19">
        <w:t>содействие созданию, обновлению и производству знаний и внедрение кул</w:t>
      </w:r>
      <w:r w:rsidRPr="00646C19">
        <w:t>ь</w:t>
      </w:r>
      <w:r w:rsidRPr="00646C19">
        <w:t>туры пользования Интернетом, при этом обеспечение защиты прав интеллект</w:t>
      </w:r>
      <w:r w:rsidRPr="00646C19">
        <w:t>у</w:t>
      </w:r>
      <w:r w:rsidRPr="00646C19">
        <w:t>альной собственности.</w:t>
      </w:r>
    </w:p>
    <w:p w:rsidR="00646C19" w:rsidRPr="00646C19" w:rsidRDefault="00646C19" w:rsidP="00646C19">
      <w:pPr>
        <w:pStyle w:val="SingleTxtGR"/>
      </w:pPr>
      <w:r w:rsidRPr="00646C19">
        <w:t>75.</w:t>
      </w:r>
      <w:r w:rsidRPr="00646C19">
        <w:tab/>
        <w:t>В последние</w:t>
      </w:r>
      <w:r w:rsidR="005507FC">
        <w:t xml:space="preserve"> </w:t>
      </w:r>
      <w:r w:rsidRPr="00646C19">
        <w:t>годы особое внимание уделяется – и весьма успешно</w:t>
      </w:r>
      <w:r w:rsidR="005507FC">
        <w:t xml:space="preserve"> </w:t>
      </w:r>
      <w:r w:rsidRPr="00646C19">
        <w:t>– ра</w:t>
      </w:r>
      <w:r w:rsidRPr="00646C19">
        <w:t>з</w:t>
      </w:r>
      <w:r w:rsidRPr="00646C19">
        <w:t>витию культурного туризма, который дополняет массовый пляжный туризм, традиционно пользующийся популярностью на протяжении свыше пятидесяти лет. Основные составляющие культурного туризма (культурное наследие, м</w:t>
      </w:r>
      <w:r w:rsidRPr="00646C19">
        <w:t>у</w:t>
      </w:r>
      <w:r w:rsidRPr="00646C19">
        <w:t>зеи, многочисленные мероприятия) существовали издавна, однако сейчас пр</w:t>
      </w:r>
      <w:r w:rsidRPr="00646C19">
        <w:t>и</w:t>
      </w:r>
      <w:r w:rsidRPr="00646C19">
        <w:t>лагаются усилия к их популяризации и к осуществлению разного рода пр</w:t>
      </w:r>
      <w:r w:rsidRPr="00646C19">
        <w:t>о</w:t>
      </w:r>
      <w:r w:rsidRPr="00646C19">
        <w:t>грамм по повышению к ним интереса. Результатом этой работы и изыс</w:t>
      </w:r>
      <w:r w:rsidR="0058388A">
        <w:t>каний стал рассчитанный на 2010−</w:t>
      </w:r>
      <w:r w:rsidRPr="00646C19">
        <w:t>2012</w:t>
      </w:r>
      <w:r w:rsidR="005507FC">
        <w:t xml:space="preserve"> </w:t>
      </w:r>
      <w:r w:rsidRPr="00646C19">
        <w:t>годы План продвижения в международном масштабе культурного туризма, центральным элементом которого стала проп</w:t>
      </w:r>
      <w:r w:rsidRPr="00646C19">
        <w:t>а</w:t>
      </w:r>
      <w:r w:rsidRPr="00646C19">
        <w:t>ганда "Испании как страны культуры", предполагающая работу по различным направлениям – музеи, театры, музыка и фестивали танца, продвижение тем</w:t>
      </w:r>
      <w:r w:rsidRPr="00646C19">
        <w:t>а</w:t>
      </w:r>
      <w:r w:rsidRPr="00646C19">
        <w:t>тических культурных маршрутов и развитие лингвистического туризма. В р</w:t>
      </w:r>
      <w:r w:rsidRPr="00646C19">
        <w:t>е</w:t>
      </w:r>
      <w:r w:rsidRPr="00646C19">
        <w:t>зультате был создан интернет-портал Spain Is Culture ("Испания – это культ</w:t>
      </w:r>
      <w:r w:rsidRPr="00646C19">
        <w:t>у</w:t>
      </w:r>
      <w:r w:rsidRPr="00646C19">
        <w:t>ра"), поддержанием которого занимается Государственный секретариат по в</w:t>
      </w:r>
      <w:r w:rsidRPr="00646C19">
        <w:t>о</w:t>
      </w:r>
      <w:r w:rsidRPr="00646C19">
        <w:t>просам культуры. Кроме того, в этой области активизировались и частные структуры, предлагающие различные варианты, например экскурсии по местам культурного наследия, по заповедным природным уголкам, равно как и туры для любителей гастрономии и вин. В 2013</w:t>
      </w:r>
      <w:r w:rsidR="005507FC">
        <w:t xml:space="preserve"> </w:t>
      </w:r>
      <w:r w:rsidRPr="00646C19">
        <w:t>году более половины туристов, при</w:t>
      </w:r>
      <w:r w:rsidRPr="00646C19">
        <w:t>е</w:t>
      </w:r>
      <w:r w:rsidRPr="00646C19">
        <w:t>хавших в Испанию, участвовали в культурных мероприятиях.</w:t>
      </w:r>
    </w:p>
    <w:p w:rsidR="00646C19" w:rsidRPr="00646C19" w:rsidRDefault="00646C19" w:rsidP="00646C19">
      <w:pPr>
        <w:pStyle w:val="SingleTxtGR"/>
      </w:pPr>
      <w:r w:rsidRPr="00646C19">
        <w:t>76.</w:t>
      </w:r>
      <w:r w:rsidRPr="00646C19">
        <w:tab/>
        <w:t>Особого упоминания заслуживает культурное наследие. Испания заним</w:t>
      </w:r>
      <w:r w:rsidRPr="00646C19">
        <w:t>а</w:t>
      </w:r>
      <w:r w:rsidRPr="00646C19">
        <w:t>ет второе место в мире по числу объектов, включенных Организацией Объед</w:t>
      </w:r>
      <w:r w:rsidRPr="00646C19">
        <w:t>и</w:t>
      </w:r>
      <w:r w:rsidRPr="00646C19">
        <w:t>ненных Наций по вопросам образования, науки и культуры (ЮНЕСКО) в сп</w:t>
      </w:r>
      <w:r w:rsidRPr="00646C19">
        <w:t>и</w:t>
      </w:r>
      <w:r w:rsidRPr="00646C19">
        <w:t>сок всемирного наследия, и четвертое – по числу признаваемых ЮНЕСКО об</w:t>
      </w:r>
      <w:r w:rsidRPr="00646C19">
        <w:t>ъ</w:t>
      </w:r>
      <w:r w:rsidRPr="00646C19">
        <w:t>ектов нематериального культурного наследия. Одной из самых серьезных пр</w:t>
      </w:r>
      <w:r w:rsidRPr="00646C19">
        <w:t>о</w:t>
      </w:r>
      <w:r w:rsidRPr="00646C19">
        <w:t>блем является повышение качества управления этими объектами и их интегр</w:t>
      </w:r>
      <w:r w:rsidRPr="00646C19">
        <w:t>а</w:t>
      </w:r>
      <w:r w:rsidRPr="00646C19">
        <w:t>ции в общество знаний: применение цифровых технологий и, прежде всего, обеспечение доступа к ним в Интернете представляют собой наиболее экон</w:t>
      </w:r>
      <w:r w:rsidRPr="00646C19">
        <w:t>о</w:t>
      </w:r>
      <w:r w:rsidRPr="00646C19">
        <w:t>мичные и демократичные способы пропаганды культуры, и на эти цели в п</w:t>
      </w:r>
      <w:r w:rsidRPr="00646C19">
        <w:t>о</w:t>
      </w:r>
      <w:r w:rsidRPr="00646C19">
        <w:t>следние</w:t>
      </w:r>
      <w:r w:rsidR="005507FC">
        <w:t xml:space="preserve"> </w:t>
      </w:r>
      <w:r w:rsidRPr="00646C19">
        <w:t>годы выделялись значительные государственные средства. В настоящее время идет разработка ряда конкретных планов, в том числе Национального плана в отношении соборов, Национального плана в отношении промышленн</w:t>
      </w:r>
      <w:r w:rsidRPr="00646C19">
        <w:t>о</w:t>
      </w:r>
      <w:r w:rsidRPr="00646C19">
        <w:t>го наследия, Национального плана в отношении замков и Национального плана в отношении культурного наследия, в связи с чем решаются разного рода зад</w:t>
      </w:r>
      <w:r w:rsidRPr="00646C19">
        <w:t>а</w:t>
      </w:r>
      <w:r w:rsidRPr="00646C19">
        <w:t>чи, касающиеся, в числе прочего, использования огромных ресурсов культурн</w:t>
      </w:r>
      <w:r w:rsidRPr="00646C19">
        <w:t>о</w:t>
      </w:r>
      <w:r w:rsidRPr="00646C19">
        <w:t>го наследия в качестве механизма пропаганды местной самобытности и ее о</w:t>
      </w:r>
      <w:r w:rsidRPr="00646C19">
        <w:t>т</w:t>
      </w:r>
      <w:r w:rsidRPr="00646C19">
        <w:t>личительных особенностей. Одновременно с этим сущностные задачи сохран</w:t>
      </w:r>
      <w:r w:rsidRPr="00646C19">
        <w:t>е</w:t>
      </w:r>
      <w:r w:rsidRPr="00646C19">
        <w:t>ния и защиты увязываются с вновь возникающими проблемами, связанными с экономическим значением культурного наследия для туризма, причем решение этих задач осуществляется в рамках общей региональной политики и Наци</w:t>
      </w:r>
      <w:r w:rsidRPr="00646C19">
        <w:t>о</w:t>
      </w:r>
      <w:r w:rsidRPr="00646C19">
        <w:t>нального комплексного плана развития туризма на 2012–2015</w:t>
      </w:r>
      <w:r w:rsidR="005507FC">
        <w:t xml:space="preserve"> </w:t>
      </w:r>
      <w:r w:rsidRPr="00646C19">
        <w:t>годы.</w:t>
      </w:r>
    </w:p>
    <w:p w:rsidR="00646C19" w:rsidRPr="00646C19" w:rsidRDefault="00646C19" w:rsidP="00646C19">
      <w:pPr>
        <w:pStyle w:val="SingleTxtGR"/>
      </w:pPr>
      <w:r w:rsidRPr="00646C19">
        <w:t>77.</w:t>
      </w:r>
      <w:r w:rsidRPr="00646C19">
        <w:tab/>
        <w:t>Испанские музеи, пользующиеся отличной репутацией, находятся в вед</w:t>
      </w:r>
      <w:r w:rsidRPr="00646C19">
        <w:t>е</w:t>
      </w:r>
      <w:r w:rsidRPr="00646C19">
        <w:t>нии государства, автономных сообществ или местных органов. В последние г</w:t>
      </w:r>
      <w:r w:rsidRPr="00646C19">
        <w:t>о</w:t>
      </w:r>
      <w:r w:rsidRPr="00646C19">
        <w:t>ды ведется работа по оцифровке их фондов. С помощью веб-сайта Министе</w:t>
      </w:r>
      <w:r w:rsidRPr="00646C19">
        <w:t>р</w:t>
      </w:r>
      <w:r w:rsidRPr="00646C19">
        <w:t>ства образования, культуры и спорта можно совершить виртуальные экскурсии по 13</w:t>
      </w:r>
      <w:r w:rsidR="005507FC">
        <w:t xml:space="preserve"> </w:t>
      </w:r>
      <w:r w:rsidRPr="00646C19">
        <w:t>музеям, находящимся в государственной собственности (равным образом, большинство автономных сообществ предлагают аналогичные экскурсии по своим музеям); кроме того, создан общий каталог музейных библиографич</w:t>
      </w:r>
      <w:r w:rsidRPr="00646C19">
        <w:t>е</w:t>
      </w:r>
      <w:r w:rsidRPr="00646C19">
        <w:t>ских фондов. По данным за 2012</w:t>
      </w:r>
      <w:r w:rsidR="005507FC">
        <w:t xml:space="preserve"> </w:t>
      </w:r>
      <w:r w:rsidRPr="00646C19">
        <w:t>год, более миллиона посетителей приняли следующие музеи: музей Прадо – 3</w:t>
      </w:r>
      <w:r w:rsidR="0058388A">
        <w:t> </w:t>
      </w:r>
      <w:r w:rsidRPr="00646C19">
        <w:t>170</w:t>
      </w:r>
      <w:r w:rsidR="0058388A">
        <w:t> 000</w:t>
      </w:r>
      <w:r w:rsidR="005507FC">
        <w:t xml:space="preserve"> </w:t>
      </w:r>
      <w:r w:rsidRPr="00646C19">
        <w:t>человек, НМЦИКС – 2</w:t>
      </w:r>
      <w:r w:rsidR="0058388A">
        <w:t> </w:t>
      </w:r>
      <w:r w:rsidRPr="00646C19">
        <w:t>565</w:t>
      </w:r>
      <w:r w:rsidR="0058388A">
        <w:t> 000</w:t>
      </w:r>
      <w:r w:rsidR="005507FC">
        <w:t xml:space="preserve"> </w:t>
      </w:r>
      <w:r w:rsidRPr="00646C19">
        <w:t>ч</w:t>
      </w:r>
      <w:r w:rsidRPr="00646C19">
        <w:t>е</w:t>
      </w:r>
      <w:r w:rsidRPr="00646C19">
        <w:t>ловек, ВИСИ – 1</w:t>
      </w:r>
      <w:r w:rsidR="0058388A">
        <w:t> </w:t>
      </w:r>
      <w:r w:rsidRPr="00646C19">
        <w:t>337</w:t>
      </w:r>
      <w:r w:rsidR="0058388A">
        <w:t> 000</w:t>
      </w:r>
      <w:r w:rsidR="005507FC">
        <w:t xml:space="preserve"> </w:t>
      </w:r>
      <w:r w:rsidRPr="00646C19">
        <w:t>человек, Фонд Тиссена – 1</w:t>
      </w:r>
      <w:r w:rsidR="0058388A">
        <w:t> </w:t>
      </w:r>
      <w:r w:rsidRPr="00646C19">
        <w:t>255</w:t>
      </w:r>
      <w:r w:rsidR="0058388A">
        <w:t> 000</w:t>
      </w:r>
      <w:r w:rsidRPr="00646C19">
        <w:t>, театр-музей Дали в Фигейросе – 1</w:t>
      </w:r>
      <w:r w:rsidR="001A4D4F">
        <w:t> </w:t>
      </w:r>
      <w:r w:rsidRPr="00646C19">
        <w:t>216</w:t>
      </w:r>
      <w:r w:rsidR="001A4D4F">
        <w:t> 000</w:t>
      </w:r>
      <w:r w:rsidR="005507FC">
        <w:t xml:space="preserve"> </w:t>
      </w:r>
      <w:r w:rsidRPr="00646C19">
        <w:t>человек и музей Гуггенхейма – 1</w:t>
      </w:r>
      <w:r w:rsidR="001A4D4F">
        <w:t> 000 000</w:t>
      </w:r>
      <w:r w:rsidR="005507FC">
        <w:t xml:space="preserve"> </w:t>
      </w:r>
      <w:r w:rsidRPr="00646C19">
        <w:t>человек. Все эти музеи, кроме НМЦИКС, приняли в 2012</w:t>
      </w:r>
      <w:r w:rsidR="005507FC">
        <w:t xml:space="preserve"> </w:t>
      </w:r>
      <w:r w:rsidRPr="00646C19">
        <w:t>году больше посетителей, чем в 2011</w:t>
      </w:r>
      <w:r w:rsidR="005507FC">
        <w:t xml:space="preserve"> </w:t>
      </w:r>
      <w:r w:rsidRPr="00646C19">
        <w:t>году.</w:t>
      </w:r>
    </w:p>
    <w:p w:rsidR="00646C19" w:rsidRPr="00646C19" w:rsidRDefault="00646C19" w:rsidP="00646C19">
      <w:pPr>
        <w:pStyle w:val="SingleTxtGR"/>
      </w:pPr>
      <w:r w:rsidRPr="00646C19">
        <w:t>78.</w:t>
      </w:r>
      <w:r w:rsidRPr="00646C19">
        <w:tab/>
        <w:t>Сектор книжного и издательского дела остается наиболее производител</w:t>
      </w:r>
      <w:r w:rsidRPr="00646C19">
        <w:t>ь</w:t>
      </w:r>
      <w:r w:rsidRPr="00646C19">
        <w:t>ной отраслью индустрии культуры в Испании даже сегодня, когда он наравне с остальными пострадал от кризиса, воздействие которого выявило две пробл</w:t>
      </w:r>
      <w:r w:rsidRPr="00646C19">
        <w:t>е</w:t>
      </w:r>
      <w:r w:rsidRPr="00646C19">
        <w:t>мы: необходимость модернизации данного сектора вследствие распространения электронных книг и влияние экономического кризиса на потребление культуры. Однако и в такой ситуации этот сектор экспортирует продукции больше, чем все остальные отрасли культуры, вместе взятые, и остается единственным, с</w:t>
      </w:r>
      <w:r w:rsidRPr="00646C19">
        <w:t>о</w:t>
      </w:r>
      <w:r w:rsidRPr="00646C19">
        <w:t>хранившим положительное импортно-экспортное сальдо. При этом необходимо отметить и такой уже упоминавшийся позитивный фактор, как язык, который обеспечивает обширный рынок без дополнительных затрат. К этому следует д</w:t>
      </w:r>
      <w:r w:rsidRPr="00646C19">
        <w:t>о</w:t>
      </w:r>
      <w:r w:rsidRPr="00646C19">
        <w:t>бавить многочисленных популярных авторов, представляющих как Испанию, так и испаноязычные страны Латинской Америки и выпускающих свои книги в испанских издательствах.</w:t>
      </w:r>
    </w:p>
    <w:p w:rsidR="00646C19" w:rsidRPr="00646C19" w:rsidRDefault="00646C19" w:rsidP="00646C19">
      <w:pPr>
        <w:pStyle w:val="SingleTxtGR"/>
      </w:pPr>
      <w:r w:rsidRPr="00646C19">
        <w:t>79.</w:t>
      </w:r>
      <w:r w:rsidRPr="00646C19">
        <w:tab/>
        <w:t>Следует отметить, что в Испании имеется 6</w:t>
      </w:r>
      <w:r w:rsidR="001A4D4F">
        <w:t> </w:t>
      </w:r>
      <w:r w:rsidRPr="00646C19">
        <w:t>608</w:t>
      </w:r>
      <w:r w:rsidR="005507FC">
        <w:t xml:space="preserve"> </w:t>
      </w:r>
      <w:r w:rsidRPr="00646C19">
        <w:t>библиотек, из которых 5</w:t>
      </w:r>
      <w:r w:rsidR="001A4D4F">
        <w:t> </w:t>
      </w:r>
      <w:r w:rsidRPr="00646C19">
        <w:t>500 находятся в государственной собственности, а остальные являются час</w:t>
      </w:r>
      <w:r w:rsidRPr="00646C19">
        <w:t>т</w:t>
      </w:r>
      <w:r w:rsidRPr="00646C19">
        <w:t>ными, университетскими или принадлежат каким-либо иным структурам. Как уже говорилось, в населенных пунктах с численностью населения более 5</w:t>
      </w:r>
      <w:r w:rsidR="001A4D4F">
        <w:t> 000 </w:t>
      </w:r>
      <w:r w:rsidRPr="00646C19">
        <w:t xml:space="preserve">человек библиотеки создаются в обязательном порядке. В стране имеется широкая сеть библиотек, и в настоящее время ведется работа по предложению новых видов услуг, например прокат электронных книг, и </w:t>
      </w:r>
      <w:r w:rsidR="0016128B">
        <w:t>т.д.</w:t>
      </w:r>
      <w:r w:rsidRPr="00646C19">
        <w:t xml:space="preserve"> Кроме того, обычно библиотеки выдают аудиовизуальные записи и другие материалы.</w:t>
      </w:r>
    </w:p>
    <w:p w:rsidR="00646C19" w:rsidRPr="00646C19" w:rsidRDefault="00646C19" w:rsidP="00646C19">
      <w:pPr>
        <w:pStyle w:val="SingleTxtGR"/>
      </w:pPr>
      <w:r w:rsidRPr="00646C19">
        <w:t>80.</w:t>
      </w:r>
      <w:r w:rsidRPr="00646C19">
        <w:tab/>
        <w:t>Сценические искусства и музыка являются сферами, которым уделяется особое внимание благодаря реализации политики содействия художественному творчеству. В рамках этой политики принимаются меры по увеличению спроса (что сегодня особенно важно в стратегическом плане), внедрение новой орган</w:t>
      </w:r>
      <w:r w:rsidRPr="00646C19">
        <w:t>и</w:t>
      </w:r>
      <w:r w:rsidRPr="00646C19">
        <w:t>зационно-управленческой модели, в которой учитывается территориальная о</w:t>
      </w:r>
      <w:r w:rsidRPr="00646C19">
        <w:t>р</w:t>
      </w:r>
      <w:r w:rsidRPr="00646C19">
        <w:t>ганизация государства, а также предполагается более тесное сотрудничество с учреждениями культуры и привлечение их к активному участию. Кроме того, ставится задача по повышению качества художественного воспитания как с</w:t>
      </w:r>
      <w:r w:rsidRPr="00646C19">
        <w:t>о</w:t>
      </w:r>
      <w:r w:rsidRPr="00646C19">
        <w:t>ставной части школьных учебных программ, заключению соглашений с униве</w:t>
      </w:r>
      <w:r w:rsidRPr="00646C19">
        <w:t>р</w:t>
      </w:r>
      <w:r w:rsidRPr="00646C19">
        <w:t>ситетами и по активизации сотрудничества между государством и частными структурами. Был создан Государственный совет по сценическим искусствам и музыке, который совместно с секторами музыки, театра, хореографии и цирк</w:t>
      </w:r>
      <w:r w:rsidRPr="00646C19">
        <w:t>о</w:t>
      </w:r>
      <w:r w:rsidRPr="00646C19">
        <w:t>вого искусства определяет приоритеты культурной политики в этой сфере. В</w:t>
      </w:r>
      <w:r w:rsidRPr="00646C19">
        <w:t>е</w:t>
      </w:r>
      <w:r w:rsidRPr="00646C19">
        <w:t>дется осуществление инновационных программ, таких как ПЛАТЕА, объед</w:t>
      </w:r>
      <w:r w:rsidRPr="00646C19">
        <w:t>и</w:t>
      </w:r>
      <w:r w:rsidRPr="00646C19">
        <w:t>нившей 435</w:t>
      </w:r>
      <w:r w:rsidR="005507FC">
        <w:t xml:space="preserve"> </w:t>
      </w:r>
      <w:r w:rsidRPr="00646C19">
        <w:t>номеров театрального, музыкального, хореографического и цирк</w:t>
      </w:r>
      <w:r w:rsidRPr="00646C19">
        <w:t>о</w:t>
      </w:r>
      <w:r w:rsidRPr="00646C19">
        <w:t>вого искусства и проводящей на этой основе гастрольные выступления по всей стране, оплату расходов на которые обеспечивает Министерство образования, культуры и спорта, а также формирование сетей и содействие показу спекта</w:t>
      </w:r>
      <w:r w:rsidRPr="00646C19">
        <w:t>к</w:t>
      </w:r>
      <w:r w:rsidRPr="00646C19">
        <w:t>лей на территории Испании. Такая политика не только стимулирует развитие данного сектора в интересах работающих здесь специалистов и творческих р</w:t>
      </w:r>
      <w:r w:rsidRPr="00646C19">
        <w:t>а</w:t>
      </w:r>
      <w:r w:rsidRPr="00646C19">
        <w:t>ботников, но и помогает поддерживать на должном уровне культурную жизнь в муниципалитетах, пострадавших от существенных сокращений бюджета.</w:t>
      </w:r>
    </w:p>
    <w:p w:rsidR="00646C19" w:rsidRPr="00646C19" w:rsidRDefault="00646C19" w:rsidP="00646C19">
      <w:pPr>
        <w:pStyle w:val="SingleTxtGR"/>
      </w:pPr>
      <w:r w:rsidRPr="00646C19">
        <w:t>81.</w:t>
      </w:r>
      <w:r w:rsidRPr="00646C19">
        <w:tab/>
        <w:t>Кризис, который переживает сектор кино, проявляется в постоянном уменьшении числа зрителей в кинотеатрах, что связано прежде всего с акти</w:t>
      </w:r>
      <w:r w:rsidRPr="00646C19">
        <w:t>в</w:t>
      </w:r>
      <w:r w:rsidRPr="00646C19">
        <w:t>ным пиратством в этом секторе; в сокращении числа кинозалов; в обновлении этого сектора, требующем значительных инвестиций в оснащение залов цифр</w:t>
      </w:r>
      <w:r w:rsidRPr="00646C19">
        <w:t>о</w:t>
      </w:r>
      <w:r w:rsidRPr="00646C19">
        <w:t>вым оборудованием и оборудованием для демонстрации фильмов в формате 3D; в сокращении государственного финансирования испанской киноиндустрии, поскольку средства, выделяемые Фонду защиты кинематографии, существенно уменьшились, а другие источники финансирования, такие как телевидение, о</w:t>
      </w:r>
      <w:r w:rsidRPr="00646C19">
        <w:t>р</w:t>
      </w:r>
      <w:r w:rsidRPr="00646C19">
        <w:t>ганы власти автономных сообществ и частный сектор, переживают спад; а та</w:t>
      </w:r>
      <w:r w:rsidRPr="00646C19">
        <w:t>к</w:t>
      </w:r>
      <w:r w:rsidRPr="00646C19">
        <w:t>же в сокращении числа мероприятий с демонстрацией кинофильмов, таких как фестивали, недели кино и кинопоказы. Вместе с тем следует отметить, что применение новых технологий позволило удешевить кинопроизводство, и де</w:t>
      </w:r>
      <w:r w:rsidRPr="00646C19">
        <w:t>й</w:t>
      </w:r>
      <w:r w:rsidRPr="00646C19">
        <w:t>ствующий в структуре Министерства образования, культуры и спорта Институт кинематографии и аудиовизуальных искусств (ИКАИ) по-прежнему оказывает финансовую помощь либо из собственных средств, либо содействуя в получ</w:t>
      </w:r>
      <w:r w:rsidRPr="00646C19">
        <w:t>е</w:t>
      </w:r>
      <w:r w:rsidRPr="00646C19">
        <w:t>нии на выгодных условиях средств в кредитных организациях. В настоящее время разрабатывается новая нормативная база, которая будет незамедлительно введена в действие. Среди других новшеств следует упомянуть меры по пр</w:t>
      </w:r>
      <w:r w:rsidRPr="00646C19">
        <w:t>и</w:t>
      </w:r>
      <w:r w:rsidRPr="00646C19">
        <w:t>влечению средств частных структур, не специализирующихся на работе в аудиовизуальной сфере. Несмотря на сложную ситуацию творческая деятел</w:t>
      </w:r>
      <w:r w:rsidRPr="00646C19">
        <w:t>ь</w:t>
      </w:r>
      <w:r w:rsidRPr="00646C19">
        <w:t>ность находится на подъеме, авторы создают выдающиеся произведения, пол</w:t>
      </w:r>
      <w:r w:rsidRPr="00646C19">
        <w:t>у</w:t>
      </w:r>
      <w:r w:rsidRPr="00646C19">
        <w:t>чая престижные премии на международных фестивалях, и многочисленные м</w:t>
      </w:r>
      <w:r w:rsidRPr="00646C19">
        <w:t>а</w:t>
      </w:r>
      <w:r w:rsidRPr="00646C19">
        <w:t>стера кино продолжают работать во всех областях, пользующихся междунаро</w:t>
      </w:r>
      <w:r w:rsidRPr="00646C19">
        <w:t>д</w:t>
      </w:r>
      <w:r w:rsidRPr="00646C19">
        <w:t>ным признанием.</w:t>
      </w:r>
    </w:p>
    <w:p w:rsidR="00646C19" w:rsidRPr="00646C19" w:rsidRDefault="00646C19" w:rsidP="007802AA">
      <w:pPr>
        <w:pStyle w:val="H1GR"/>
      </w:pPr>
      <w:r w:rsidRPr="00646C19">
        <w:tab/>
      </w:r>
      <w:bookmarkStart w:id="5" w:name="_Toc420072039"/>
      <w:r w:rsidRPr="00646C19">
        <w:t>B.</w:t>
      </w:r>
      <w:r w:rsidRPr="00646C19">
        <w:tab/>
        <w:t>Конституционная, политическая и правовая структура государства</w:t>
      </w:r>
      <w:bookmarkEnd w:id="5"/>
    </w:p>
    <w:p w:rsidR="00646C19" w:rsidRPr="00646C19" w:rsidRDefault="00646C19" w:rsidP="007802AA">
      <w:pPr>
        <w:pStyle w:val="H23GR"/>
      </w:pPr>
      <w:r w:rsidRPr="00646C19">
        <w:tab/>
        <w:t>1.</w:t>
      </w:r>
      <w:r w:rsidRPr="00646C19">
        <w:tab/>
        <w:t>Конституция Испании 1978</w:t>
      </w:r>
      <w:r w:rsidR="005507FC">
        <w:t xml:space="preserve"> </w:t>
      </w:r>
      <w:r w:rsidRPr="00646C19">
        <w:t>года</w:t>
      </w:r>
    </w:p>
    <w:p w:rsidR="00646C19" w:rsidRPr="00646C19" w:rsidRDefault="00646C19" w:rsidP="00646C19">
      <w:pPr>
        <w:pStyle w:val="SingleTxtGR"/>
      </w:pPr>
      <w:r w:rsidRPr="00646C19">
        <w:t>82.</w:t>
      </w:r>
      <w:r w:rsidRPr="00646C19">
        <w:tab/>
        <w:t>Эту Конституцию называют Конституцией согласия. Она создавалась на основе переговоров и соглашений между различными политическими парти</w:t>
      </w:r>
      <w:r w:rsidRPr="00646C19">
        <w:t>я</w:t>
      </w:r>
      <w:r w:rsidRPr="00646C19">
        <w:t>ми, представленными в парламенте. Конституция 1978</w:t>
      </w:r>
      <w:r w:rsidR="005507FC">
        <w:t xml:space="preserve"> </w:t>
      </w:r>
      <w:r w:rsidRPr="00646C19">
        <w:t>года, одобренная испа</w:t>
      </w:r>
      <w:r w:rsidRPr="00646C19">
        <w:t>н</w:t>
      </w:r>
      <w:r w:rsidRPr="00646C19">
        <w:t>цами на референдуме, который состоялся 6 декабря 1978</w:t>
      </w:r>
      <w:r w:rsidR="005507FC">
        <w:t xml:space="preserve"> </w:t>
      </w:r>
      <w:r w:rsidRPr="00646C19">
        <w:t>года, вступила в силу 29</w:t>
      </w:r>
      <w:r w:rsidR="005507FC">
        <w:t xml:space="preserve"> </w:t>
      </w:r>
      <w:r w:rsidRPr="00646C19">
        <w:t>декабря того же</w:t>
      </w:r>
      <w:r w:rsidR="005507FC">
        <w:t xml:space="preserve"> </w:t>
      </w:r>
      <w:r w:rsidRPr="00646C19">
        <w:t>года. Текст нынешней Конституции, которая состоит из пр</w:t>
      </w:r>
      <w:r w:rsidRPr="00646C19">
        <w:t>е</w:t>
      </w:r>
      <w:r w:rsidRPr="00646C19">
        <w:t>амбулы, 169</w:t>
      </w:r>
      <w:r w:rsidR="005507FC">
        <w:t xml:space="preserve"> </w:t>
      </w:r>
      <w:r w:rsidRPr="00646C19">
        <w:t>статей, разбитых на 10</w:t>
      </w:r>
      <w:r w:rsidR="005507FC">
        <w:t xml:space="preserve"> </w:t>
      </w:r>
      <w:r w:rsidRPr="00646C19">
        <w:t>разделов, и ряда переходных и дополн</w:t>
      </w:r>
      <w:r w:rsidRPr="00646C19">
        <w:t>и</w:t>
      </w:r>
      <w:r w:rsidRPr="00646C19">
        <w:t>тельных положений, является самым обширным в испанской истории норм</w:t>
      </w:r>
      <w:r w:rsidRPr="00646C19">
        <w:t>а</w:t>
      </w:r>
      <w:r w:rsidRPr="00646C19">
        <w:t>тивным актом после Конституции 1812</w:t>
      </w:r>
      <w:r w:rsidR="005507FC">
        <w:t xml:space="preserve"> </w:t>
      </w:r>
      <w:r w:rsidRPr="00646C19">
        <w:t>года.</w:t>
      </w:r>
    </w:p>
    <w:p w:rsidR="00646C19" w:rsidRPr="00646C19" w:rsidRDefault="00646C19" w:rsidP="00646C19">
      <w:pPr>
        <w:pStyle w:val="SingleTxtGR"/>
      </w:pPr>
      <w:r w:rsidRPr="00646C19">
        <w:t>83.</w:t>
      </w:r>
      <w:r w:rsidRPr="00646C19">
        <w:tab/>
        <w:t>Согласно статье 1, Испания провозглашается социальным и демократич</w:t>
      </w:r>
      <w:r w:rsidRPr="00646C19">
        <w:t>е</w:t>
      </w:r>
      <w:r w:rsidRPr="00646C19">
        <w:t>ским правовым государством, которое в качестве высших ценностей своего правопорядка признает свободу, справедливость, равенство и политический плюрализм. В данной статье также устанавливается, что национальный сувер</w:t>
      </w:r>
      <w:r w:rsidRPr="00646C19">
        <w:t>е</w:t>
      </w:r>
      <w:r w:rsidRPr="00646C19">
        <w:t>нитет принадлежит испанскому народу, являющемуся источником госуда</w:t>
      </w:r>
      <w:r w:rsidRPr="00646C19">
        <w:t>р</w:t>
      </w:r>
      <w:r w:rsidRPr="00646C19">
        <w:t>ственной власти, и что политической формой испанского государства является парламентская монархия. Основной закон подробно излагает основные права и политические свободы всех граждан и наделяет автономии государственными полномочиями. Необходимо отметить также принцип разделения государстве</w:t>
      </w:r>
      <w:r w:rsidRPr="00646C19">
        <w:t>н</w:t>
      </w:r>
      <w:r w:rsidRPr="00646C19">
        <w:t>ных властей на законодательную, исполнительную и судебную ветви власти.</w:t>
      </w:r>
    </w:p>
    <w:p w:rsidR="00646C19" w:rsidRPr="00646C19" w:rsidRDefault="00646C19" w:rsidP="00646C19">
      <w:pPr>
        <w:pStyle w:val="SingleTxtGR"/>
      </w:pPr>
      <w:r w:rsidRPr="00646C19">
        <w:t>84.</w:t>
      </w:r>
      <w:r w:rsidRPr="00646C19">
        <w:tab/>
      </w:r>
      <w:r w:rsidRPr="007802AA">
        <w:rPr>
          <w:b/>
        </w:rPr>
        <w:t>Конституционный суд</w:t>
      </w:r>
      <w:r w:rsidRPr="00121783">
        <w:t>.</w:t>
      </w:r>
      <w:r w:rsidRPr="00646C19">
        <w:t xml:space="preserve"> Конституционному суду принадлежат верховные полномочия в толковании Конституции, он независим от других конституцио</w:t>
      </w:r>
      <w:r w:rsidRPr="00646C19">
        <w:t>н</w:t>
      </w:r>
      <w:r w:rsidRPr="00646C19">
        <w:t>ных органов и подчиняется только Конституции и Органическому зак</w:t>
      </w:r>
      <w:r w:rsidRPr="00646C19">
        <w:t>о</w:t>
      </w:r>
      <w:r w:rsidRPr="00646C19">
        <w:t>ну</w:t>
      </w:r>
      <w:r w:rsidR="007802AA">
        <w:t> </w:t>
      </w:r>
      <w:r w:rsidRPr="00646C19">
        <w:t>№</w:t>
      </w:r>
      <w:r w:rsidR="007802AA">
        <w:t> </w:t>
      </w:r>
      <w:r w:rsidRPr="00646C19">
        <w:t>2/1979 от 3</w:t>
      </w:r>
      <w:r w:rsidR="005507FC">
        <w:t xml:space="preserve"> </w:t>
      </w:r>
      <w:r w:rsidRPr="00646C19">
        <w:t>октября 1979</w:t>
      </w:r>
      <w:r w:rsidR="005507FC">
        <w:t xml:space="preserve"> </w:t>
      </w:r>
      <w:r w:rsidRPr="00646C19">
        <w:t>года, в котором регламентируется его деятел</w:t>
      </w:r>
      <w:r w:rsidRPr="00646C19">
        <w:t>ь</w:t>
      </w:r>
      <w:r w:rsidRPr="00646C19">
        <w:t>ность. Конституционный суд состоит из 12</w:t>
      </w:r>
      <w:r w:rsidR="005507FC">
        <w:t xml:space="preserve"> </w:t>
      </w:r>
      <w:r w:rsidRPr="00646C19">
        <w:t>членов, назначаемых Королем, из которых четверо</w:t>
      </w:r>
      <w:r w:rsidR="005507FC">
        <w:t xml:space="preserve"> </w:t>
      </w:r>
      <w:r w:rsidRPr="00646C19">
        <w:t>− по предложению Конгресса депутатов, принимаемому бол</w:t>
      </w:r>
      <w:r w:rsidRPr="00646C19">
        <w:t>ь</w:t>
      </w:r>
      <w:r w:rsidRPr="00646C19">
        <w:t>шинством в три пятых голосов его членов, четверо − по предложению Сената, принимаемому таким же большинством, двое − по предложению правительства и еще двое − по</w:t>
      </w:r>
      <w:r w:rsidR="005507FC">
        <w:t xml:space="preserve"> </w:t>
      </w:r>
      <w:r w:rsidRPr="00646C19">
        <w:t>предложению Генерального совета судебной власти. Члены Конституционного суда назначаются на девятилетний период, и каждые три</w:t>
      </w:r>
      <w:r w:rsidR="005507FC">
        <w:t xml:space="preserve"> </w:t>
      </w:r>
      <w:r w:rsidRPr="00646C19">
        <w:t>г</w:t>
      </w:r>
      <w:r w:rsidRPr="00646C19">
        <w:t>о</w:t>
      </w:r>
      <w:r w:rsidRPr="00646C19">
        <w:t>да его состав обновляется на треть без права переизбрания. Его полномочия можно распределить по трем основным сферам круга ведения: во-первых, ко</w:t>
      </w:r>
      <w:r w:rsidRPr="00646C19">
        <w:t>н</w:t>
      </w:r>
      <w:r w:rsidRPr="00646C19">
        <w:t>троль за конституционностью принимаемых законов; во-вторых, принятие окончательных решений по урегулированию конфликтов в связи с распредел</w:t>
      </w:r>
      <w:r w:rsidRPr="00646C19">
        <w:t>е</w:t>
      </w:r>
      <w:r w:rsidRPr="00646C19">
        <w:t>нием полномочий между государством и автономными сообществами или ме</w:t>
      </w:r>
      <w:r w:rsidRPr="00646C19">
        <w:t>ж</w:t>
      </w:r>
      <w:r w:rsidRPr="00646C19">
        <w:t>ду ними; и наконец, принятие решений по ходатайствам о нарушении основных прав граждан по так называемой "процедуре ампаро" после исчерпания ими средств правовой защиты от предполагаемых нарушений их прав в обычных судебных инстанциях. Обращаться с ходатайствами по этой процедуре прав</w:t>
      </w:r>
      <w:r w:rsidRPr="00646C19">
        <w:t>о</w:t>
      </w:r>
      <w:r w:rsidRPr="00646C19">
        <w:t>мочны граждане, Народный защитник и Прокуратура.</w:t>
      </w:r>
    </w:p>
    <w:p w:rsidR="00646C19" w:rsidRPr="00646C19" w:rsidRDefault="00646C19" w:rsidP="00646C19">
      <w:pPr>
        <w:pStyle w:val="SingleTxtGR"/>
      </w:pPr>
      <w:r w:rsidRPr="00646C19">
        <w:t>85.</w:t>
      </w:r>
      <w:r w:rsidRPr="00646C19">
        <w:tab/>
      </w:r>
      <w:r w:rsidRPr="00121783">
        <w:rPr>
          <w:b/>
        </w:rPr>
        <w:t>Институты: Корона</w:t>
      </w:r>
      <w:r w:rsidRPr="00646C19">
        <w:t>. Политической формой испанского государства я</w:t>
      </w:r>
      <w:r w:rsidRPr="00646C19">
        <w:t>в</w:t>
      </w:r>
      <w:r w:rsidRPr="00646C19">
        <w:t>ляется парламентская монархия. Король в своем качестве главы государства символизирует его единство и незыблемость, выполняет функции арбитра и г</w:t>
      </w:r>
      <w:r w:rsidRPr="00646C19">
        <w:t>а</w:t>
      </w:r>
      <w:r w:rsidRPr="00646C19">
        <w:t>ранта надлежащего функционирования государственных институтов и ос</w:t>
      </w:r>
      <w:r w:rsidRPr="00646C19">
        <w:t>у</w:t>
      </w:r>
      <w:r w:rsidRPr="00646C19">
        <w:t xml:space="preserve">ществляет высшее представительство испанского государства в международных отношениях. </w:t>
      </w:r>
    </w:p>
    <w:p w:rsidR="00646C19" w:rsidRPr="00646C19" w:rsidRDefault="00646C19" w:rsidP="00646C19">
      <w:pPr>
        <w:pStyle w:val="SingleTxtGR"/>
      </w:pPr>
      <w:r w:rsidRPr="00646C19">
        <w:t>86.</w:t>
      </w:r>
      <w:r w:rsidRPr="00646C19">
        <w:tab/>
      </w:r>
      <w:r w:rsidRPr="00121783">
        <w:rPr>
          <w:b/>
        </w:rPr>
        <w:t>Вооруженные силы</w:t>
      </w:r>
      <w:r w:rsidRPr="00646C19">
        <w:t>. В состав Вооруженных сил входят сухопутные во</w:t>
      </w:r>
      <w:r w:rsidRPr="00646C19">
        <w:t>й</w:t>
      </w:r>
      <w:r w:rsidRPr="00646C19">
        <w:t>ска, Военно-морской флот и Военно-воздушные силы. Основной задачей В</w:t>
      </w:r>
      <w:r w:rsidRPr="00646C19">
        <w:t>о</w:t>
      </w:r>
      <w:r w:rsidRPr="00646C19">
        <w:t>оруженных сил являются обеспечение суверенитета и независимости Испании, защита ее территориальной целостности и конституционного порядка. Воор</w:t>
      </w:r>
      <w:r w:rsidRPr="00646C19">
        <w:t>у</w:t>
      </w:r>
      <w:r w:rsidRPr="00646C19">
        <w:t>женные силы, подчиняющиеся Министерству обороны, являются важнейшим средством осуществления оборонительной политики Испании, которая, будучи сферой ответственности правительства, имеет целью обеспечение безопасности и интересов Испании и испанцев, защиту прав и принципов, закрепленных в Конституции 1978</w:t>
      </w:r>
      <w:r w:rsidR="005507FC">
        <w:t xml:space="preserve"> </w:t>
      </w:r>
      <w:r w:rsidRPr="00646C19">
        <w:t>года и в принятом в 1945</w:t>
      </w:r>
      <w:r w:rsidR="005507FC">
        <w:t xml:space="preserve"> </w:t>
      </w:r>
      <w:r w:rsidRPr="00646C19">
        <w:t>году Уставе Организации Объед</w:t>
      </w:r>
      <w:r w:rsidRPr="00646C19">
        <w:t>и</w:t>
      </w:r>
      <w:r w:rsidRPr="00646C19">
        <w:t>ненных Наций, а также содействие в рамках соблюдения международного права миру и стабильности во всем мире.</w:t>
      </w:r>
    </w:p>
    <w:p w:rsidR="00646C19" w:rsidRPr="00646C19" w:rsidRDefault="00646C19" w:rsidP="00646C19">
      <w:pPr>
        <w:pStyle w:val="SingleTxtGR"/>
      </w:pPr>
      <w:r w:rsidRPr="00646C19">
        <w:t>87.</w:t>
      </w:r>
      <w:r w:rsidRPr="00646C19">
        <w:tab/>
      </w:r>
      <w:r w:rsidRPr="00121783">
        <w:rPr>
          <w:b/>
        </w:rPr>
        <w:t>Законодательная власть: Генеральные кортесы</w:t>
      </w:r>
      <w:r w:rsidRPr="00646C19">
        <w:t>. Законодательную власть государства осуществляют Генеральные кортесы, которые представляют испанский народ и контролируют деятельность правительства. Они состоят из двух палат: Конгресса депутатов и Сената. Таким образом, речь идет о парл</w:t>
      </w:r>
      <w:r w:rsidRPr="00646C19">
        <w:t>а</w:t>
      </w:r>
      <w:r w:rsidRPr="00646C19">
        <w:t>ментской системе двухпалатного типа, известной как "несовершенная двухп</w:t>
      </w:r>
      <w:r w:rsidRPr="00646C19">
        <w:t>а</w:t>
      </w:r>
      <w:r w:rsidRPr="00646C19">
        <w:t>латная модель", поскольку полномочия обеих палат несопоставимы, так как Конгрессу принадлежит главенствующая роль в осуществлении значительной части функций Кортесов. Депутаты и сенаторы избираются на четырехлетний срок. Предусмотрена возможность досрочного роспуска Кортесов по инициат</w:t>
      </w:r>
      <w:r w:rsidRPr="00646C19">
        <w:t>и</w:t>
      </w:r>
      <w:r w:rsidRPr="00646C19">
        <w:t>ве Председателя правительства. Конгресс депутатов состоит из 350</w:t>
      </w:r>
      <w:r w:rsidR="005507FC">
        <w:t xml:space="preserve"> </w:t>
      </w:r>
      <w:r w:rsidRPr="00646C19">
        <w:t>членов. Все законопроекты и законодательные предложения в первую очередь и без каких-либо исключений рассматриваются в Конгрессе депутатов, при том что Сенату принадлежит право вето и право внесения поправок в текст, разработанный Конгрессом, и в последнем случае</w:t>
      </w:r>
      <w:r w:rsidR="005507FC">
        <w:t xml:space="preserve"> </w:t>
      </w:r>
      <w:r w:rsidRPr="00646C19">
        <w:t>− право окончательного утверждения текста после нового рассмотрения. Кроме того, Конгресс санкционирует вступление в должность Председателя правительства и ввиду этого может отправлять его в отставку посредством либо вотума недоверия, либо отказа в доверии, о котором просит правительство. Сенат определен в Конституции в качестве палаты те</w:t>
      </w:r>
      <w:r w:rsidRPr="00646C19">
        <w:t>р</w:t>
      </w:r>
      <w:r w:rsidRPr="00646C19">
        <w:t>риториального представительства. В</w:t>
      </w:r>
      <w:r w:rsidR="005507FC">
        <w:t xml:space="preserve"> </w:t>
      </w:r>
      <w:r w:rsidRPr="00646C19">
        <w:t>состав парламента</w:t>
      </w:r>
      <w:r w:rsidR="005507FC">
        <w:t xml:space="preserve"> </w:t>
      </w:r>
      <w:r w:rsidRPr="00646C19">
        <w:t>Х легислатуры входят 266</w:t>
      </w:r>
      <w:r w:rsidR="005507FC">
        <w:t xml:space="preserve"> </w:t>
      </w:r>
      <w:r w:rsidRPr="00646C19">
        <w:t>сенаторов, из которых 208 избраны всеобщим прямым голосованием, а остальные 58 назначены законодательными ассамблеями автономных соо</w:t>
      </w:r>
      <w:r w:rsidRPr="00646C19">
        <w:t>б</w:t>
      </w:r>
      <w:r w:rsidRPr="00646C19">
        <w:t>ществ по принципу избрания одного сенатора на каждый миллион жителей с</w:t>
      </w:r>
      <w:r w:rsidRPr="00646C19">
        <w:t>о</w:t>
      </w:r>
      <w:r w:rsidRPr="00646C19">
        <w:t>ответствующей территории.</w:t>
      </w:r>
    </w:p>
    <w:p w:rsidR="00646C19" w:rsidRPr="00646C19" w:rsidRDefault="00646C19" w:rsidP="00646C19">
      <w:pPr>
        <w:pStyle w:val="SingleTxtGR"/>
      </w:pPr>
      <w:r w:rsidRPr="00646C19">
        <w:t>88.</w:t>
      </w:r>
      <w:r w:rsidRPr="00646C19">
        <w:tab/>
      </w:r>
      <w:r w:rsidRPr="00121783">
        <w:rPr>
          <w:b/>
        </w:rPr>
        <w:t>Исполнительная власть: правительство</w:t>
      </w:r>
      <w:r w:rsidRPr="00646C19">
        <w:t>. В отношении функций прав</w:t>
      </w:r>
      <w:r w:rsidRPr="00646C19">
        <w:t>и</w:t>
      </w:r>
      <w:r w:rsidRPr="00646C19">
        <w:t>тельства Конституция Испании практически не отличается от обычных для с</w:t>
      </w:r>
      <w:r w:rsidRPr="00646C19">
        <w:t>о</w:t>
      </w:r>
      <w:r w:rsidRPr="00646C19">
        <w:t>временных парламентских систем законодательных текстов. Правительство в</w:t>
      </w:r>
      <w:r w:rsidRPr="00646C19">
        <w:t>ы</w:t>
      </w:r>
      <w:r w:rsidRPr="00646C19">
        <w:t>полняет функции исполнительной власти и имеет право законодательной ин</w:t>
      </w:r>
      <w:r w:rsidRPr="00646C19">
        <w:t>и</w:t>
      </w:r>
      <w:r w:rsidRPr="00646C19">
        <w:t>циативы, а также в чрезвычайных случаях может издавать законодательные а</w:t>
      </w:r>
      <w:r w:rsidRPr="00646C19">
        <w:t>к</w:t>
      </w:r>
      <w:r w:rsidRPr="00646C19">
        <w:t>ты (которые передаются на утверждение Конгрессу) и разрабатывает проект общего государственного бюджета. Правительство руководит внешней и вну</w:t>
      </w:r>
      <w:r w:rsidRPr="00646C19">
        <w:t>т</w:t>
      </w:r>
      <w:r w:rsidRPr="00646C19">
        <w:t>ренней политикой, гражданской и военной администрацией и обороной гос</w:t>
      </w:r>
      <w:r w:rsidRPr="00646C19">
        <w:t>у</w:t>
      </w:r>
      <w:r w:rsidRPr="00646C19">
        <w:t>дарства. Формирование правительства осуществляется в Испании в два отдел</w:t>
      </w:r>
      <w:r w:rsidRPr="00646C19">
        <w:t>ь</w:t>
      </w:r>
      <w:r w:rsidRPr="00646C19">
        <w:t>ных этапа. На первом этапе кандидат в Председатели представляет на рассмо</w:t>
      </w:r>
      <w:r w:rsidRPr="00646C19">
        <w:t>т</w:t>
      </w:r>
      <w:r w:rsidRPr="00646C19">
        <w:t>рение Конгресса свою программу деятельности правительства, а на втором эт</w:t>
      </w:r>
      <w:r w:rsidRPr="00646C19">
        <w:t>а</w:t>
      </w:r>
      <w:r w:rsidRPr="00646C19">
        <w:t>пе Председатель, уже облеченный доверием Палаты и назначенный Королем, предлагает ему кандидатуры для назначения на должности министров. После этого Председатель правительства, наряду с руководством деятельностью пр</w:t>
      </w:r>
      <w:r w:rsidRPr="00646C19">
        <w:t>а</w:t>
      </w:r>
      <w:r w:rsidRPr="00646C19">
        <w:t>вительства, занимает в структуре исполнительной власти настолько главе</w:t>
      </w:r>
      <w:r w:rsidRPr="00646C19">
        <w:t>н</w:t>
      </w:r>
      <w:r w:rsidRPr="00646C19">
        <w:t>ствующее положение, что испанский конституционный режим можно охаракт</w:t>
      </w:r>
      <w:r w:rsidRPr="00646C19">
        <w:t>е</w:t>
      </w:r>
      <w:r w:rsidRPr="00646C19">
        <w:t>ризовать как режим премьер-министра. Главным коллегиальным органом и</w:t>
      </w:r>
      <w:r w:rsidRPr="00646C19">
        <w:t>с</w:t>
      </w:r>
      <w:r w:rsidRPr="00646C19">
        <w:t>полнительной власти является Совет министров, в состав которого входят Председатель, заместитель или заместители Председателя и министры. Как правило, он заседает еженедельно. В состав нынешнего правительства входят Председатель правительства, один заместитель Председателя с министерским портфелем и 12</w:t>
      </w:r>
      <w:r w:rsidR="005507FC">
        <w:t xml:space="preserve"> </w:t>
      </w:r>
      <w:r w:rsidRPr="00646C19">
        <w:t>министров. Имеются два учреждения, прямо подчиненных Г</w:t>
      </w:r>
      <w:r w:rsidRPr="00646C19">
        <w:t>е</w:t>
      </w:r>
      <w:r w:rsidRPr="00646C19">
        <w:t>неральным кортесам, которые, согласно Конституции, выполняют специфич</w:t>
      </w:r>
      <w:r w:rsidRPr="00646C19">
        <w:t>е</w:t>
      </w:r>
      <w:r w:rsidRPr="00646C19">
        <w:t>ские задачи в контроле за деятельностью государственной администрации.</w:t>
      </w:r>
    </w:p>
    <w:p w:rsidR="00646C19" w:rsidRPr="00646C19" w:rsidRDefault="00646C19" w:rsidP="00646C19">
      <w:pPr>
        <w:pStyle w:val="SingleTxtGR"/>
      </w:pPr>
      <w:r w:rsidRPr="00646C19">
        <w:t>89.</w:t>
      </w:r>
      <w:r w:rsidRPr="00646C19">
        <w:tab/>
      </w:r>
      <w:r w:rsidRPr="00121783">
        <w:rPr>
          <w:b/>
        </w:rPr>
        <w:t>Счетный трибунал</w:t>
      </w:r>
      <w:r w:rsidRPr="00646C19">
        <w:t>. Согласно статье 136 Конституции, этот Трибунал является верховным органом финансового контроля счетов и управления хозя</w:t>
      </w:r>
      <w:r w:rsidRPr="00646C19">
        <w:t>й</w:t>
      </w:r>
      <w:r w:rsidRPr="00646C19">
        <w:t>ством государства, а также государственного сектора. Как уже отмечалось, он подчиняется Генеральным кортесам, и в случае возникновения споров в отн</w:t>
      </w:r>
      <w:r w:rsidRPr="00646C19">
        <w:t>о</w:t>
      </w:r>
      <w:r w:rsidRPr="00646C19">
        <w:t>шении его полномочий или функций решения по их урегулированию приним</w:t>
      </w:r>
      <w:r w:rsidRPr="00646C19">
        <w:t>а</w:t>
      </w:r>
      <w:r w:rsidRPr="00646C19">
        <w:t>ются Конституционным судом. Его организацию и деятельность регулирует принятый 12</w:t>
      </w:r>
      <w:r w:rsidR="005507FC">
        <w:t xml:space="preserve"> </w:t>
      </w:r>
      <w:r w:rsidRPr="00646C19">
        <w:t>мая 1982</w:t>
      </w:r>
      <w:r w:rsidR="005507FC">
        <w:t xml:space="preserve"> </w:t>
      </w:r>
      <w:r w:rsidRPr="00646C19">
        <w:t>года Органический закон</w:t>
      </w:r>
      <w:r w:rsidR="005507FC">
        <w:t xml:space="preserve"> </w:t>
      </w:r>
      <w:r w:rsidRPr="00646C19">
        <w:t>№</w:t>
      </w:r>
      <w:r w:rsidR="005507FC">
        <w:t xml:space="preserve"> </w:t>
      </w:r>
      <w:r w:rsidRPr="00646C19">
        <w:t>2/1982. Председатель Сче</w:t>
      </w:r>
      <w:r w:rsidRPr="00646C19">
        <w:t>т</w:t>
      </w:r>
      <w:r w:rsidRPr="00646C19">
        <w:t>ного трибунала назначается Королем по предложению пленума из числа членов Трибунала сроком на три</w:t>
      </w:r>
      <w:r w:rsidR="005507FC">
        <w:t xml:space="preserve"> </w:t>
      </w:r>
      <w:r w:rsidRPr="00646C19">
        <w:t>года. Пленум состоит из 12</w:t>
      </w:r>
      <w:r w:rsidR="005507FC">
        <w:t xml:space="preserve"> </w:t>
      </w:r>
      <w:r w:rsidRPr="00646C19">
        <w:t xml:space="preserve">советников и прокурора. </w:t>
      </w:r>
    </w:p>
    <w:p w:rsidR="00646C19" w:rsidRPr="00646C19" w:rsidRDefault="00646C19" w:rsidP="00646C19">
      <w:pPr>
        <w:pStyle w:val="SingleTxtGR"/>
      </w:pPr>
      <w:r w:rsidRPr="00646C19">
        <w:t>90.</w:t>
      </w:r>
      <w:r w:rsidRPr="00646C19">
        <w:tab/>
      </w:r>
      <w:r w:rsidRPr="00121783">
        <w:rPr>
          <w:b/>
        </w:rPr>
        <w:t>Народный защитник</w:t>
      </w:r>
      <w:r w:rsidRPr="00646C19">
        <w:t>. Испанской Конституцией 1978</w:t>
      </w:r>
      <w:r w:rsidR="005507FC">
        <w:t xml:space="preserve"> </w:t>
      </w:r>
      <w:r w:rsidRPr="00646C19">
        <w:t>года был создан институт Народного защитника в качестве "верховного уполномоченного" Г</w:t>
      </w:r>
      <w:r w:rsidRPr="00646C19">
        <w:t>е</w:t>
      </w:r>
      <w:r w:rsidRPr="00646C19">
        <w:t>неральных кортесов с целью гарантии охраны и защиты основных прав. В</w:t>
      </w:r>
      <w:r w:rsidR="005507FC">
        <w:t xml:space="preserve"> </w:t>
      </w:r>
      <w:r w:rsidRPr="00646C19">
        <w:t>соо</w:t>
      </w:r>
      <w:r w:rsidRPr="00646C19">
        <w:t>т</w:t>
      </w:r>
      <w:r w:rsidRPr="00646C19">
        <w:t>ветствии с этой целью он уполномочен осуществлять надзор за деятельностью всех органов государственной администрации. Народный защитник избирается Генеральными кортесами большинством в три пятых голосов членов каждой Палаты на пятилетний срок в соответствии с принятым 6</w:t>
      </w:r>
      <w:r w:rsidR="005507FC">
        <w:t xml:space="preserve"> </w:t>
      </w:r>
      <w:r w:rsidRPr="00646C19">
        <w:t>апреля 1981</w:t>
      </w:r>
      <w:r w:rsidR="005507FC">
        <w:t xml:space="preserve"> </w:t>
      </w:r>
      <w:r w:rsidRPr="00646C19">
        <w:t>года О</w:t>
      </w:r>
      <w:r w:rsidRPr="00646C19">
        <w:t>р</w:t>
      </w:r>
      <w:r w:rsidRPr="00646C19">
        <w:t>ганическим законом</w:t>
      </w:r>
      <w:r w:rsidR="005507FC">
        <w:t xml:space="preserve"> </w:t>
      </w:r>
      <w:r w:rsidRPr="00646C19">
        <w:t>№</w:t>
      </w:r>
      <w:r w:rsidR="005507FC">
        <w:t xml:space="preserve"> </w:t>
      </w:r>
      <w:r w:rsidRPr="00646C19">
        <w:t>3/1981 о Народном защитнике, которым регулируется деятельность этого института. Соответствующая должность существует и во многих автономных сообществах.</w:t>
      </w:r>
    </w:p>
    <w:p w:rsidR="00646C19" w:rsidRPr="00646C19" w:rsidRDefault="00646C19" w:rsidP="00646C19">
      <w:pPr>
        <w:pStyle w:val="SingleTxtGR"/>
      </w:pPr>
      <w:r w:rsidRPr="00646C19">
        <w:t>91.</w:t>
      </w:r>
      <w:r w:rsidRPr="00646C19">
        <w:tab/>
      </w:r>
      <w:r w:rsidRPr="001F4B40">
        <w:rPr>
          <w:b/>
        </w:rPr>
        <w:t>Консультативные органы правительства: Государственный совет</w:t>
      </w:r>
      <w:r w:rsidRPr="00646C19">
        <w:t>. Государственный совет является высшим консультативным органом правител</w:t>
      </w:r>
      <w:r w:rsidRPr="00646C19">
        <w:t>ь</w:t>
      </w:r>
      <w:r w:rsidRPr="00646C19">
        <w:t>ства, деятельность которого регламентируется принятым 22</w:t>
      </w:r>
      <w:r w:rsidR="005507FC">
        <w:t xml:space="preserve"> </w:t>
      </w:r>
      <w:r w:rsidRPr="00646C19">
        <w:t>апреля 1980</w:t>
      </w:r>
      <w:r w:rsidR="005507FC">
        <w:t xml:space="preserve"> </w:t>
      </w:r>
      <w:r w:rsidRPr="00646C19">
        <w:t>года Органическим законом</w:t>
      </w:r>
      <w:r w:rsidR="005507FC">
        <w:t xml:space="preserve"> </w:t>
      </w:r>
      <w:r w:rsidRPr="00646C19">
        <w:t>№</w:t>
      </w:r>
      <w:r w:rsidR="005507FC">
        <w:t xml:space="preserve"> </w:t>
      </w:r>
      <w:r w:rsidRPr="00646C19">
        <w:t>3/1980. Его основная функция состоит в консульт</w:t>
      </w:r>
      <w:r w:rsidRPr="00646C19">
        <w:t>и</w:t>
      </w:r>
      <w:r w:rsidRPr="00646C19">
        <w:t>ровании и заключается в изложении обоснованного мнения по предмету ко</w:t>
      </w:r>
      <w:r w:rsidRPr="00646C19">
        <w:t>н</w:t>
      </w:r>
      <w:r w:rsidRPr="00646C19">
        <w:t xml:space="preserve">сультаций. </w:t>
      </w:r>
    </w:p>
    <w:p w:rsidR="00646C19" w:rsidRPr="00646C19" w:rsidRDefault="00646C19" w:rsidP="00646C19">
      <w:pPr>
        <w:pStyle w:val="SingleTxtGR"/>
      </w:pPr>
      <w:r w:rsidRPr="00646C19">
        <w:t>92.</w:t>
      </w:r>
      <w:r w:rsidRPr="00646C19">
        <w:tab/>
      </w:r>
      <w:r w:rsidRPr="001F4B40">
        <w:rPr>
          <w:b/>
        </w:rPr>
        <w:t xml:space="preserve">Экономический и </w:t>
      </w:r>
      <w:r w:rsidR="001F4B40" w:rsidRPr="001F4B40">
        <w:rPr>
          <w:b/>
        </w:rPr>
        <w:t>Социальный Совет</w:t>
      </w:r>
      <w:r w:rsidRPr="00646C19">
        <w:t>. Это − высший консультативный орган правительства по социально-экономическим вопросам, а также соглас</w:t>
      </w:r>
      <w:r w:rsidRPr="00646C19">
        <w:t>и</w:t>
      </w:r>
      <w:r w:rsidRPr="00646C19">
        <w:t>тельный совет социальных и экономических субъектов, задача которого – с</w:t>
      </w:r>
      <w:r w:rsidRPr="00646C19">
        <w:t>о</w:t>
      </w:r>
      <w:r w:rsidRPr="00646C19">
        <w:t>действие развитию социального и демократич</w:t>
      </w:r>
      <w:r w:rsidR="001F4B40">
        <w:t>еского правового государства. В </w:t>
      </w:r>
      <w:r w:rsidRPr="00646C19">
        <w:t>состав Совета входят Председатель и 60</w:t>
      </w:r>
      <w:r w:rsidR="005507FC">
        <w:t xml:space="preserve"> </w:t>
      </w:r>
      <w:r w:rsidRPr="00646C19">
        <w:t>членов: 20</w:t>
      </w:r>
      <w:r w:rsidR="005507FC">
        <w:t xml:space="preserve"> </w:t>
      </w:r>
      <w:r w:rsidRPr="00646C19">
        <w:t>членов Совета назнач</w:t>
      </w:r>
      <w:r w:rsidRPr="00646C19">
        <w:t>а</w:t>
      </w:r>
      <w:r w:rsidRPr="00646C19">
        <w:t>ются профсоюзными организациями, еще 20 − организациями предпринимат</w:t>
      </w:r>
      <w:r w:rsidRPr="00646C19">
        <w:t>е</w:t>
      </w:r>
      <w:r w:rsidRPr="00646C19">
        <w:t xml:space="preserve">лей и остальные 20 представляют ассоциации и организации. </w:t>
      </w:r>
    </w:p>
    <w:p w:rsidR="00646C19" w:rsidRPr="00646C19" w:rsidRDefault="00646C19" w:rsidP="00646C19">
      <w:pPr>
        <w:pStyle w:val="SingleTxtGR"/>
      </w:pPr>
      <w:r w:rsidRPr="00646C19">
        <w:t>93.</w:t>
      </w:r>
      <w:r w:rsidRPr="00646C19">
        <w:tab/>
      </w:r>
      <w:r w:rsidRPr="001F4B40">
        <w:rPr>
          <w:b/>
        </w:rPr>
        <w:t>Судебная власть</w:t>
      </w:r>
      <w:r w:rsidRPr="00646C19">
        <w:t>. Согласно Конституции, носителем верховной власти является народ, а правосудие от имени Короля вершится судьями и магистрат</w:t>
      </w:r>
      <w:r w:rsidRPr="00646C19">
        <w:t>а</w:t>
      </w:r>
      <w:r w:rsidRPr="00646C19">
        <w:t>ми, представляющими судебную власть. Следует прежде всего отметить еди</w:t>
      </w:r>
      <w:r w:rsidRPr="00646C19">
        <w:t>н</w:t>
      </w:r>
      <w:r w:rsidRPr="00646C19">
        <w:t>ство судебной власти, которое обеспечивается отправлением правосудия ед</w:t>
      </w:r>
      <w:r w:rsidRPr="00646C19">
        <w:t>и</w:t>
      </w:r>
      <w:r w:rsidRPr="00646C19">
        <w:t>ным корпусом судей и магистратов. Органом управления судьями и магистр</w:t>
      </w:r>
      <w:r w:rsidRPr="00646C19">
        <w:t>а</w:t>
      </w:r>
      <w:r w:rsidRPr="00646C19">
        <w:t>тами является Генеральный совет судебной власти. В его состав входят Предс</w:t>
      </w:r>
      <w:r w:rsidRPr="00646C19">
        <w:t>е</w:t>
      </w:r>
      <w:r w:rsidRPr="00646C19">
        <w:t>датель Верховного суда, который председательствует в Совете, и 20</w:t>
      </w:r>
      <w:r w:rsidR="005507FC">
        <w:t xml:space="preserve"> </w:t>
      </w:r>
      <w:r w:rsidRPr="00646C19">
        <w:t>членов, назначаемых Королем на пятилетний срок по предложению Генеральных корт</w:t>
      </w:r>
      <w:r w:rsidRPr="00646C19">
        <w:t>е</w:t>
      </w:r>
      <w:r w:rsidRPr="00646C19">
        <w:t>сов, избирающих их большинством в три пятых голосов. Двенадцать из них должны занимать должности судей и магистратов.</w:t>
      </w:r>
    </w:p>
    <w:p w:rsidR="00646C19" w:rsidRPr="00646C19" w:rsidRDefault="00646C19" w:rsidP="00646C19">
      <w:pPr>
        <w:pStyle w:val="SingleTxtGR"/>
      </w:pPr>
      <w:r w:rsidRPr="00646C19">
        <w:t>94.</w:t>
      </w:r>
      <w:r w:rsidRPr="00646C19">
        <w:tab/>
      </w:r>
      <w:r w:rsidRPr="001F4B40">
        <w:rPr>
          <w:b/>
        </w:rPr>
        <w:t>Верховный суд</w:t>
      </w:r>
      <w:r w:rsidRPr="00646C19">
        <w:t>. Этот орган является высшей судебной инстанцией гос</w:t>
      </w:r>
      <w:r w:rsidRPr="00646C19">
        <w:t>у</w:t>
      </w:r>
      <w:r w:rsidRPr="00646C19">
        <w:t>дарства во всех областях, за исключением относящихся к конституционным г</w:t>
      </w:r>
      <w:r w:rsidRPr="00646C19">
        <w:t>а</w:t>
      </w:r>
      <w:r w:rsidRPr="00646C19">
        <w:t>рантиям, которые входят в компетенцию Конституционного суда. Председатель Верховного суда, являющийся также Председателем Генерального совета с</w:t>
      </w:r>
      <w:r w:rsidRPr="00646C19">
        <w:t>у</w:t>
      </w:r>
      <w:r w:rsidRPr="00646C19">
        <w:t>дебной власти, назначается Королем по предложению этого органа.</w:t>
      </w:r>
    </w:p>
    <w:p w:rsidR="00646C19" w:rsidRPr="00646C19" w:rsidRDefault="00646C19" w:rsidP="00646C19">
      <w:pPr>
        <w:pStyle w:val="SingleTxtGR"/>
      </w:pPr>
      <w:r w:rsidRPr="00646C19">
        <w:t>95.</w:t>
      </w:r>
      <w:r w:rsidRPr="00646C19">
        <w:tab/>
      </w:r>
      <w:r w:rsidRPr="001F4B40">
        <w:rPr>
          <w:b/>
        </w:rPr>
        <w:t>Генеральный прокурор государства</w:t>
      </w:r>
      <w:r w:rsidRPr="00646C19">
        <w:t>. Генеральный прокурор назначае</w:t>
      </w:r>
      <w:r w:rsidRPr="00646C19">
        <w:t>т</w:t>
      </w:r>
      <w:r w:rsidRPr="00646C19">
        <w:t>ся Королем по предложению правительства после консультации с Генеральным советом судебной власти. Прокуратура имеет своей задачей способствовать о</w:t>
      </w:r>
      <w:r w:rsidRPr="00646C19">
        <w:t>т</w:t>
      </w:r>
      <w:r w:rsidRPr="00646C19">
        <w:t>правлению правосудия в целях защиты прав граждан и охраняемых законом публичных интересов либо в силу своих обязанностей, либо по ходатайству з</w:t>
      </w:r>
      <w:r w:rsidRPr="00646C19">
        <w:t>а</w:t>
      </w:r>
      <w:r w:rsidRPr="00646C19">
        <w:t>интересованных сторон. В ее обязанности входит также контроль независим</w:t>
      </w:r>
      <w:r w:rsidRPr="00646C19">
        <w:t>о</w:t>
      </w:r>
      <w:r w:rsidRPr="00646C19">
        <w:t>сти судов и обеспечение удовлетворения в них общественных интересов. Пр</w:t>
      </w:r>
      <w:r w:rsidRPr="00646C19">
        <w:t>о</w:t>
      </w:r>
      <w:r w:rsidRPr="00646C19">
        <w:t>куратура может представлять ходатайства по процедуре ампаро.</w:t>
      </w:r>
    </w:p>
    <w:p w:rsidR="00646C19" w:rsidRPr="00646C19" w:rsidRDefault="00646C19" w:rsidP="00646C19">
      <w:pPr>
        <w:pStyle w:val="SingleTxtGR"/>
      </w:pPr>
      <w:r w:rsidRPr="00646C19">
        <w:t>96.</w:t>
      </w:r>
      <w:r w:rsidRPr="00646C19">
        <w:tab/>
      </w:r>
      <w:r w:rsidRPr="001F4B40">
        <w:rPr>
          <w:b/>
        </w:rPr>
        <w:t>Территориальное устройство государства: Автономные сообщества и города со статутом автономии</w:t>
      </w:r>
      <w:r w:rsidRPr="00646C19">
        <w:t>. Конституция 1978</w:t>
      </w:r>
      <w:r w:rsidR="005507FC">
        <w:t xml:space="preserve"> </w:t>
      </w:r>
      <w:r w:rsidRPr="00646C19">
        <w:t>года признает и гарантирует право на автономию национальностей и регионов, входящих в испанскую нацию, и солидарность между ними. Развитие конституционных положений обеспечило глубокую трансформацию территориального устройства госуда</w:t>
      </w:r>
      <w:r w:rsidRPr="00646C19">
        <w:t>р</w:t>
      </w:r>
      <w:r w:rsidRPr="00646C19">
        <w:t>ства посредством создания 17 автономных сообществ и двух автономных гор</w:t>
      </w:r>
      <w:r w:rsidRPr="00646C19">
        <w:t>о</w:t>
      </w:r>
      <w:r w:rsidRPr="00646C19">
        <w:t>дов (Сеуты и Мелильи) и последующего перераспределения политической и административной власти между центральными органами и органами автоно</w:t>
      </w:r>
      <w:r w:rsidRPr="00646C19">
        <w:t>м</w:t>
      </w:r>
      <w:r w:rsidRPr="00646C19">
        <w:t>ных образований. Результатом этого процесса стало то, что Испания является одной из наиболее децентрализованных стран Европы при одновременном укреплении ее единства и солидарности; поощрении гармоничного развития на основе политических, социальных и культурных особенностей, образующих историческую действительность Испании; приближении государственных и</w:t>
      </w:r>
      <w:r w:rsidRPr="00646C19">
        <w:t>н</w:t>
      </w:r>
      <w:r w:rsidRPr="00646C19">
        <w:t>ститутов к гражданам; укреплении демократии, а также при существенном с</w:t>
      </w:r>
      <w:r w:rsidRPr="00646C19">
        <w:t>о</w:t>
      </w:r>
      <w:r w:rsidRPr="00646C19">
        <w:t>действии достигнутому Испанией значительному экономическому, социальному и культурному прогрессу. В каждом автономном сообществе действует свой статут автономии, утвержденный органическим законом, который является о</w:t>
      </w:r>
      <w:r w:rsidRPr="00646C19">
        <w:t>с</w:t>
      </w:r>
      <w:r w:rsidRPr="00646C19">
        <w:t>новной институциональной нормой сообщества и регулирует такие существе</w:t>
      </w:r>
      <w:r w:rsidRPr="00646C19">
        <w:t>н</w:t>
      </w:r>
      <w:r w:rsidRPr="00646C19">
        <w:t>ные аспекты, как организация и функционирование его парламента и его прав</w:t>
      </w:r>
      <w:r w:rsidRPr="00646C19">
        <w:t>и</w:t>
      </w:r>
      <w:r w:rsidRPr="00646C19">
        <w:t>тельства; полномочия, принятые на себя данным сообществом; порядок упра</w:t>
      </w:r>
      <w:r w:rsidRPr="00646C19">
        <w:t>в</w:t>
      </w:r>
      <w:r w:rsidRPr="00646C19">
        <w:t>ления; характерная символика и другие особенности, включая язык или гра</w:t>
      </w:r>
      <w:r w:rsidRPr="00646C19">
        <w:t>ж</w:t>
      </w:r>
      <w:r w:rsidRPr="00646C19">
        <w:t>данское право; а также отношения с государством и другими автономными с</w:t>
      </w:r>
      <w:r w:rsidRPr="00646C19">
        <w:t>о</w:t>
      </w:r>
      <w:r w:rsidRPr="00646C19">
        <w:t>обществами. Распределение полномочий между государством и автономными сообществами основано на разграничении между исключительными полном</w:t>
      </w:r>
      <w:r w:rsidRPr="00646C19">
        <w:t>о</w:t>
      </w:r>
      <w:r w:rsidRPr="00646C19">
        <w:t>чиями государства и автономных сообществ, совместными полномочиями гос</w:t>
      </w:r>
      <w:r w:rsidRPr="00646C19">
        <w:t>у</w:t>
      </w:r>
      <w:r w:rsidRPr="00646C19">
        <w:t>дарства и автономных сообществ и совпадающими полномочиями, которые м</w:t>
      </w:r>
      <w:r w:rsidRPr="00646C19">
        <w:t>о</w:t>
      </w:r>
      <w:r w:rsidRPr="00646C19">
        <w:t>гут осуществлять как государство, так и автономные сообщества. Исключ</w:t>
      </w:r>
      <w:r w:rsidRPr="00646C19">
        <w:t>и</w:t>
      </w:r>
      <w:r w:rsidRPr="00646C19">
        <w:t>тельные полномочия как государства, так и автономных сообществ означают законодательную и исполнительную правосубъектность, тогда как совместные полномочия могут предполагать разное распределение законодательной и но</w:t>
      </w:r>
      <w:r w:rsidRPr="00646C19">
        <w:t>р</w:t>
      </w:r>
      <w:r w:rsidRPr="00646C19">
        <w:t>мативной правоспособности между государством и автономными сообществ</w:t>
      </w:r>
      <w:r w:rsidRPr="00646C19">
        <w:t>а</w:t>
      </w:r>
      <w:r w:rsidRPr="00646C19">
        <w:t>ми, которые в этих случаях обычно располагают исполнительной правосуб</w:t>
      </w:r>
      <w:r w:rsidRPr="00646C19">
        <w:t>ъ</w:t>
      </w:r>
      <w:r w:rsidRPr="00646C19">
        <w:t>ектностью. В</w:t>
      </w:r>
      <w:r w:rsidR="005507FC">
        <w:t xml:space="preserve"> </w:t>
      </w:r>
      <w:r w:rsidRPr="00646C19">
        <w:t>случае возникновения конфликтов полномочий решения об их урегулировании, как и в других государствах с децентрализованной политич</w:t>
      </w:r>
      <w:r w:rsidRPr="00646C19">
        <w:t>е</w:t>
      </w:r>
      <w:r w:rsidRPr="00646C19">
        <w:t>ской системой, принимаются Конституционным судом. Система управления а</w:t>
      </w:r>
      <w:r w:rsidRPr="00646C19">
        <w:t>в</w:t>
      </w:r>
      <w:r w:rsidRPr="00646C19">
        <w:t>тономными сообществами носит парламентский характер, при котором осно</w:t>
      </w:r>
      <w:r w:rsidRPr="00646C19">
        <w:t>в</w:t>
      </w:r>
      <w:r w:rsidRPr="00646C19">
        <w:t>ными государственными институтами являются парламент, председатель соо</w:t>
      </w:r>
      <w:r w:rsidRPr="00646C19">
        <w:t>б</w:t>
      </w:r>
      <w:r w:rsidRPr="00646C19">
        <w:t>щества и автономное правительство. В экономическом и финансовом плане а</w:t>
      </w:r>
      <w:r w:rsidRPr="00646C19">
        <w:t>в</w:t>
      </w:r>
      <w:r w:rsidRPr="00646C19">
        <w:t>тономные сообщества располагают широкой автономией в управлении, имея право принимать собственные</w:t>
      </w:r>
      <w:r w:rsidR="005507FC">
        <w:t xml:space="preserve"> </w:t>
      </w:r>
      <w:r w:rsidRPr="00646C19">
        <w:t>годовые бюджеты и формировать собственную финансовую базу посредством установления налоговых ставок, надбавок, сп</w:t>
      </w:r>
      <w:r w:rsidRPr="00646C19">
        <w:t>е</w:t>
      </w:r>
      <w:r w:rsidRPr="00646C19">
        <w:t>циальных сборов и ценовой политики.</w:t>
      </w:r>
    </w:p>
    <w:p w:rsidR="00646C19" w:rsidRPr="00646C19" w:rsidRDefault="00646C19" w:rsidP="00646C19">
      <w:pPr>
        <w:pStyle w:val="SingleTxtGR"/>
      </w:pPr>
      <w:r w:rsidRPr="00646C19">
        <w:t>97.</w:t>
      </w:r>
      <w:r w:rsidRPr="00646C19">
        <w:tab/>
        <w:t>Средства, которые автономные сообщества получают в рамках Системы финансирования, включают помимо налоговых средств, складывающихся из ряда налогов, оставляемых им полностью или частично, также перечисления из Гарантийного фонда основных государственных услуг и Фонда обеспечения общих потребностей. Кроме того, в состав этой системы входят Фонды конве</w:t>
      </w:r>
      <w:r w:rsidRPr="00646C19">
        <w:t>р</w:t>
      </w:r>
      <w:r w:rsidRPr="00646C19">
        <w:t>генции автономных сообществ, созданные за счет дополнительных средств, предоставляемых государством для содействия сбалансированному экономич</w:t>
      </w:r>
      <w:r w:rsidRPr="00646C19">
        <w:t>е</w:t>
      </w:r>
      <w:r w:rsidRPr="00646C19">
        <w:t>скому развитию территорий в интересах равенства и равноправия. Таким обр</w:t>
      </w:r>
      <w:r w:rsidRPr="00646C19">
        <w:t>а</w:t>
      </w:r>
      <w:r w:rsidRPr="00646C19">
        <w:t>зом, различные механизмы финансирования, образующие Модель финансир</w:t>
      </w:r>
      <w:r w:rsidRPr="00646C19">
        <w:t>о</w:t>
      </w:r>
      <w:r w:rsidRPr="00646C19">
        <w:t>вания, призваны гарантировать межтерриториальную солидарность и равный минимальный уровень предоставления основных государственных услуг на всей территории Испании. Наряду с теми средствами, которые предоставляются автономным сообществам в рамках Системы финансирования, следует учит</w:t>
      </w:r>
      <w:r w:rsidRPr="00646C19">
        <w:t>ы</w:t>
      </w:r>
      <w:r w:rsidRPr="00646C19">
        <w:t>вать и прочие ресурсы, которыми располагают эти сообщества, в том числе взимаемые ими налоги, перечисления из средств государственного бюджета или из средств Европейского союза. Ныне действующая Система финансирования стала результатом становления Испании как автономного государства, относ</w:t>
      </w:r>
      <w:r w:rsidRPr="00646C19">
        <w:t>я</w:t>
      </w:r>
      <w:r w:rsidRPr="00646C19">
        <w:t>щегося к числу наиболее децентрализованных стран – членов ОЭСР и опер</w:t>
      </w:r>
      <w:r w:rsidRPr="00646C19">
        <w:t>е</w:t>
      </w:r>
      <w:r w:rsidRPr="00646C19">
        <w:t>жающего по уровню децентрализации страны традиционного федерализма.</w:t>
      </w:r>
    </w:p>
    <w:p w:rsidR="00646C19" w:rsidRPr="00646C19" w:rsidRDefault="00646C19" w:rsidP="00646C19">
      <w:pPr>
        <w:pStyle w:val="SingleTxtGR"/>
      </w:pPr>
      <w:r w:rsidRPr="00646C19">
        <w:t>98.</w:t>
      </w:r>
      <w:r w:rsidRPr="00646C19">
        <w:tab/>
      </w:r>
      <w:r w:rsidRPr="001F4B40">
        <w:rPr>
          <w:b/>
        </w:rPr>
        <w:t>Местные образования</w:t>
      </w:r>
      <w:r w:rsidRPr="00646C19">
        <w:t>. Согласно последним официальным данным о населении по состоянию на 1 января 2013</w:t>
      </w:r>
      <w:r w:rsidR="005507FC">
        <w:t xml:space="preserve"> </w:t>
      </w:r>
      <w:r w:rsidRPr="00646C19">
        <w:t>года (Королевский д</w:t>
      </w:r>
      <w:r w:rsidRPr="00646C19">
        <w:t>е</w:t>
      </w:r>
      <w:r w:rsidRPr="00646C19">
        <w:t>крет</w:t>
      </w:r>
      <w:r w:rsidR="001F4B40">
        <w:t> </w:t>
      </w:r>
      <w:r w:rsidRPr="00646C19">
        <w:t>№</w:t>
      </w:r>
      <w:r w:rsidR="001F4B40">
        <w:t> </w:t>
      </w:r>
      <w:r w:rsidRPr="00646C19">
        <w:t>1016/2013 от 20</w:t>
      </w:r>
      <w:r w:rsidR="005507FC">
        <w:t xml:space="preserve"> </w:t>
      </w:r>
      <w:r w:rsidRPr="00646C19">
        <w:t>декабря 2013</w:t>
      </w:r>
      <w:r w:rsidR="005507FC">
        <w:t xml:space="preserve"> </w:t>
      </w:r>
      <w:r w:rsidRPr="00646C19">
        <w:t>года) в стране имеются 50</w:t>
      </w:r>
      <w:r w:rsidR="005507FC">
        <w:t xml:space="preserve"> </w:t>
      </w:r>
      <w:r w:rsidRPr="00646C19">
        <w:t>провинций и 8</w:t>
      </w:r>
      <w:r w:rsidR="001F4B40">
        <w:t> </w:t>
      </w:r>
      <w:r w:rsidRPr="00646C19">
        <w:t>117</w:t>
      </w:r>
      <w:r w:rsidR="005507FC">
        <w:t xml:space="preserve"> </w:t>
      </w:r>
      <w:r w:rsidRPr="00646C19">
        <w:t>муниципальных образований, весьма различающиеся по размеру и чи</w:t>
      </w:r>
      <w:r w:rsidRPr="00646C19">
        <w:t>с</w:t>
      </w:r>
      <w:r w:rsidRPr="00646C19">
        <w:t>ленности населения. Так, в 4</w:t>
      </w:r>
      <w:r w:rsidR="001F4B40">
        <w:t> </w:t>
      </w:r>
      <w:r w:rsidRPr="00646C19">
        <w:t>897</w:t>
      </w:r>
      <w:r w:rsidR="005507FC">
        <w:t xml:space="preserve"> </w:t>
      </w:r>
      <w:r w:rsidRPr="00646C19">
        <w:t>муниципалитетах (60,33</w:t>
      </w:r>
      <w:r w:rsidR="005507FC">
        <w:t>%</w:t>
      </w:r>
      <w:r w:rsidRPr="00646C19">
        <w:t xml:space="preserve"> от их общего кол</w:t>
      </w:r>
      <w:r w:rsidRPr="00646C19">
        <w:t>и</w:t>
      </w:r>
      <w:r w:rsidRPr="00646C19">
        <w:t>чества) насчитывается менее 1</w:t>
      </w:r>
      <w:r w:rsidR="001F4B40">
        <w:t> 000</w:t>
      </w:r>
      <w:r w:rsidR="005507FC">
        <w:t xml:space="preserve"> </w:t>
      </w:r>
      <w:r w:rsidRPr="00646C19">
        <w:t>жителей, а в 6</w:t>
      </w:r>
      <w:r w:rsidR="001F4B40">
        <w:t> </w:t>
      </w:r>
      <w:r w:rsidRPr="00646C19">
        <w:t>798</w:t>
      </w:r>
      <w:r w:rsidR="005507FC">
        <w:t xml:space="preserve"> </w:t>
      </w:r>
      <w:r w:rsidRPr="00646C19">
        <w:t>муниципалитетах (83,75</w:t>
      </w:r>
      <w:r w:rsidR="005507FC">
        <w:t>%</w:t>
      </w:r>
      <w:r w:rsidRPr="00646C19">
        <w:t xml:space="preserve"> от их общего количества) − менее 5</w:t>
      </w:r>
      <w:r w:rsidR="001F4B40">
        <w:t> 000</w:t>
      </w:r>
      <w:r w:rsidRPr="00646C19">
        <w:t xml:space="preserve"> жителей. Лишь в 146</w:t>
      </w:r>
      <w:r w:rsidR="005507FC">
        <w:t xml:space="preserve"> </w:t>
      </w:r>
      <w:r w:rsidRPr="00646C19">
        <w:t>муниципалитетах (1,80</w:t>
      </w:r>
      <w:r w:rsidR="005507FC">
        <w:t>%</w:t>
      </w:r>
      <w:r w:rsidRPr="00646C19">
        <w:t xml:space="preserve"> от их общего количества) численность населения превышает 50</w:t>
      </w:r>
      <w:r w:rsidR="001F4B40">
        <w:t> 000</w:t>
      </w:r>
      <w:r w:rsidR="005507FC">
        <w:t xml:space="preserve"> </w:t>
      </w:r>
      <w:r w:rsidRPr="00646C19">
        <w:t>ч</w:t>
      </w:r>
      <w:r w:rsidRPr="00646C19">
        <w:t>е</w:t>
      </w:r>
      <w:r w:rsidRPr="00646C19">
        <w:t>ловек. С</w:t>
      </w:r>
      <w:r w:rsidR="005507FC">
        <w:t xml:space="preserve"> </w:t>
      </w:r>
      <w:r w:rsidRPr="00646C19">
        <w:t>организационной точки зрения руководство и управление муницип</w:t>
      </w:r>
      <w:r w:rsidRPr="00646C19">
        <w:t>а</w:t>
      </w:r>
      <w:r w:rsidRPr="00646C19">
        <w:t>литетами осуществляются такими органами, как муниципальные советы; в пр</w:t>
      </w:r>
      <w:r w:rsidRPr="00646C19">
        <w:t>о</w:t>
      </w:r>
      <w:r w:rsidRPr="00646C19">
        <w:t>винциях − провинциальными депутациями и другими представительными о</w:t>
      </w:r>
      <w:r w:rsidRPr="00646C19">
        <w:t>р</w:t>
      </w:r>
      <w:r w:rsidRPr="00646C19">
        <w:t>ганами; а на Канарских и Балеарских островах такими органами являются, с</w:t>
      </w:r>
      <w:r w:rsidRPr="00646C19">
        <w:t>о</w:t>
      </w:r>
      <w:r w:rsidRPr="00646C19">
        <w:t>ответственно, кабильдо и островные советы. Должностными лицами и орган</w:t>
      </w:r>
      <w:r w:rsidRPr="00646C19">
        <w:t>а</w:t>
      </w:r>
      <w:r w:rsidRPr="00646C19">
        <w:t>ми муниципальных советов являются мэр, под председательством которого р</w:t>
      </w:r>
      <w:r w:rsidRPr="00646C19">
        <w:t>а</w:t>
      </w:r>
      <w:r w:rsidRPr="00646C19">
        <w:t>ботает совет, вице-мэры, правление и пленум в составе всех депутатов совета, избираемых по пропорциональной системе прямым голосованием всех жителей муниципалитета по открытым спискам (в случае муниципалитетов с населен</w:t>
      </w:r>
      <w:r w:rsidRPr="00646C19">
        <w:t>и</w:t>
      </w:r>
      <w:r w:rsidRPr="00646C19">
        <w:t>ем до 250</w:t>
      </w:r>
      <w:r w:rsidR="005507FC">
        <w:t xml:space="preserve"> </w:t>
      </w:r>
      <w:r w:rsidRPr="00646C19">
        <w:t>человек) и по закрытым спискам (в случае муниципалитетов с нас</w:t>
      </w:r>
      <w:r w:rsidRPr="00646C19">
        <w:t>е</w:t>
      </w:r>
      <w:r w:rsidRPr="00646C19">
        <w:t>лением свыше 250</w:t>
      </w:r>
      <w:r w:rsidR="005507FC">
        <w:t xml:space="preserve"> </w:t>
      </w:r>
      <w:r w:rsidRPr="00646C19">
        <w:t>человек). Мэр избирается абсолютным большинством деп</w:t>
      </w:r>
      <w:r w:rsidRPr="00646C19">
        <w:t>у</w:t>
      </w:r>
      <w:r w:rsidRPr="00646C19">
        <w:t>татов совета. В случае отсутствия такого большинства мэром избирается деп</w:t>
      </w:r>
      <w:r w:rsidRPr="00646C19">
        <w:t>у</w:t>
      </w:r>
      <w:r w:rsidRPr="00646C19">
        <w:t>тат совета, возглавляющий список, который получил больше всего голосов, а при голосовании в муниципалитетах по открытому списку должность мэра з</w:t>
      </w:r>
      <w:r w:rsidRPr="00646C19">
        <w:t>а</w:t>
      </w:r>
      <w:r w:rsidRPr="00646C19">
        <w:t>нимает депутат совета, получивший больше всего голосов избирателей на в</w:t>
      </w:r>
      <w:r w:rsidRPr="00646C19">
        <w:t>ы</w:t>
      </w:r>
      <w:r w:rsidRPr="00646C19">
        <w:t xml:space="preserve">борах депутатов совета. Специальная система действует в муниципалитетах, где применяется режим "открытого" совета, </w:t>
      </w:r>
      <w:r w:rsidR="005507FC">
        <w:t>т.е.</w:t>
      </w:r>
      <w:r w:rsidRPr="00646C19">
        <w:t xml:space="preserve"> в тех, где в силу традиций и добровольно применяется такой единый режим управления и администрации, а также в муниципалитетах, которые в силу своего географического положения в целях более эффективного удовлетворения муниципальных потребностей или в силу иных причин считают это желательным и по согласованию с автономным сообществом вводят у себя подобный единый режим управления и администр</w:t>
      </w:r>
      <w:r w:rsidRPr="00646C19">
        <w:t>а</w:t>
      </w:r>
      <w:r w:rsidRPr="00646C19">
        <w:t>ции, при котором жители в своем качестве избирателей непосредственно выб</w:t>
      </w:r>
      <w:r w:rsidRPr="00646C19">
        <w:t>и</w:t>
      </w:r>
      <w:r w:rsidRPr="00646C19">
        <w:t>рают мэра по мажоритарной системе, что представляет собой форму подлинной прямой демократии. На муниципальных выборах осуществляется активное и пассивное избирательное право не только испанских избирателей, но и граждан стран Европейского союза, проживающих в Испании, на таких же условиях, что и для испанских граждан, равно как и избирательное право других иностра</w:t>
      </w:r>
      <w:r w:rsidRPr="00646C19">
        <w:t>н</w:t>
      </w:r>
      <w:r w:rsidRPr="00646C19">
        <w:t>цев-резидентов в Испании, чьи соответствующие страны по условиям закл</w:t>
      </w:r>
      <w:r w:rsidRPr="00646C19">
        <w:t>ю</w:t>
      </w:r>
      <w:r w:rsidRPr="00646C19">
        <w:t>ченного договора разрешают испанцам голосовать на таких выборах (ст</w:t>
      </w:r>
      <w:r w:rsidRPr="00646C19">
        <w:t>а</w:t>
      </w:r>
      <w:r w:rsidRPr="00646C19">
        <w:t>тья</w:t>
      </w:r>
      <w:r w:rsidR="006E4245">
        <w:t> </w:t>
      </w:r>
      <w:r w:rsidRPr="00646C19">
        <w:t>13.2 Конституции Испании и статьи</w:t>
      </w:r>
      <w:r w:rsidR="005507FC">
        <w:t xml:space="preserve"> </w:t>
      </w:r>
      <w:r w:rsidRPr="00646C19">
        <w:t>176 и 177 Органического зак</w:t>
      </w:r>
      <w:r w:rsidRPr="00646C19">
        <w:t>о</w:t>
      </w:r>
      <w:r w:rsidRPr="00646C19">
        <w:t>на</w:t>
      </w:r>
      <w:r w:rsidR="006E4245">
        <w:t> </w:t>
      </w:r>
      <w:r w:rsidRPr="00646C19">
        <w:t>№</w:t>
      </w:r>
      <w:r w:rsidR="006E4245">
        <w:t> </w:t>
      </w:r>
      <w:r w:rsidRPr="00646C19">
        <w:t>5/1985 от 19</w:t>
      </w:r>
      <w:r w:rsidR="005507FC">
        <w:t xml:space="preserve"> </w:t>
      </w:r>
      <w:r w:rsidRPr="00646C19">
        <w:t>июня 1985</w:t>
      </w:r>
      <w:r w:rsidR="005507FC">
        <w:t xml:space="preserve"> </w:t>
      </w:r>
      <w:r w:rsidRPr="00646C19">
        <w:t>года об общем избирательном режиме). Основной задачей провинциальных депутаций, избираемых депутатами муниципальных советов провинций из своего числа, является оказание помощи муниципалит</w:t>
      </w:r>
      <w:r w:rsidRPr="00646C19">
        <w:t>е</w:t>
      </w:r>
      <w:r w:rsidRPr="00646C19">
        <w:t>там и сотрудничество с ними, в первую очередь с теми из них, которые расп</w:t>
      </w:r>
      <w:r w:rsidRPr="00646C19">
        <w:t>о</w:t>
      </w:r>
      <w:r w:rsidRPr="00646C19">
        <w:t>лагают меньшими экономическими и управленческими возможностями, а также обеспечение предоставления муниципалитетами минимальных обязательных услуг, установленных законом. Что касается островных территорий, то орган</w:t>
      </w:r>
      <w:r w:rsidRPr="00646C19">
        <w:t>а</w:t>
      </w:r>
      <w:r w:rsidRPr="00646C19">
        <w:t>ми управления и администрации здесь являются кабильдо на Канарских остр</w:t>
      </w:r>
      <w:r w:rsidRPr="00646C19">
        <w:t>о</w:t>
      </w:r>
      <w:r w:rsidRPr="00646C19">
        <w:t>вах и островные советы на Балеарских островах.</w:t>
      </w:r>
    </w:p>
    <w:p w:rsidR="00646C19" w:rsidRPr="00646C19" w:rsidRDefault="00646C19" w:rsidP="006E4245">
      <w:pPr>
        <w:pStyle w:val="H23GR"/>
      </w:pPr>
      <w:r w:rsidRPr="00646C19">
        <w:tab/>
        <w:t>2.</w:t>
      </w:r>
      <w:r w:rsidRPr="00646C19">
        <w:tab/>
        <w:t>Система правосудия и данные о преступности</w:t>
      </w:r>
    </w:p>
    <w:p w:rsidR="00646C19" w:rsidRPr="00646C19" w:rsidRDefault="00646C19" w:rsidP="00646C19">
      <w:pPr>
        <w:pStyle w:val="SingleTxtGR"/>
      </w:pPr>
      <w:r w:rsidRPr="00646C19">
        <w:t>99.</w:t>
      </w:r>
      <w:r w:rsidRPr="00646C19">
        <w:tab/>
        <w:t>В 2012</w:t>
      </w:r>
      <w:r w:rsidR="005507FC">
        <w:t xml:space="preserve"> </w:t>
      </w:r>
      <w:r w:rsidRPr="00646C19">
        <w:t>году в Центральном реестре заключенных числилось в общей сложности 221</w:t>
      </w:r>
      <w:r w:rsidR="006E4245">
        <w:t> </w:t>
      </w:r>
      <w:r w:rsidRPr="00646C19">
        <w:t>063</w:t>
      </w:r>
      <w:r w:rsidR="005507FC">
        <w:t xml:space="preserve"> </w:t>
      </w:r>
      <w:r w:rsidRPr="00646C19">
        <w:t>совершеннолетних осужденных лица с учетом окончател</w:t>
      </w:r>
      <w:r w:rsidRPr="00646C19">
        <w:t>ь</w:t>
      </w:r>
      <w:r w:rsidRPr="00646C19">
        <w:t>ных приговоров, вынесенных в этом</w:t>
      </w:r>
      <w:r w:rsidR="005507FC">
        <w:t xml:space="preserve"> </w:t>
      </w:r>
      <w:r w:rsidRPr="00646C19">
        <w:t>году и внесенных в реестр, что на 0,2</w:t>
      </w:r>
      <w:r w:rsidR="005507FC">
        <w:t>%</w:t>
      </w:r>
      <w:r w:rsidRPr="00646C19">
        <w:t xml:space="preserve"> меньше, чем в предыдущем</w:t>
      </w:r>
      <w:r w:rsidR="005507FC">
        <w:t xml:space="preserve"> </w:t>
      </w:r>
      <w:r w:rsidRPr="00646C19">
        <w:t>году.</w:t>
      </w:r>
    </w:p>
    <w:p w:rsidR="00646C19" w:rsidRPr="00646C19" w:rsidRDefault="00646C19" w:rsidP="00646C19">
      <w:pPr>
        <w:pStyle w:val="SingleTxtGR"/>
      </w:pPr>
      <w:r w:rsidRPr="00646C19">
        <w:t>100.</w:t>
      </w:r>
      <w:r w:rsidRPr="00646C19">
        <w:tab/>
        <w:t>Мужчины составили 89,1</w:t>
      </w:r>
      <w:r w:rsidR="005507FC">
        <w:t>%</w:t>
      </w:r>
      <w:r w:rsidRPr="00646C19">
        <w:t>, а женщины – 10,9</w:t>
      </w:r>
      <w:r w:rsidR="005507FC">
        <w:t>%</w:t>
      </w:r>
      <w:r w:rsidRPr="00646C19">
        <w:t xml:space="preserve"> всех осужденных. Коэ</w:t>
      </w:r>
      <w:r w:rsidRPr="00646C19">
        <w:t>ф</w:t>
      </w:r>
      <w:r w:rsidRPr="00646C19">
        <w:t>фициент осужденных на 1</w:t>
      </w:r>
      <w:r w:rsidR="006E4245">
        <w:t> 000</w:t>
      </w:r>
      <w:r w:rsidRPr="00646C19">
        <w:t xml:space="preserve"> жителей (в возрасте 18</w:t>
      </w:r>
      <w:r w:rsidR="005507FC">
        <w:t xml:space="preserve"> </w:t>
      </w:r>
      <w:r w:rsidRPr="00646C19">
        <w:t>лет и старше) составил 5,7, оставшись на уровне 2011</w:t>
      </w:r>
      <w:r w:rsidR="005507FC">
        <w:t xml:space="preserve"> </w:t>
      </w:r>
      <w:r w:rsidRPr="00646C19">
        <w:t>года.</w:t>
      </w:r>
    </w:p>
    <w:p w:rsidR="00646C19" w:rsidRPr="00646C19" w:rsidRDefault="00646C19" w:rsidP="00646C19">
      <w:pPr>
        <w:pStyle w:val="SingleTxtGR"/>
      </w:pPr>
      <w:r w:rsidRPr="00646C19">
        <w:t>101.</w:t>
      </w:r>
      <w:r w:rsidRPr="00646C19">
        <w:tab/>
        <w:t>Анализ распределения осужденных по возрастным группам показывает, что больше всего мужчин-заключенных относятся к возрастной группе 41−50</w:t>
      </w:r>
      <w:r w:rsidR="006E4245">
        <w:t> </w:t>
      </w:r>
      <w:r w:rsidRPr="00646C19">
        <w:t>лет (19,5</w:t>
      </w:r>
      <w:r w:rsidR="005507FC">
        <w:t>%</w:t>
      </w:r>
      <w:r w:rsidRPr="00646C19">
        <w:t xml:space="preserve"> от общего числа), а женщин-заключенных − к возрастной группе 21−25</w:t>
      </w:r>
      <w:r w:rsidR="005507FC">
        <w:t xml:space="preserve"> </w:t>
      </w:r>
      <w:r w:rsidRPr="00646C19">
        <w:t>лет (17,8</w:t>
      </w:r>
      <w:r w:rsidR="005507FC">
        <w:t>%</w:t>
      </w:r>
      <w:r w:rsidRPr="00646C19">
        <w:t>).</w:t>
      </w:r>
    </w:p>
    <w:p w:rsidR="00646C19" w:rsidRPr="00646C19" w:rsidRDefault="00646C19" w:rsidP="00646C19">
      <w:pPr>
        <w:pStyle w:val="SingleTxtGR"/>
      </w:pPr>
      <w:r w:rsidRPr="00646C19">
        <w:t>102.</w:t>
      </w:r>
      <w:r w:rsidRPr="00646C19">
        <w:tab/>
        <w:t>Средний возраст заключенных составлял 35,7</w:t>
      </w:r>
      <w:r w:rsidR="005507FC">
        <w:t xml:space="preserve"> </w:t>
      </w:r>
      <w:r w:rsidRPr="00646C19">
        <w:t>года (35,8</w:t>
      </w:r>
      <w:r w:rsidR="005507FC">
        <w:t xml:space="preserve"> </w:t>
      </w:r>
      <w:r w:rsidRPr="00646C19">
        <w:t>года для мужчин и 34,7</w:t>
      </w:r>
      <w:r w:rsidR="005507FC">
        <w:t xml:space="preserve"> </w:t>
      </w:r>
      <w:r w:rsidRPr="00646C19">
        <w:t>года для женщин).</w:t>
      </w:r>
    </w:p>
    <w:p w:rsidR="00646C19" w:rsidRPr="00646C19" w:rsidRDefault="00646C19" w:rsidP="00646C19">
      <w:pPr>
        <w:pStyle w:val="SingleTxtGR"/>
      </w:pPr>
      <w:r w:rsidRPr="00646C19">
        <w:t>103.</w:t>
      </w:r>
      <w:r w:rsidRPr="00646C19">
        <w:tab/>
        <w:t>В 2012</w:t>
      </w:r>
      <w:r w:rsidR="005507FC">
        <w:t xml:space="preserve"> </w:t>
      </w:r>
      <w:r w:rsidRPr="00646C19">
        <w:t>году большинство осужденных являлись гражданами Испании (74,2</w:t>
      </w:r>
      <w:r w:rsidR="005507FC">
        <w:t>%</w:t>
      </w:r>
      <w:r w:rsidRPr="00646C19">
        <w:t xml:space="preserve"> от общего числа, тогда как в предыдущем</w:t>
      </w:r>
      <w:r w:rsidR="005507FC">
        <w:t xml:space="preserve"> </w:t>
      </w:r>
      <w:r w:rsidRPr="00646C19">
        <w:t>году</w:t>
      </w:r>
      <w:r w:rsidR="005507FC">
        <w:t xml:space="preserve"> </w:t>
      </w:r>
      <w:r w:rsidRPr="00646C19">
        <w:t>– 72,7</w:t>
      </w:r>
      <w:r w:rsidR="005507FC">
        <w:t>%</w:t>
      </w:r>
      <w:r w:rsidRPr="00646C19">
        <w:t>). Среди осу</w:t>
      </w:r>
      <w:r w:rsidRPr="00646C19">
        <w:t>ж</w:t>
      </w:r>
      <w:r w:rsidRPr="00646C19">
        <w:t>денных-иностранцев самая большая доля приходится на граждан стран Амер</w:t>
      </w:r>
      <w:r w:rsidRPr="00646C19">
        <w:t>и</w:t>
      </w:r>
      <w:r w:rsidRPr="00646C19">
        <w:t>ки (36,3</w:t>
      </w:r>
      <w:r w:rsidR="005507FC">
        <w:t>%</w:t>
      </w:r>
      <w:r w:rsidRPr="00646C19">
        <w:t xml:space="preserve"> от общего числа).</w:t>
      </w:r>
    </w:p>
    <w:p w:rsidR="00646C19" w:rsidRPr="00646C19" w:rsidRDefault="00646C19" w:rsidP="00646C19">
      <w:pPr>
        <w:pStyle w:val="SingleTxtGR"/>
      </w:pPr>
      <w:r w:rsidRPr="00646C19">
        <w:t>104.</w:t>
      </w:r>
      <w:r w:rsidRPr="00646C19">
        <w:tab/>
        <w:t>Из всех осужденных 82,8</w:t>
      </w:r>
      <w:r w:rsidR="005507FC">
        <w:t>%</w:t>
      </w:r>
      <w:r w:rsidRPr="00646C19">
        <w:t xml:space="preserve"> осуждены за одно преступление (83</w:t>
      </w:r>
      <w:r w:rsidR="005507FC">
        <w:t>%</w:t>
      </w:r>
      <w:r w:rsidRPr="00646C19">
        <w:t xml:space="preserve"> в предыдущем</w:t>
      </w:r>
      <w:r w:rsidR="005507FC">
        <w:t xml:space="preserve"> </w:t>
      </w:r>
      <w:r w:rsidRPr="00646C19">
        <w:t>году) и 17,2</w:t>
      </w:r>
      <w:r w:rsidR="005507FC">
        <w:t>%</w:t>
      </w:r>
      <w:r w:rsidRPr="00646C19">
        <w:t xml:space="preserve"> − за несколько преступлений (17</w:t>
      </w:r>
      <w:r w:rsidR="005507FC">
        <w:t>%</w:t>
      </w:r>
      <w:r w:rsidRPr="00646C19">
        <w:t xml:space="preserve"> в 2011</w:t>
      </w:r>
      <w:r w:rsidR="005507FC">
        <w:t xml:space="preserve"> </w:t>
      </w:r>
      <w:r w:rsidRPr="00646C19">
        <w:t>году).</w:t>
      </w:r>
    </w:p>
    <w:p w:rsidR="00646C19" w:rsidRPr="00646C19" w:rsidRDefault="00646C19" w:rsidP="00646C19">
      <w:pPr>
        <w:pStyle w:val="SingleTxtGR"/>
      </w:pPr>
      <w:r w:rsidRPr="00646C19">
        <w:t>105.</w:t>
      </w:r>
      <w:r w:rsidRPr="00646C19">
        <w:tab/>
        <w:t>Среди осужденных за совершение одного преступления наиболее мног</w:t>
      </w:r>
      <w:r w:rsidRPr="00646C19">
        <w:t>о</w:t>
      </w:r>
      <w:r w:rsidRPr="00646C19">
        <w:t>численной группой в разбивке по квалификации преступлений были лица, нарушившие правила дорожного движения (41,5</w:t>
      </w:r>
      <w:r w:rsidR="005507FC">
        <w:t>%</w:t>
      </w:r>
      <w:r w:rsidRPr="00646C19">
        <w:t xml:space="preserve"> от общего числа). Следу</w:t>
      </w:r>
      <w:r w:rsidRPr="00646C19">
        <w:t>ю</w:t>
      </w:r>
      <w:r w:rsidRPr="00646C19">
        <w:t>щими по численности группами являлись осужденные за причинение телесных повреждений (11,9</w:t>
      </w:r>
      <w:r w:rsidR="005507FC">
        <w:t>%</w:t>
      </w:r>
      <w:r w:rsidRPr="00646C19">
        <w:t>) и за грабеж (9,5</w:t>
      </w:r>
      <w:r w:rsidR="005507FC">
        <w:t>%</w:t>
      </w:r>
      <w:r w:rsidRPr="00646C19">
        <w:t>).</w:t>
      </w:r>
    </w:p>
    <w:p w:rsidR="00646C19" w:rsidRPr="00646C19" w:rsidRDefault="00646C19" w:rsidP="00646C19">
      <w:pPr>
        <w:pStyle w:val="SingleTxtGR"/>
      </w:pPr>
      <w:r w:rsidRPr="00646C19">
        <w:t>106.</w:t>
      </w:r>
      <w:r w:rsidRPr="00646C19">
        <w:tab/>
        <w:t>Среди автономных сообществ на первом месте по числу осужденных в 2012</w:t>
      </w:r>
      <w:r w:rsidR="005507FC">
        <w:t xml:space="preserve"> </w:t>
      </w:r>
      <w:r w:rsidRPr="00646C19">
        <w:t>году находилась Андалусия</w:t>
      </w:r>
      <w:r w:rsidR="005507FC">
        <w:t xml:space="preserve"> </w:t>
      </w:r>
      <w:r w:rsidRPr="00646C19">
        <w:t>– 20,1</w:t>
      </w:r>
      <w:r w:rsidR="005507FC">
        <w:t>%</w:t>
      </w:r>
      <w:r w:rsidRPr="00646C19">
        <w:t xml:space="preserve"> от общего числа. За ней следовали Каталония (13,8</w:t>
      </w:r>
      <w:r w:rsidR="005507FC">
        <w:t>%</w:t>
      </w:r>
      <w:r w:rsidRPr="00646C19">
        <w:t>) и Мадридское сообщество (12,3</w:t>
      </w:r>
      <w:r w:rsidR="005507FC">
        <w:t>%</w:t>
      </w:r>
      <w:r w:rsidRPr="00646C19">
        <w:t>).</w:t>
      </w:r>
    </w:p>
    <w:p w:rsidR="00646C19" w:rsidRPr="00646C19" w:rsidRDefault="00646C19" w:rsidP="00646C19">
      <w:pPr>
        <w:pStyle w:val="SingleTxtGR"/>
      </w:pPr>
      <w:r w:rsidRPr="00646C19">
        <w:t>107.</w:t>
      </w:r>
      <w:r w:rsidRPr="00646C19">
        <w:tab/>
        <w:t>Среди автономных сообществ больше всего иностранцев было осуждено в Каталонии (18,5</w:t>
      </w:r>
      <w:r w:rsidR="005507FC">
        <w:t>%</w:t>
      </w:r>
      <w:r w:rsidRPr="00646C19">
        <w:t xml:space="preserve"> от общего числа), в Мадридском сообществе (16,8</w:t>
      </w:r>
      <w:r w:rsidR="005507FC">
        <w:t>%</w:t>
      </w:r>
      <w:r w:rsidRPr="00646C19">
        <w:t>) и в Андалусии (13,8</w:t>
      </w:r>
      <w:r w:rsidR="005507FC">
        <w:t>%</w:t>
      </w:r>
      <w:r w:rsidRPr="00646C19">
        <w:t xml:space="preserve">). </w:t>
      </w:r>
    </w:p>
    <w:p w:rsidR="00646C19" w:rsidRPr="00646C19" w:rsidRDefault="00646C19" w:rsidP="00646C19">
      <w:pPr>
        <w:pStyle w:val="SingleTxtGR"/>
      </w:pPr>
      <w:r w:rsidRPr="00646C19">
        <w:t>108.</w:t>
      </w:r>
      <w:r w:rsidRPr="00646C19">
        <w:tab/>
        <w:t>В отношении численности осужденных на 1</w:t>
      </w:r>
      <w:r w:rsidR="005507FC">
        <w:t xml:space="preserve"> </w:t>
      </w:r>
      <w:r w:rsidRPr="00646C19">
        <w:t>тыс. жителей следует отм</w:t>
      </w:r>
      <w:r w:rsidRPr="00646C19">
        <w:t>е</w:t>
      </w:r>
      <w:r w:rsidRPr="00646C19">
        <w:t xml:space="preserve">тить, что самые высокие значения этого показателя отмечались в автономных городах </w:t>
      </w:r>
      <w:r w:rsidR="006E4245">
        <w:t>Сеута и Мелилья (соответственно</w:t>
      </w:r>
      <w:r w:rsidRPr="00646C19">
        <w:t xml:space="preserve"> 38,82 и 2</w:t>
      </w:r>
      <w:r w:rsidR="006E4245">
        <w:t>0,94), а самые низкие − в </w:t>
      </w:r>
      <w:r w:rsidRPr="00646C19">
        <w:t>Кастилье-и-Леоне (4,42), Арагоне (4,72) и Стране Басков (4,87).</w:t>
      </w:r>
    </w:p>
    <w:p w:rsidR="00646C19" w:rsidRPr="00646C19" w:rsidRDefault="00646C19" w:rsidP="00646C19">
      <w:pPr>
        <w:pStyle w:val="SingleTxtGR"/>
      </w:pPr>
      <w:r w:rsidRPr="00646C19">
        <w:t>109.</w:t>
      </w:r>
      <w:r w:rsidRPr="00646C19">
        <w:tab/>
        <w:t>Общее число зарегистрированных преступлений в 2012</w:t>
      </w:r>
      <w:r w:rsidR="005507FC">
        <w:t xml:space="preserve"> </w:t>
      </w:r>
      <w:r w:rsidRPr="00646C19">
        <w:t>году увеличилось на 0,4</w:t>
      </w:r>
      <w:r w:rsidR="005507FC">
        <w:t>%</w:t>
      </w:r>
      <w:r w:rsidRPr="00646C19">
        <w:t>.</w:t>
      </w:r>
    </w:p>
    <w:p w:rsidR="00646C19" w:rsidRPr="00646C19" w:rsidRDefault="00646C19" w:rsidP="00646C19">
      <w:pPr>
        <w:pStyle w:val="SingleTxtGR"/>
      </w:pPr>
      <w:r w:rsidRPr="00646C19">
        <w:t>110.</w:t>
      </w:r>
      <w:r w:rsidRPr="00646C19">
        <w:tab/>
        <w:t>В 2012</w:t>
      </w:r>
      <w:r w:rsidR="005507FC">
        <w:t xml:space="preserve"> </w:t>
      </w:r>
      <w:r w:rsidRPr="00646C19">
        <w:t>году было зарегистрировано в общей сложности 275</w:t>
      </w:r>
      <w:r w:rsidR="00747F5B">
        <w:t> </w:t>
      </w:r>
      <w:r w:rsidRPr="00646C19">
        <w:t>130 престу</w:t>
      </w:r>
      <w:r w:rsidRPr="00646C19">
        <w:t>п</w:t>
      </w:r>
      <w:r w:rsidRPr="00646C19">
        <w:t>лений, что на 0,4</w:t>
      </w:r>
      <w:r w:rsidR="005507FC">
        <w:t>%</w:t>
      </w:r>
      <w:r w:rsidRPr="00646C19">
        <w:t xml:space="preserve"> больше, чем в предыдущем году. Показатель числа престу</w:t>
      </w:r>
      <w:r w:rsidRPr="00646C19">
        <w:t>п</w:t>
      </w:r>
      <w:r w:rsidRPr="00646C19">
        <w:t>лений на 1</w:t>
      </w:r>
      <w:r w:rsidR="00747F5B">
        <w:t> 000</w:t>
      </w:r>
      <w:r w:rsidR="005507FC">
        <w:t xml:space="preserve"> </w:t>
      </w:r>
      <w:r w:rsidRPr="00646C19">
        <w:t>жителей составил 7,1, оставшись на уровне 2011</w:t>
      </w:r>
      <w:r w:rsidR="005507FC">
        <w:t xml:space="preserve"> </w:t>
      </w:r>
      <w:r w:rsidRPr="00646C19">
        <w:t>года.</w:t>
      </w:r>
    </w:p>
    <w:p w:rsidR="00646C19" w:rsidRPr="00646C19" w:rsidRDefault="00646C19" w:rsidP="00646C19">
      <w:pPr>
        <w:pStyle w:val="SingleTxtGR"/>
      </w:pPr>
      <w:r w:rsidRPr="00646C19">
        <w:t>111.</w:t>
      </w:r>
      <w:r w:rsidRPr="00646C19">
        <w:tab/>
        <w:t>Что касается квалификации преступлений, то чаще всего совершались преступления, связанные с нарушением правил дорожного движения (38,7</w:t>
      </w:r>
      <w:r w:rsidR="005507FC">
        <w:t>%</w:t>
      </w:r>
      <w:r w:rsidRPr="00646C19">
        <w:t xml:space="preserve"> от общего числа), причинением телесных повреждений (12,5</w:t>
      </w:r>
      <w:r w:rsidR="005507FC">
        <w:t>%</w:t>
      </w:r>
      <w:r w:rsidRPr="00646C19">
        <w:t>) и ограблением (10,7</w:t>
      </w:r>
      <w:r w:rsidR="005507FC">
        <w:t>%</w:t>
      </w:r>
      <w:r w:rsidRPr="00646C19">
        <w:t>).</w:t>
      </w:r>
    </w:p>
    <w:p w:rsidR="00646C19" w:rsidRPr="00646C19" w:rsidRDefault="00646C19" w:rsidP="00646C19">
      <w:pPr>
        <w:pStyle w:val="SingleTxtGR"/>
      </w:pPr>
      <w:r w:rsidRPr="00646C19">
        <w:t>112.</w:t>
      </w:r>
      <w:r w:rsidRPr="00646C19">
        <w:tab/>
        <w:t>Вместе с тем следует отметить, что число преступлений, связанных с нарушением правил дорожного движения, снизилось по сравнению с 2011</w:t>
      </w:r>
      <w:r w:rsidR="005507FC">
        <w:t xml:space="preserve"> </w:t>
      </w:r>
      <w:r w:rsidRPr="00646C19">
        <w:t>г</w:t>
      </w:r>
      <w:r w:rsidRPr="00646C19">
        <w:t>о</w:t>
      </w:r>
      <w:r w:rsidRPr="00646C19">
        <w:t>дом на 7,7</w:t>
      </w:r>
      <w:r w:rsidR="005507FC">
        <w:t>%</w:t>
      </w:r>
      <w:r w:rsidRPr="00646C19">
        <w:t xml:space="preserve">. </w:t>
      </w:r>
    </w:p>
    <w:p w:rsidR="00646C19" w:rsidRPr="00646C19" w:rsidRDefault="00646C19" w:rsidP="00646C19">
      <w:pPr>
        <w:pStyle w:val="SingleTxtGR"/>
      </w:pPr>
      <w:r w:rsidRPr="00646C19">
        <w:t>113.</w:t>
      </w:r>
      <w:r w:rsidRPr="00646C19">
        <w:tab/>
        <w:t>В среднем на каждого осужденного приходилось 1,2 преступления – столько же, сколько было зарегистрировано в 2011</w:t>
      </w:r>
      <w:r w:rsidR="005507FC">
        <w:t xml:space="preserve"> </w:t>
      </w:r>
      <w:r w:rsidRPr="00646C19">
        <w:t>году. В разбивке по полу на мужчин приходилось больше преступлений (1,3), чем на женщин (1,1), что ан</w:t>
      </w:r>
      <w:r w:rsidRPr="00646C19">
        <w:t>а</w:t>
      </w:r>
      <w:r w:rsidRPr="00646C19">
        <w:t>логично ситуации в предыдущем</w:t>
      </w:r>
      <w:r w:rsidR="005507FC">
        <w:t xml:space="preserve"> </w:t>
      </w:r>
      <w:r w:rsidRPr="00646C19">
        <w:t>году (1,3 – на мужчин и 1,2 – на женщин).</w:t>
      </w:r>
    </w:p>
    <w:p w:rsidR="00646C19" w:rsidRPr="00646C19" w:rsidRDefault="00646C19" w:rsidP="00646C19">
      <w:pPr>
        <w:pStyle w:val="SingleTxtGR"/>
      </w:pPr>
      <w:r w:rsidRPr="00646C19">
        <w:t>114.</w:t>
      </w:r>
      <w:r w:rsidRPr="00646C19">
        <w:tab/>
        <w:t>Из всех совершенных преступлений в разбивке по степени законченности 94,6</w:t>
      </w:r>
      <w:r w:rsidR="005507FC">
        <w:t>%</w:t>
      </w:r>
      <w:r w:rsidRPr="00646C19">
        <w:t xml:space="preserve"> преступных деяний были завершены и 5,4</w:t>
      </w:r>
      <w:r w:rsidR="005507FC">
        <w:t>%</w:t>
      </w:r>
      <w:r w:rsidRPr="00646C19">
        <w:t xml:space="preserve"> − прерваны на стадии п</w:t>
      </w:r>
      <w:r w:rsidRPr="00646C19">
        <w:t>о</w:t>
      </w:r>
      <w:r w:rsidRPr="00646C19">
        <w:t>пытки.</w:t>
      </w:r>
    </w:p>
    <w:p w:rsidR="00646C19" w:rsidRPr="00646C19" w:rsidRDefault="00646C19" w:rsidP="00747F5B">
      <w:pPr>
        <w:pStyle w:val="H23GR"/>
      </w:pPr>
      <w:r w:rsidRPr="00646C19">
        <w:tab/>
      </w:r>
      <w:r w:rsidRPr="00646C19">
        <w:tab/>
        <w:t>Наиболее часто назначаемые наказания</w:t>
      </w:r>
      <w:r w:rsidR="005507FC">
        <w:t xml:space="preserve"> </w:t>
      </w:r>
      <w:r w:rsidRPr="00646C19">
        <w:t>– штраф, тюремное заключение и</w:t>
      </w:r>
      <w:r w:rsidR="00747F5B">
        <w:t> </w:t>
      </w:r>
      <w:r w:rsidRPr="00646C19">
        <w:t>частичное поражение в правах</w:t>
      </w:r>
    </w:p>
    <w:p w:rsidR="00646C19" w:rsidRPr="00646C19" w:rsidRDefault="00646C19" w:rsidP="00646C19">
      <w:pPr>
        <w:pStyle w:val="SingleTxtGR"/>
      </w:pPr>
      <w:r w:rsidRPr="00646C19">
        <w:t>115.</w:t>
      </w:r>
      <w:r w:rsidRPr="00646C19">
        <w:tab/>
        <w:t>В 2012</w:t>
      </w:r>
      <w:r w:rsidR="005507FC">
        <w:t xml:space="preserve"> </w:t>
      </w:r>
      <w:r w:rsidRPr="00646C19">
        <w:t>году были вынесены и занесены в Реестр 557 793 окончательных приговора – на 1,2</w:t>
      </w:r>
      <w:r w:rsidR="005507FC">
        <w:t>%</w:t>
      </w:r>
      <w:r w:rsidRPr="00646C19">
        <w:t xml:space="preserve"> больше, чем в предыдущем</w:t>
      </w:r>
      <w:r w:rsidR="005507FC">
        <w:t xml:space="preserve"> </w:t>
      </w:r>
      <w:r w:rsidRPr="00646C19">
        <w:t>году.</w:t>
      </w:r>
    </w:p>
    <w:p w:rsidR="00646C19" w:rsidRPr="00646C19" w:rsidRDefault="00646C19" w:rsidP="00646C19">
      <w:pPr>
        <w:pStyle w:val="SingleTxtGR"/>
      </w:pPr>
      <w:r w:rsidRPr="00646C19">
        <w:t>116.</w:t>
      </w:r>
      <w:r w:rsidRPr="00646C19">
        <w:tab/>
        <w:t>54,3</w:t>
      </w:r>
      <w:r w:rsidR="005507FC">
        <w:t>%</w:t>
      </w:r>
      <w:r w:rsidRPr="00646C19">
        <w:t xml:space="preserve"> назначенных наказаний (как основных, так и дополнительных) предусматривали лишение иных прав, 25,9</w:t>
      </w:r>
      <w:r w:rsidR="005507FC">
        <w:t xml:space="preserve">% </w:t>
      </w:r>
      <w:r w:rsidRPr="00646C19">
        <w:t>−</w:t>
      </w:r>
      <w:r w:rsidR="005507FC">
        <w:t xml:space="preserve"> </w:t>
      </w:r>
      <w:r w:rsidRPr="00646C19">
        <w:t>лишение свободы 19,4</w:t>
      </w:r>
      <w:r w:rsidR="005507FC">
        <w:t>%</w:t>
      </w:r>
      <w:r w:rsidRPr="00646C19">
        <w:t xml:space="preserve"> − штрафы и 0,4</w:t>
      </w:r>
      <w:r w:rsidR="005507FC">
        <w:t>%</w:t>
      </w:r>
      <w:r w:rsidRPr="00646C19">
        <w:t xml:space="preserve"> − выдворение из страны.</w:t>
      </w:r>
    </w:p>
    <w:p w:rsidR="00646C19" w:rsidRPr="00646C19" w:rsidRDefault="00646C19" w:rsidP="00646C19">
      <w:pPr>
        <w:pStyle w:val="SingleTxtGR"/>
      </w:pPr>
      <w:r w:rsidRPr="00646C19">
        <w:t>117.</w:t>
      </w:r>
      <w:r w:rsidRPr="00646C19">
        <w:tab/>
        <w:t>Среди наказаний в виде лишения других прав наиболее часто назнач</w:t>
      </w:r>
      <w:r w:rsidRPr="00646C19">
        <w:t>а</w:t>
      </w:r>
      <w:r w:rsidRPr="00646C19">
        <w:t>лись наказания в виде частичного поражения в правах в сфере трудоустройства (18,6</w:t>
      </w:r>
      <w:r w:rsidR="005507FC">
        <w:t>%</w:t>
      </w:r>
      <w:r w:rsidRPr="00646C19">
        <w:t xml:space="preserve"> всех наказаний). Среди наказаний в виде лишения свободы чаще всего применялось наказание в виде тюремного заключения (25,5</w:t>
      </w:r>
      <w:r w:rsidR="005507FC">
        <w:t>%</w:t>
      </w:r>
      <w:r w:rsidRPr="00646C19">
        <w:t xml:space="preserve"> от общего кол</w:t>
      </w:r>
      <w:r w:rsidRPr="00646C19">
        <w:t>и</w:t>
      </w:r>
      <w:r w:rsidRPr="00646C19">
        <w:t>чества).</w:t>
      </w:r>
    </w:p>
    <w:p w:rsidR="00646C19" w:rsidRPr="00646C19" w:rsidRDefault="00646C19" w:rsidP="00646C19">
      <w:pPr>
        <w:pStyle w:val="SingleTxtGR"/>
      </w:pPr>
      <w:r w:rsidRPr="00646C19">
        <w:t>118.</w:t>
      </w:r>
      <w:r w:rsidRPr="00646C19">
        <w:tab/>
        <w:t>25,6</w:t>
      </w:r>
      <w:r w:rsidR="005507FC">
        <w:t>%</w:t>
      </w:r>
      <w:r w:rsidRPr="00646C19">
        <w:t xml:space="preserve"> всех наказаний в отношении мужчин предусматривали лишение свободы, в том числе 25,2</w:t>
      </w:r>
      <w:r w:rsidR="005507FC">
        <w:t>%</w:t>
      </w:r>
      <w:r w:rsidRPr="00646C19">
        <w:t xml:space="preserve"> − тюремное заключение. В отношении женщин 29,4</w:t>
      </w:r>
      <w:r w:rsidR="005507FC">
        <w:t>%</w:t>
      </w:r>
      <w:r w:rsidRPr="00646C19">
        <w:t xml:space="preserve"> всех наказаний были связаны с лишением свободы, в том числе 28,9</w:t>
      </w:r>
      <w:r w:rsidR="005507FC">
        <w:t>%</w:t>
      </w:r>
      <w:r w:rsidRPr="00646C19">
        <w:t xml:space="preserve"> − в виде тюремного заключения.</w:t>
      </w:r>
    </w:p>
    <w:p w:rsidR="00646C19" w:rsidRPr="00646C19" w:rsidRDefault="00646C19" w:rsidP="00646C19">
      <w:pPr>
        <w:pStyle w:val="SingleTxtGR"/>
      </w:pPr>
      <w:r w:rsidRPr="00646C19">
        <w:t>119.</w:t>
      </w:r>
      <w:r w:rsidRPr="00646C19">
        <w:tab/>
        <w:t>Что касается наказаний, вынесенных в отношении правонарушителей, в разбивке по полу, то наказания в виде лишения других прав предусматривались в 54,8</w:t>
      </w:r>
      <w:r w:rsidR="005507FC">
        <w:t>%</w:t>
      </w:r>
      <w:r w:rsidRPr="00646C19">
        <w:t xml:space="preserve"> приговоров в отношении мужчин и 49</w:t>
      </w:r>
      <w:r w:rsidR="005507FC">
        <w:t>%</w:t>
      </w:r>
      <w:r w:rsidRPr="00646C19">
        <w:t xml:space="preserve"> − в отношении женщин.</w:t>
      </w:r>
    </w:p>
    <w:p w:rsidR="00646C19" w:rsidRPr="00646C19" w:rsidRDefault="00646C19" w:rsidP="00646C19">
      <w:pPr>
        <w:pStyle w:val="SingleTxtGR"/>
      </w:pPr>
      <w:r w:rsidRPr="00646C19">
        <w:t>120.</w:t>
      </w:r>
      <w:r w:rsidRPr="00646C19">
        <w:tab/>
        <w:t>Анализ распределения правонарушителей по возрастным группам</w:t>
      </w:r>
      <w:r w:rsidR="005507FC">
        <w:t xml:space="preserve"> </w:t>
      </w:r>
      <w:r w:rsidRPr="00646C19">
        <w:t>– без учета лиц старше 70</w:t>
      </w:r>
      <w:r w:rsidR="005507FC">
        <w:t xml:space="preserve"> </w:t>
      </w:r>
      <w:r w:rsidRPr="00646C19">
        <w:t>лет</w:t>
      </w:r>
      <w:r w:rsidR="005507FC">
        <w:t xml:space="preserve"> </w:t>
      </w:r>
      <w:r w:rsidRPr="00646C19">
        <w:t>– позволяет сделать вывод о том, что с повышением возраста менее частыми являлись наказания в виде лишения свободы и более распространенными − наказания в виде лишения других прав.</w:t>
      </w:r>
    </w:p>
    <w:p w:rsidR="00646C19" w:rsidRPr="00646C19" w:rsidRDefault="00646C19" w:rsidP="00646C19">
      <w:pPr>
        <w:pStyle w:val="SingleTxtGR"/>
      </w:pPr>
      <w:r w:rsidRPr="00646C19">
        <w:t>121.</w:t>
      </w:r>
      <w:r w:rsidRPr="00646C19">
        <w:tab/>
        <w:t>Что касается гражданства правонарушителей, то к лишению свободы ч</w:t>
      </w:r>
      <w:r w:rsidRPr="00646C19">
        <w:t>а</w:t>
      </w:r>
      <w:r w:rsidRPr="00646C19">
        <w:t>ще приговаривались осужденные-иностранцы (28,5</w:t>
      </w:r>
      <w:r w:rsidR="005507FC">
        <w:t>%</w:t>
      </w:r>
      <w:r w:rsidRPr="00646C19">
        <w:t>), нежели граждане Исп</w:t>
      </w:r>
      <w:r w:rsidRPr="00646C19">
        <w:t>а</w:t>
      </w:r>
      <w:r w:rsidRPr="00646C19">
        <w:t>нии (25</w:t>
      </w:r>
      <w:r w:rsidR="005507FC">
        <w:t>%</w:t>
      </w:r>
      <w:r w:rsidRPr="00646C19">
        <w:t>). В частности, к тюремному заключению были приговорены 28</w:t>
      </w:r>
      <w:r w:rsidR="005507FC">
        <w:t>%</w:t>
      </w:r>
      <w:r w:rsidRPr="00646C19">
        <w:t xml:space="preserve"> осужденных-иностранцев против 24,7</w:t>
      </w:r>
      <w:r w:rsidR="005507FC">
        <w:t>%</w:t>
      </w:r>
      <w:r w:rsidRPr="00646C19">
        <w:t xml:space="preserve"> осужденных-испанцев.</w:t>
      </w:r>
    </w:p>
    <w:p w:rsidR="00646C19" w:rsidRPr="00646C19" w:rsidRDefault="00646C19" w:rsidP="001C741E">
      <w:pPr>
        <w:pStyle w:val="H23GR"/>
      </w:pPr>
      <w:r w:rsidRPr="00646C19">
        <w:tab/>
      </w:r>
      <w:r w:rsidRPr="00646C19">
        <w:tab/>
        <w:t>Статистические данные в отношении несовершеннолетних</w:t>
      </w:r>
    </w:p>
    <w:p w:rsidR="00646C19" w:rsidRPr="00646C19" w:rsidRDefault="00646C19" w:rsidP="00646C19">
      <w:pPr>
        <w:pStyle w:val="SingleTxtGR"/>
      </w:pPr>
      <w:r w:rsidRPr="00646C19">
        <w:t>122.</w:t>
      </w:r>
      <w:r w:rsidRPr="00646C19">
        <w:tab/>
        <w:t>Согласно данным об окончательных приговорах, внесенным в Реестр приговоров по привлечению к уголовной ответственности несовершенноле</w:t>
      </w:r>
      <w:r w:rsidRPr="00646C19">
        <w:t>т</w:t>
      </w:r>
      <w:r w:rsidRPr="00646C19">
        <w:t>них, в 2012</w:t>
      </w:r>
      <w:r w:rsidR="005507FC">
        <w:t xml:space="preserve"> </w:t>
      </w:r>
      <w:r w:rsidRPr="00646C19">
        <w:t>году были осуждены 16 172 несовершенно</w:t>
      </w:r>
      <w:r w:rsidR="001C741E">
        <w:t>летних (в возрасте от 14 </w:t>
      </w:r>
      <w:r w:rsidRPr="00646C19">
        <w:t>до 17 лет), что на 5,1</w:t>
      </w:r>
      <w:r w:rsidR="005507FC">
        <w:t>%</w:t>
      </w:r>
      <w:r w:rsidRPr="00646C19">
        <w:t xml:space="preserve"> меньше, чем в предыдущем году.</w:t>
      </w:r>
    </w:p>
    <w:p w:rsidR="00646C19" w:rsidRPr="00646C19" w:rsidRDefault="00646C19" w:rsidP="00646C19">
      <w:pPr>
        <w:pStyle w:val="SingleTxtGR"/>
      </w:pPr>
      <w:r w:rsidRPr="00646C19">
        <w:t>123.</w:t>
      </w:r>
      <w:r w:rsidRPr="00646C19">
        <w:tab/>
        <w:t>Показатель числа осужденных несовершеннолетних в возрасте 14−17</w:t>
      </w:r>
      <w:r w:rsidR="005507FC">
        <w:t xml:space="preserve"> </w:t>
      </w:r>
      <w:r w:rsidRPr="00646C19">
        <w:t>лет на 1</w:t>
      </w:r>
      <w:r w:rsidR="001C741E">
        <w:t> 000</w:t>
      </w:r>
      <w:r w:rsidR="005507FC">
        <w:t xml:space="preserve"> </w:t>
      </w:r>
      <w:r w:rsidRPr="00646C19">
        <w:t>жителей той же возрастной группы составил 9,3, тогда как в предыд</w:t>
      </w:r>
      <w:r w:rsidRPr="00646C19">
        <w:t>у</w:t>
      </w:r>
      <w:r w:rsidRPr="00646C19">
        <w:t>щем</w:t>
      </w:r>
      <w:r w:rsidR="005507FC">
        <w:t xml:space="preserve"> </w:t>
      </w:r>
      <w:r w:rsidRPr="00646C19">
        <w:t>году он составлял 9,7.</w:t>
      </w:r>
    </w:p>
    <w:p w:rsidR="00646C19" w:rsidRPr="00646C19" w:rsidRDefault="00646C19" w:rsidP="00646C19">
      <w:pPr>
        <w:pStyle w:val="SingleTxtGR"/>
      </w:pPr>
      <w:r w:rsidRPr="00646C19">
        <w:t>124.</w:t>
      </w:r>
      <w:r w:rsidRPr="00646C19">
        <w:tab/>
        <w:t>82,5</w:t>
      </w:r>
      <w:r w:rsidR="005507FC">
        <w:t>%</w:t>
      </w:r>
      <w:r w:rsidRPr="00646C19">
        <w:t xml:space="preserve"> всех осужденных несовершеннолетних составляли лица мужского пола и 17,5</w:t>
      </w:r>
      <w:r w:rsidR="005507FC">
        <w:t>%</w:t>
      </w:r>
      <w:r w:rsidRPr="00646C19">
        <w:t xml:space="preserve"> − женского. Число осужденных несовершеннолетних лиц женск</w:t>
      </w:r>
      <w:r w:rsidRPr="00646C19">
        <w:t>о</w:t>
      </w:r>
      <w:r w:rsidRPr="00646C19">
        <w:t>го пола увеличилось по сравнению с предыдущим</w:t>
      </w:r>
      <w:r w:rsidR="005507FC">
        <w:t xml:space="preserve"> </w:t>
      </w:r>
      <w:r w:rsidRPr="00646C19">
        <w:t>годом на 5,6</w:t>
      </w:r>
      <w:r w:rsidR="005507FC">
        <w:t>%</w:t>
      </w:r>
      <w:r w:rsidRPr="00646C19">
        <w:t>. Что касается возраста, то наиболее многочисленную группу составили 17-летние лица (32,1</w:t>
      </w:r>
      <w:r w:rsidR="005507FC">
        <w:t>%</w:t>
      </w:r>
      <w:r w:rsidRPr="00646C19">
        <w:t xml:space="preserve"> от общего числа), а вторую по численности − 16-летние лица (29,2</w:t>
      </w:r>
      <w:r w:rsidR="005507FC">
        <w:t>%</w:t>
      </w:r>
      <w:r w:rsidRPr="00646C19">
        <w:t>).</w:t>
      </w:r>
    </w:p>
    <w:p w:rsidR="00646C19" w:rsidRPr="00646C19" w:rsidRDefault="00646C19" w:rsidP="00646C19">
      <w:pPr>
        <w:pStyle w:val="SingleTxtGR"/>
      </w:pPr>
      <w:r w:rsidRPr="00646C19">
        <w:t>125.</w:t>
      </w:r>
      <w:r w:rsidRPr="00646C19">
        <w:tab/>
        <w:t>Большинство осужденных несовершеннолетних являлись гражданами Испании (76,9</w:t>
      </w:r>
      <w:r w:rsidR="005507FC">
        <w:t>%</w:t>
      </w:r>
      <w:r w:rsidRPr="00646C19">
        <w:t>). Вместе с тем доля несовершеннолетних осужденных ин</w:t>
      </w:r>
      <w:r w:rsidRPr="00646C19">
        <w:t>о</w:t>
      </w:r>
      <w:r w:rsidRPr="00646C19">
        <w:t>странцев увеличилась до 23,1</w:t>
      </w:r>
      <w:r w:rsidR="005507FC">
        <w:t>%</w:t>
      </w:r>
      <w:r w:rsidRPr="00646C19">
        <w:t>, тогда как в предыдущем</w:t>
      </w:r>
      <w:r w:rsidR="005507FC">
        <w:t xml:space="preserve"> </w:t>
      </w:r>
      <w:r w:rsidRPr="00646C19">
        <w:t>году она составляла 20,9</w:t>
      </w:r>
      <w:r w:rsidR="005507FC">
        <w:t>%</w:t>
      </w:r>
      <w:r w:rsidRPr="00646C19">
        <w:t>. Анализ количества правонарушений показывает, что двое из трех осу</w:t>
      </w:r>
      <w:r w:rsidRPr="00646C19">
        <w:t>ж</w:t>
      </w:r>
      <w:r w:rsidRPr="00646C19">
        <w:t>денных несовершеннолетних совершили по одному уголовному правонаруш</w:t>
      </w:r>
      <w:r w:rsidRPr="00646C19">
        <w:t>е</w:t>
      </w:r>
      <w:r w:rsidRPr="00646C19">
        <w:t>нию, а каждый третий – по два и более правонарушений.</w:t>
      </w:r>
    </w:p>
    <w:p w:rsidR="00646C19" w:rsidRPr="00646C19" w:rsidRDefault="00646C19" w:rsidP="001C741E">
      <w:pPr>
        <w:pStyle w:val="H23GR"/>
      </w:pPr>
      <w:r w:rsidRPr="00646C19">
        <w:tab/>
      </w:r>
      <w:r w:rsidRPr="00646C19">
        <w:tab/>
        <w:t>Андалусия</w:t>
      </w:r>
      <w:r w:rsidR="005507FC">
        <w:t xml:space="preserve"> </w:t>
      </w:r>
      <w:r w:rsidRPr="00646C19">
        <w:t>– сообщество с наибольшим числом зарегистрированных осужденных несовершеннолетних</w:t>
      </w:r>
    </w:p>
    <w:p w:rsidR="00646C19" w:rsidRPr="00646C19" w:rsidRDefault="00646C19" w:rsidP="00646C19">
      <w:pPr>
        <w:pStyle w:val="SingleTxtGR"/>
      </w:pPr>
      <w:r w:rsidRPr="00646C19">
        <w:t>126.</w:t>
      </w:r>
      <w:r w:rsidRPr="00646C19">
        <w:tab/>
        <w:t>В 2012</w:t>
      </w:r>
      <w:r w:rsidR="005507FC">
        <w:t xml:space="preserve"> </w:t>
      </w:r>
      <w:r w:rsidRPr="00646C19">
        <w:t>году Андалусия занимала первое место среди всех автономных сообществ по числу зарегистрированных в Реестре осужденных несовершенн</w:t>
      </w:r>
      <w:r w:rsidRPr="00646C19">
        <w:t>о</w:t>
      </w:r>
      <w:r w:rsidRPr="00646C19">
        <w:t>летних</w:t>
      </w:r>
      <w:r w:rsidR="005507FC">
        <w:t xml:space="preserve"> </w:t>
      </w:r>
      <w:r w:rsidRPr="00646C19">
        <w:t>– 22,5</w:t>
      </w:r>
      <w:r w:rsidR="005507FC">
        <w:t>%</w:t>
      </w:r>
      <w:r w:rsidRPr="00646C19">
        <w:t xml:space="preserve"> от их общего числа. За Андалусией следовали Валенсийское сообщество (14,9</w:t>
      </w:r>
      <w:r w:rsidR="005507FC">
        <w:t>%</w:t>
      </w:r>
      <w:r w:rsidRPr="00646C19">
        <w:t>) и Каталония (10,2</w:t>
      </w:r>
      <w:r w:rsidR="005507FC">
        <w:t>%</w:t>
      </w:r>
      <w:r w:rsidRPr="00646C19">
        <w:t>).</w:t>
      </w:r>
    </w:p>
    <w:p w:rsidR="00646C19" w:rsidRPr="00646C19" w:rsidRDefault="00646C19" w:rsidP="00646C19">
      <w:pPr>
        <w:pStyle w:val="SingleTxtGR"/>
      </w:pPr>
      <w:r w:rsidRPr="00646C19">
        <w:t>127.</w:t>
      </w:r>
      <w:r w:rsidRPr="00646C19">
        <w:tab/>
        <w:t>Такая же последовательность сохранялась в отношении осужденных несовершеннолетних лиц, имеющих испанское гражданство. Что касается осужденных несовершеннолетних иностранцев, то больше всего их было в К</w:t>
      </w:r>
      <w:r w:rsidRPr="00646C19">
        <w:t>а</w:t>
      </w:r>
      <w:r w:rsidRPr="00646C19">
        <w:t>талонии, за которой следовали Валенсийское сообщество и Мадридское соо</w:t>
      </w:r>
      <w:r w:rsidRPr="00646C19">
        <w:t>б</w:t>
      </w:r>
      <w:r w:rsidRPr="00646C19">
        <w:t>щество.</w:t>
      </w:r>
    </w:p>
    <w:p w:rsidR="00646C19" w:rsidRPr="00646C19" w:rsidRDefault="00646C19" w:rsidP="00646C19">
      <w:pPr>
        <w:pStyle w:val="SingleTxtGR"/>
      </w:pPr>
      <w:r w:rsidRPr="00646C19">
        <w:t>128.</w:t>
      </w:r>
      <w:r w:rsidRPr="00646C19">
        <w:tab/>
        <w:t>Что касается числа осужденных несовершеннолетних в возрасте 14−17</w:t>
      </w:r>
      <w:r w:rsidR="0025735D">
        <w:t> </w:t>
      </w:r>
      <w:r w:rsidRPr="00646C19">
        <w:t>лет на 1</w:t>
      </w:r>
      <w:r w:rsidR="0025735D">
        <w:t> 000</w:t>
      </w:r>
      <w:r w:rsidR="005507FC">
        <w:t xml:space="preserve"> </w:t>
      </w:r>
      <w:r w:rsidRPr="00646C19">
        <w:t>жителей такого же возраста, то самые высокие показатели отмечались в автономных городах Сеута (45,6 на 1</w:t>
      </w:r>
      <w:r w:rsidR="0025735D">
        <w:t> 000</w:t>
      </w:r>
      <w:r w:rsidRPr="00646C19">
        <w:t>) и Мелилья (16,1 на 1</w:t>
      </w:r>
      <w:r w:rsidR="0025735D">
        <w:t> 000</w:t>
      </w:r>
      <w:r w:rsidRPr="00646C19">
        <w:t>), а также в автономном сообществе Ла-Риоха (15 на 1</w:t>
      </w:r>
      <w:r w:rsidR="0025735D">
        <w:t> 000</w:t>
      </w:r>
      <w:r w:rsidRPr="00646C19">
        <w:t>). Самые низкие показатели были зафиксированы в Каталонии (6,1), Мадридском сообществе (6,2) и Арагоне (7,7).</w:t>
      </w:r>
    </w:p>
    <w:p w:rsidR="00646C19" w:rsidRPr="00646C19" w:rsidRDefault="00646C19" w:rsidP="00646C19">
      <w:pPr>
        <w:pStyle w:val="SingleTxtGR"/>
      </w:pPr>
      <w:r w:rsidRPr="00646C19">
        <w:t>129.</w:t>
      </w:r>
      <w:r w:rsidRPr="00646C19">
        <w:tab/>
        <w:t>В 2012</w:t>
      </w:r>
      <w:r w:rsidR="005507FC">
        <w:t xml:space="preserve"> </w:t>
      </w:r>
      <w:r w:rsidRPr="00646C19">
        <w:t>году было зарегистрировано в общей сложности 28 022 уголовных правонарушения, совершенных несовершеннолетними, что на 4,7</w:t>
      </w:r>
      <w:r w:rsidR="005507FC">
        <w:t>%</w:t>
      </w:r>
      <w:r w:rsidRPr="00646C19">
        <w:t xml:space="preserve"> меньше, чем в предыдущем году. Из них 64,3</w:t>
      </w:r>
      <w:r w:rsidR="005507FC">
        <w:t>%</w:t>
      </w:r>
      <w:r w:rsidRPr="00646C19">
        <w:t xml:space="preserve"> были квалифицированы как преступл</w:t>
      </w:r>
      <w:r w:rsidRPr="00646C19">
        <w:t>е</w:t>
      </w:r>
      <w:r w:rsidRPr="00646C19">
        <w:t>ния и 35,7</w:t>
      </w:r>
      <w:r w:rsidR="005507FC">
        <w:t>%</w:t>
      </w:r>
      <w:r w:rsidRPr="00646C19">
        <w:t xml:space="preserve"> − как уголовные правонарушения. В разбивке по квалификации преступлений чаще всего совершались ограбления (41,3</w:t>
      </w:r>
      <w:r w:rsidR="005507FC">
        <w:t>%</w:t>
      </w:r>
      <w:r w:rsidRPr="00646C19">
        <w:t>), причинение теле</w:t>
      </w:r>
      <w:r w:rsidRPr="00646C19">
        <w:t>с</w:t>
      </w:r>
      <w:r w:rsidRPr="00646C19">
        <w:t>ных повреждений (13,4</w:t>
      </w:r>
      <w:r w:rsidR="005507FC">
        <w:t>%</w:t>
      </w:r>
      <w:r w:rsidRPr="00646C19">
        <w:t>), а также пытки и посягательства на моральную неприкосновенность (8,1</w:t>
      </w:r>
      <w:r w:rsidR="005507FC">
        <w:t>%</w:t>
      </w:r>
      <w:r w:rsidRPr="00646C19">
        <w:t>). Среди уголовных правонарушений наиболее ч</w:t>
      </w:r>
      <w:r w:rsidRPr="00646C19">
        <w:t>а</w:t>
      </w:r>
      <w:r w:rsidRPr="00646C19">
        <w:t>стыми были посягательства на личность (63,6</w:t>
      </w:r>
      <w:r w:rsidR="005507FC">
        <w:t>%</w:t>
      </w:r>
      <w:r w:rsidRPr="00646C19">
        <w:t>) и на имущество (32,8</w:t>
      </w:r>
      <w:r w:rsidR="005507FC">
        <w:t>%</w:t>
      </w:r>
      <w:r w:rsidRPr="00646C19">
        <w:t>).</w:t>
      </w:r>
    </w:p>
    <w:p w:rsidR="00646C19" w:rsidRPr="00646C19" w:rsidRDefault="00646C19" w:rsidP="00646C19">
      <w:pPr>
        <w:pStyle w:val="SingleTxtGR"/>
      </w:pPr>
      <w:r w:rsidRPr="00646C19">
        <w:t>130.</w:t>
      </w:r>
      <w:r w:rsidRPr="00646C19">
        <w:tab/>
        <w:t>В разбивке по полу 83,3</w:t>
      </w:r>
      <w:r w:rsidR="005507FC">
        <w:t>%</w:t>
      </w:r>
      <w:r w:rsidRPr="00646C19">
        <w:t xml:space="preserve"> правонарушений приходится на несоверше</w:t>
      </w:r>
      <w:r w:rsidRPr="00646C19">
        <w:t>н</w:t>
      </w:r>
      <w:r w:rsidRPr="00646C19">
        <w:t>нолетних лиц мужского пола и 16,7</w:t>
      </w:r>
      <w:r w:rsidR="005507FC">
        <w:t>%</w:t>
      </w:r>
      <w:r w:rsidRPr="00646C19">
        <w:t xml:space="preserve"> − на лиц женского пола. На лиц мужского пола приходится 87,3</w:t>
      </w:r>
      <w:r w:rsidR="005507FC">
        <w:t>%</w:t>
      </w:r>
      <w:r w:rsidRPr="00646C19">
        <w:t xml:space="preserve"> преступлений и 71,1</w:t>
      </w:r>
      <w:r w:rsidR="005507FC">
        <w:t>%</w:t>
      </w:r>
      <w:r w:rsidRPr="00646C19">
        <w:t xml:space="preserve"> правонарушений. Что касается возраста, то с увеличением возраста регистрируется большее количество с</w:t>
      </w:r>
      <w:r w:rsidRPr="00646C19">
        <w:t>о</w:t>
      </w:r>
      <w:r w:rsidRPr="00646C19">
        <w:t>вершенных правонарушений. Так, лицами в возрасте 17</w:t>
      </w:r>
      <w:r w:rsidR="005507FC">
        <w:t xml:space="preserve"> </w:t>
      </w:r>
      <w:r w:rsidRPr="00646C19">
        <w:t>лет совершено более чем вдвое больше правонарушений (32,3</w:t>
      </w:r>
      <w:r w:rsidR="005507FC">
        <w:t>%</w:t>
      </w:r>
      <w:r w:rsidRPr="00646C19">
        <w:t xml:space="preserve"> от общего количества), чем лицами в возрасте 14</w:t>
      </w:r>
      <w:r w:rsidR="005507FC">
        <w:t xml:space="preserve"> </w:t>
      </w:r>
      <w:r w:rsidRPr="00646C19">
        <w:t>лет (15,5</w:t>
      </w:r>
      <w:r w:rsidR="005507FC">
        <w:t>%</w:t>
      </w:r>
      <w:r w:rsidRPr="00646C19">
        <w:t>). 76,5</w:t>
      </w:r>
      <w:r w:rsidR="005507FC">
        <w:t>%</w:t>
      </w:r>
      <w:r w:rsidRPr="00646C19">
        <w:t xml:space="preserve"> правонарушений были совершены несоверше</w:t>
      </w:r>
      <w:r w:rsidRPr="00646C19">
        <w:t>н</w:t>
      </w:r>
      <w:r w:rsidRPr="00646C19">
        <w:t>нолетними с испанским гражданством и 23,5</w:t>
      </w:r>
      <w:r w:rsidR="005507FC">
        <w:t>%</w:t>
      </w:r>
      <w:r w:rsidRPr="00646C19">
        <w:t xml:space="preserve"> − иностранцами (в предыдущем</w:t>
      </w:r>
      <w:r w:rsidR="005507FC">
        <w:t xml:space="preserve"> </w:t>
      </w:r>
      <w:r w:rsidR="0025735D">
        <w:t>году соответственно</w:t>
      </w:r>
      <w:r w:rsidRPr="00646C19">
        <w:t xml:space="preserve"> 77,6</w:t>
      </w:r>
      <w:r w:rsidR="005507FC">
        <w:t>%</w:t>
      </w:r>
      <w:r w:rsidRPr="00646C19">
        <w:t xml:space="preserve"> и 22,4</w:t>
      </w:r>
      <w:r w:rsidR="005507FC">
        <w:t>%</w:t>
      </w:r>
      <w:r w:rsidRPr="00646C19">
        <w:t>).</w:t>
      </w:r>
    </w:p>
    <w:p w:rsidR="00646C19" w:rsidRPr="00646C19" w:rsidRDefault="00646C19" w:rsidP="00646C19">
      <w:pPr>
        <w:pStyle w:val="SingleTxtGR"/>
      </w:pPr>
      <w:r w:rsidRPr="00646C19">
        <w:t>131.</w:t>
      </w:r>
      <w:r w:rsidRPr="00646C19">
        <w:tab/>
        <w:t>Количество уголовных правонарушений, совершенных несовершенн</w:t>
      </w:r>
      <w:r w:rsidRPr="00646C19">
        <w:t>о</w:t>
      </w:r>
      <w:r w:rsidRPr="00646C19">
        <w:t>летними, в расчете на 1</w:t>
      </w:r>
      <w:r w:rsidR="0025735D">
        <w:t> 000</w:t>
      </w:r>
      <w:r w:rsidRPr="00646C19">
        <w:t xml:space="preserve"> жителей в возрасте 14−17</w:t>
      </w:r>
      <w:r w:rsidR="005507FC">
        <w:t xml:space="preserve"> </w:t>
      </w:r>
      <w:r w:rsidRPr="00646C19">
        <w:t>лет составило 16,2. С</w:t>
      </w:r>
      <w:r w:rsidRPr="00646C19">
        <w:t>а</w:t>
      </w:r>
      <w:r w:rsidRPr="00646C19">
        <w:t>мые высокие значения этого показателя были зарегистрированы в автономном городе Сеута (68,6), в автономном сообществе Ла-Риоха (44) и в автономном городе Мелилья (92,2), а самые низкие − в Мадридском сообществе (9,6), Кат</w:t>
      </w:r>
      <w:r w:rsidRPr="00646C19">
        <w:t>а</w:t>
      </w:r>
      <w:r w:rsidRPr="00646C19">
        <w:t>лонии (11) и Галисии (14).</w:t>
      </w:r>
    </w:p>
    <w:p w:rsidR="00646C19" w:rsidRPr="00646C19" w:rsidRDefault="00646C19" w:rsidP="00646C19">
      <w:pPr>
        <w:pStyle w:val="SingleTxtGR"/>
      </w:pPr>
      <w:r w:rsidRPr="00646C19">
        <w:t>132.</w:t>
      </w:r>
      <w:r w:rsidRPr="00646C19">
        <w:tab/>
        <w:t>В 2012</w:t>
      </w:r>
      <w:r w:rsidR="005507FC">
        <w:t xml:space="preserve"> </w:t>
      </w:r>
      <w:r w:rsidRPr="00646C19">
        <w:t>году судьи вынесли решения о применении 25</w:t>
      </w:r>
      <w:r w:rsidR="005507FC">
        <w:t xml:space="preserve"> </w:t>
      </w:r>
      <w:r w:rsidRPr="00646C19">
        <w:t>393 судебных мер</w:t>
      </w:r>
      <w:r w:rsidR="005507FC">
        <w:t xml:space="preserve"> </w:t>
      </w:r>
      <w:r w:rsidRPr="00646C19">
        <w:t>– на 7,1</w:t>
      </w:r>
      <w:r w:rsidR="005507FC">
        <w:t>%</w:t>
      </w:r>
      <w:r w:rsidRPr="00646C19">
        <w:t xml:space="preserve"> больше, чем в предыдущем</w:t>
      </w:r>
      <w:r w:rsidR="005507FC">
        <w:t xml:space="preserve"> </w:t>
      </w:r>
      <w:r w:rsidRPr="00646C19">
        <w:t>году. Чаще всего применялись такие меры, как освобождение с установлением надзора (37,7</w:t>
      </w:r>
      <w:r w:rsidR="005507FC">
        <w:t>%</w:t>
      </w:r>
      <w:r w:rsidRPr="00646C19">
        <w:t xml:space="preserve"> от общего количества), о</w:t>
      </w:r>
      <w:r w:rsidRPr="00646C19">
        <w:t>б</w:t>
      </w:r>
      <w:r w:rsidRPr="00646C19">
        <w:t>щественно-полезные работы (19,3</w:t>
      </w:r>
      <w:r w:rsidR="005507FC">
        <w:t>%</w:t>
      </w:r>
      <w:r w:rsidRPr="00646C19">
        <w:t>) и лишение свободы с отбыванием в учр</w:t>
      </w:r>
      <w:r w:rsidRPr="00646C19">
        <w:t>е</w:t>
      </w:r>
      <w:r w:rsidRPr="00646C19">
        <w:t>ждении полузакрытого типа (12</w:t>
      </w:r>
      <w:r w:rsidR="005507FC">
        <w:t>%</w:t>
      </w:r>
      <w:r w:rsidRPr="00646C19">
        <w:t>). С увеличением возраста правонарушителей увеличивалась доля мер социально-воспитательного характера (9,2</w:t>
      </w:r>
      <w:r w:rsidR="005507FC">
        <w:t>%</w:t>
      </w:r>
      <w:r w:rsidRPr="00646C19">
        <w:t xml:space="preserve"> от общего числа правонарушителей в возрастной группе 14</w:t>
      </w:r>
      <w:r w:rsidR="005507FC">
        <w:t xml:space="preserve"> </w:t>
      </w:r>
      <w:r w:rsidRPr="00646C19">
        <w:t>лет и 11,8</w:t>
      </w:r>
      <w:r w:rsidR="005507FC">
        <w:t>%</w:t>
      </w:r>
      <w:r w:rsidRPr="00646C19">
        <w:t xml:space="preserve"> в возрастной группе 17</w:t>
      </w:r>
      <w:r w:rsidR="005507FC">
        <w:t xml:space="preserve"> </w:t>
      </w:r>
      <w:r w:rsidRPr="00646C19">
        <w:t>лет) и сокращалась доля мер, предусматривающих освобождение с установлением надзора (42</w:t>
      </w:r>
      <w:r w:rsidR="005507FC">
        <w:t>%</w:t>
      </w:r>
      <w:r w:rsidRPr="00646C19">
        <w:t xml:space="preserve"> в возрастной группе 14</w:t>
      </w:r>
      <w:r w:rsidR="005507FC">
        <w:t xml:space="preserve"> </w:t>
      </w:r>
      <w:r w:rsidRPr="00646C19">
        <w:t>лет и 33,7</w:t>
      </w:r>
      <w:r w:rsidR="005507FC">
        <w:t>%</w:t>
      </w:r>
      <w:r w:rsidRPr="00646C19">
        <w:t xml:space="preserve"> в возрастной группе 17</w:t>
      </w:r>
      <w:r w:rsidR="005507FC">
        <w:t xml:space="preserve"> </w:t>
      </w:r>
      <w:r w:rsidRPr="00646C19">
        <w:t>лет). Что касается гражданства правонарушителей, то наказания в виде лишения свободы с отбыванием в учреждениях закрытого и полузакрыт</w:t>
      </w:r>
      <w:r w:rsidRPr="00646C19">
        <w:t>о</w:t>
      </w:r>
      <w:r w:rsidRPr="00646C19">
        <w:t>го типа чаще применялись в отношении осужденных несовершеннолетних ин</w:t>
      </w:r>
      <w:r w:rsidRPr="00646C19">
        <w:t>о</w:t>
      </w:r>
      <w:r w:rsidRPr="00646C19">
        <w:t>странцев (1,9</w:t>
      </w:r>
      <w:r w:rsidR="005507FC">
        <w:t>%</w:t>
      </w:r>
      <w:r w:rsidRPr="00646C19">
        <w:t xml:space="preserve"> и 10,8</w:t>
      </w:r>
      <w:r w:rsidR="005507FC">
        <w:t>%</w:t>
      </w:r>
      <w:r w:rsidRPr="00646C19">
        <w:t>). Напротив, к общественно-полезным работам осу</w:t>
      </w:r>
      <w:r w:rsidRPr="00646C19">
        <w:t>ж</w:t>
      </w:r>
      <w:r w:rsidRPr="00646C19">
        <w:t>денные несовершеннолетние иностранцы приговаривались реже (16,7</w:t>
      </w:r>
      <w:r w:rsidR="005507FC">
        <w:t>%</w:t>
      </w:r>
      <w:r w:rsidRPr="00646C19">
        <w:t xml:space="preserve"> от о</w:t>
      </w:r>
      <w:r w:rsidRPr="00646C19">
        <w:t>б</w:t>
      </w:r>
      <w:r w:rsidRPr="00646C19">
        <w:t>щего числа), чем осужденные несовершеннолетние испанцы (20,1</w:t>
      </w:r>
      <w:r w:rsidR="005507FC">
        <w:t>%</w:t>
      </w:r>
      <w:r w:rsidRPr="00646C19">
        <w:t>).</w:t>
      </w:r>
    </w:p>
    <w:p w:rsidR="00646C19" w:rsidRPr="00646C19" w:rsidRDefault="00646C19" w:rsidP="005E6A69">
      <w:pPr>
        <w:pStyle w:val="HChGR"/>
      </w:pPr>
      <w:r w:rsidRPr="00646C19">
        <w:tab/>
      </w:r>
      <w:bookmarkStart w:id="6" w:name="_Toc420072040"/>
      <w:r w:rsidRPr="00646C19">
        <w:t>II.</w:t>
      </w:r>
      <w:r w:rsidRPr="00646C19">
        <w:tab/>
        <w:t>Общие основы защиты и поощрения прав</w:t>
      </w:r>
      <w:r w:rsidR="005507FC">
        <w:t xml:space="preserve"> </w:t>
      </w:r>
      <w:r w:rsidRPr="00646C19">
        <w:t>человека</w:t>
      </w:r>
      <w:bookmarkEnd w:id="6"/>
    </w:p>
    <w:p w:rsidR="00646C19" w:rsidRPr="00646C19" w:rsidRDefault="00646C19" w:rsidP="005E6A69">
      <w:pPr>
        <w:pStyle w:val="H1GR"/>
      </w:pPr>
      <w:r w:rsidRPr="00646C19">
        <w:tab/>
      </w:r>
      <w:bookmarkStart w:id="7" w:name="_Toc420072041"/>
      <w:r w:rsidRPr="00646C19">
        <w:t>A.</w:t>
      </w:r>
      <w:r w:rsidRPr="00646C19">
        <w:tab/>
        <w:t>Признание международных норм в области прав</w:t>
      </w:r>
      <w:r w:rsidR="005507FC">
        <w:t xml:space="preserve"> </w:t>
      </w:r>
      <w:r w:rsidRPr="00646C19">
        <w:t>человека</w:t>
      </w:r>
      <w:bookmarkEnd w:id="7"/>
    </w:p>
    <w:p w:rsidR="00646C19" w:rsidRPr="00646C19" w:rsidRDefault="00646C19" w:rsidP="00646C19">
      <w:pPr>
        <w:pStyle w:val="SingleTxtGR"/>
      </w:pPr>
      <w:r w:rsidRPr="00646C19">
        <w:t>133.</w:t>
      </w:r>
      <w:r w:rsidRPr="00646C19">
        <w:tab/>
        <w:t>Испания является государством − участником основных договоров в о</w:t>
      </w:r>
      <w:r w:rsidRPr="00646C19">
        <w:t>б</w:t>
      </w:r>
      <w:r w:rsidRPr="00646C19">
        <w:t>ласти прав</w:t>
      </w:r>
      <w:r w:rsidR="005507FC">
        <w:t xml:space="preserve"> </w:t>
      </w:r>
      <w:r w:rsidRPr="00646C19">
        <w:t>человека. Она приняла на себя широкие обязательства в области з</w:t>
      </w:r>
      <w:r w:rsidRPr="00646C19">
        <w:t>а</w:t>
      </w:r>
      <w:r w:rsidRPr="00646C19">
        <w:t>щиты прав</w:t>
      </w:r>
      <w:r w:rsidR="005507FC">
        <w:t xml:space="preserve"> </w:t>
      </w:r>
      <w:r w:rsidRPr="00646C19">
        <w:t>человека и признала компетенцию международных наблюдательных органов. Для Испании особо важное значение имеет Европейский суд по пр</w:t>
      </w:r>
      <w:r w:rsidRPr="00646C19">
        <w:t>а</w:t>
      </w:r>
      <w:r w:rsidRPr="00646C19">
        <w:t>вам</w:t>
      </w:r>
      <w:r w:rsidR="005507FC">
        <w:t xml:space="preserve"> </w:t>
      </w:r>
      <w:r w:rsidRPr="00646C19">
        <w:t>человека, который наблюдает за выполнением Европейской конвенции о</w:t>
      </w:r>
      <w:r w:rsidR="005507FC">
        <w:t xml:space="preserve"> </w:t>
      </w:r>
      <w:r w:rsidRPr="00646C19">
        <w:t>защите прав</w:t>
      </w:r>
      <w:r w:rsidR="005507FC">
        <w:t xml:space="preserve"> </w:t>
      </w:r>
      <w:r w:rsidRPr="00646C19">
        <w:t>человека и основных свобод. Испания ратифицировала следующие многосторонние договоры в области прав человека:</w:t>
      </w:r>
    </w:p>
    <w:p w:rsidR="00646C19" w:rsidRPr="00646C19" w:rsidRDefault="00646C19" w:rsidP="00646C19">
      <w:pPr>
        <w:pStyle w:val="SingleTxtGR"/>
      </w:pPr>
      <w:r w:rsidRPr="00646C19">
        <w:t>134.</w:t>
      </w:r>
      <w:r w:rsidRPr="00646C19">
        <w:tab/>
        <w:t>В рамках Организации Объединенных Наций:</w:t>
      </w:r>
    </w:p>
    <w:p w:rsidR="00646C19" w:rsidRPr="00646C19" w:rsidRDefault="00646C19" w:rsidP="005E6A69">
      <w:pPr>
        <w:pStyle w:val="Bullet1GR"/>
      </w:pPr>
      <w:r w:rsidRPr="00646C19">
        <w:t>Конвенция о предупреждении преступления геноцида и наказании за н</w:t>
      </w:r>
      <w:r w:rsidRPr="00646C19">
        <w:t>е</w:t>
      </w:r>
      <w:r w:rsidRPr="00646C19">
        <w:t>го;</w:t>
      </w:r>
    </w:p>
    <w:p w:rsidR="00646C19" w:rsidRPr="00646C19" w:rsidRDefault="00646C19" w:rsidP="005E6A69">
      <w:pPr>
        <w:pStyle w:val="Bullet1GR"/>
      </w:pPr>
      <w:r w:rsidRPr="00646C19">
        <w:t>Конвенция о статусе беженцев и Протокол, касающийся статуса беже</w:t>
      </w:r>
      <w:r w:rsidRPr="00646C19">
        <w:t>н</w:t>
      </w:r>
      <w:r w:rsidRPr="00646C19">
        <w:t>цев;</w:t>
      </w:r>
    </w:p>
    <w:p w:rsidR="00646C19" w:rsidRPr="00646C19" w:rsidRDefault="00646C19" w:rsidP="005E6A69">
      <w:pPr>
        <w:pStyle w:val="Bullet1GR"/>
      </w:pPr>
      <w:r w:rsidRPr="00646C19">
        <w:t>Конвенция о политических правах женщин;</w:t>
      </w:r>
    </w:p>
    <w:p w:rsidR="00646C19" w:rsidRPr="00646C19" w:rsidRDefault="00646C19" w:rsidP="005E6A69">
      <w:pPr>
        <w:pStyle w:val="Bullet1GR"/>
      </w:pPr>
      <w:r w:rsidRPr="00646C19">
        <w:t>Конвенция о статусе апатридов;</w:t>
      </w:r>
    </w:p>
    <w:p w:rsidR="00646C19" w:rsidRPr="00646C19" w:rsidRDefault="00646C19" w:rsidP="005E6A69">
      <w:pPr>
        <w:pStyle w:val="Bullet1GR"/>
      </w:pPr>
      <w:r w:rsidRPr="00646C19">
        <w:t>Международный пакт о гражданских и политических правах и Факульт</w:t>
      </w:r>
      <w:r w:rsidRPr="00646C19">
        <w:t>а</w:t>
      </w:r>
      <w:r w:rsidRPr="00646C19">
        <w:t>тивные протоколы к нему;</w:t>
      </w:r>
    </w:p>
    <w:p w:rsidR="00646C19" w:rsidRPr="00646C19" w:rsidRDefault="00646C19" w:rsidP="005E6A69">
      <w:pPr>
        <w:pStyle w:val="Bullet1GR"/>
      </w:pPr>
      <w:r w:rsidRPr="00646C19">
        <w:t>Международный пакт об экономических, социальных и культурных пр</w:t>
      </w:r>
      <w:r w:rsidRPr="00646C19">
        <w:t>а</w:t>
      </w:r>
      <w:r w:rsidRPr="00646C19">
        <w:t>вах и Факультативный протокол к нему;</w:t>
      </w:r>
    </w:p>
    <w:p w:rsidR="00646C19" w:rsidRPr="00646C19" w:rsidRDefault="00646C19" w:rsidP="005E6A69">
      <w:pPr>
        <w:pStyle w:val="Bullet1GR"/>
      </w:pPr>
      <w:r w:rsidRPr="00646C19">
        <w:t>Международная конвенция о ликвидации всех форм расовой дискрим</w:t>
      </w:r>
      <w:r w:rsidRPr="00646C19">
        <w:t>и</w:t>
      </w:r>
      <w:r w:rsidRPr="00646C19">
        <w:t>нации;</w:t>
      </w:r>
    </w:p>
    <w:p w:rsidR="00646C19" w:rsidRPr="00646C19" w:rsidRDefault="00646C19" w:rsidP="005E6A69">
      <w:pPr>
        <w:pStyle w:val="Bullet1GR"/>
      </w:pPr>
      <w:r w:rsidRPr="00646C19">
        <w:t>Конвенция о ликвидации всех форм дискриминации в отношении же</w:t>
      </w:r>
      <w:r w:rsidRPr="00646C19">
        <w:t>н</w:t>
      </w:r>
      <w:r w:rsidRPr="00646C19">
        <w:t>щин и Факультативный протокол к ней;</w:t>
      </w:r>
    </w:p>
    <w:p w:rsidR="00646C19" w:rsidRPr="00646C19" w:rsidRDefault="00646C19" w:rsidP="005E6A69">
      <w:pPr>
        <w:pStyle w:val="Bullet1GR"/>
      </w:pPr>
      <w:r w:rsidRPr="00646C19">
        <w:t>Конвенция против пыток и других жестоких, бесчеловечных или униж</w:t>
      </w:r>
      <w:r w:rsidRPr="00646C19">
        <w:t>а</w:t>
      </w:r>
      <w:r w:rsidRPr="00646C19">
        <w:t>ющих достоинство видов обращения и наказания (Испания сделала предусмотренное статьей</w:t>
      </w:r>
      <w:r w:rsidR="005507FC">
        <w:t xml:space="preserve"> </w:t>
      </w:r>
      <w:r w:rsidRPr="00646C19">
        <w:t>22 этой Конвенции заявление о признании ко</w:t>
      </w:r>
      <w:r w:rsidRPr="00646C19">
        <w:t>м</w:t>
      </w:r>
      <w:r w:rsidRPr="00646C19">
        <w:t>петенции Комитета против пыток рассматривать индивидуальные соо</w:t>
      </w:r>
      <w:r w:rsidRPr="00646C19">
        <w:t>б</w:t>
      </w:r>
      <w:r w:rsidRPr="00646C19">
        <w:t>щения о нарушениях Конвенции) и Факультативный протокол к ней;</w:t>
      </w:r>
    </w:p>
    <w:p w:rsidR="00646C19" w:rsidRPr="00646C19" w:rsidRDefault="00646C19" w:rsidP="005E6A69">
      <w:pPr>
        <w:pStyle w:val="Bullet1GR"/>
      </w:pPr>
      <w:r w:rsidRPr="00646C19">
        <w:t>Конвенция о правах ребенка и три Фа</w:t>
      </w:r>
      <w:r w:rsidR="005E6A69">
        <w:t>культативных протокола к ней (о </w:t>
      </w:r>
      <w:r w:rsidRPr="00646C19">
        <w:t>торговле детьми, детской проституции и детской порнографии, об уч</w:t>
      </w:r>
      <w:r w:rsidRPr="00646C19">
        <w:t>а</w:t>
      </w:r>
      <w:r w:rsidRPr="00646C19">
        <w:t>стии детей в вооруженных конфликтах и о процедуре сообщений);</w:t>
      </w:r>
    </w:p>
    <w:p w:rsidR="00646C19" w:rsidRPr="00646C19" w:rsidRDefault="00646C19" w:rsidP="005E6A69">
      <w:pPr>
        <w:pStyle w:val="Bullet1GR"/>
      </w:pPr>
      <w:r w:rsidRPr="00646C19">
        <w:t>Римский статут Международного уголовного суда</w:t>
      </w:r>
      <w:r w:rsidR="005507FC">
        <w:t xml:space="preserve"> </w:t>
      </w:r>
      <w:r w:rsidRPr="00646C19">
        <w:t>и Соглашение о прив</w:t>
      </w:r>
      <w:r w:rsidRPr="00646C19">
        <w:t>и</w:t>
      </w:r>
      <w:r w:rsidRPr="00646C19">
        <w:t>легиях и иммунитетах Международного уголовного суда;</w:t>
      </w:r>
    </w:p>
    <w:p w:rsidR="00646C19" w:rsidRPr="00646C19" w:rsidRDefault="00646C19" w:rsidP="005E6A69">
      <w:pPr>
        <w:pStyle w:val="Bullet1GR"/>
      </w:pPr>
      <w:r w:rsidRPr="00646C19">
        <w:t>Конвенция против транснациональной организованной преступности и дополняющие ее Протоколы о предупреждении и пресечении торговли людьми, особенно женщинами и детьми, и наказании за нее и против н</w:t>
      </w:r>
      <w:r w:rsidRPr="00646C19">
        <w:t>е</w:t>
      </w:r>
      <w:r w:rsidRPr="00646C19">
        <w:t>законного ввоза мигрантов по суше, морю и воздуху;</w:t>
      </w:r>
    </w:p>
    <w:p w:rsidR="00646C19" w:rsidRPr="00646C19" w:rsidRDefault="00646C19" w:rsidP="005E6A69">
      <w:pPr>
        <w:pStyle w:val="Bullet1GR"/>
      </w:pPr>
      <w:r w:rsidRPr="00646C19">
        <w:t>Международная конвенция для защиты всех лиц от насильственных и</w:t>
      </w:r>
      <w:r w:rsidRPr="00646C19">
        <w:t>с</w:t>
      </w:r>
      <w:r w:rsidRPr="00646C19">
        <w:t>чезновений;</w:t>
      </w:r>
    </w:p>
    <w:p w:rsidR="00646C19" w:rsidRPr="00646C19" w:rsidRDefault="00646C19" w:rsidP="005E6A69">
      <w:pPr>
        <w:pStyle w:val="Bullet1GR"/>
      </w:pPr>
      <w:r w:rsidRPr="00646C19">
        <w:t>Конвенция о правах инвалидов и Факультативный протокол к ней;</w:t>
      </w:r>
    </w:p>
    <w:p w:rsidR="00646C19" w:rsidRPr="00646C19" w:rsidRDefault="00646C19" w:rsidP="005E6A69">
      <w:pPr>
        <w:pStyle w:val="Bullet1GR"/>
      </w:pPr>
      <w:r w:rsidRPr="00646C19">
        <w:t>Конвенция по кассетным боеприпасам;</w:t>
      </w:r>
    </w:p>
    <w:p w:rsidR="00646C19" w:rsidRPr="00646C19" w:rsidRDefault="00646C19" w:rsidP="005E6A69">
      <w:pPr>
        <w:pStyle w:val="Bullet1GR"/>
      </w:pPr>
      <w:r w:rsidRPr="00646C19">
        <w:t>Конвенция о контроле над международной торговлей оружием, военным снаряжением и боеприпасами.</w:t>
      </w:r>
    </w:p>
    <w:p w:rsidR="00646C19" w:rsidRPr="00646C19" w:rsidRDefault="00646C19" w:rsidP="00646C19">
      <w:pPr>
        <w:pStyle w:val="SingleTxtGR"/>
      </w:pPr>
      <w:r w:rsidRPr="00646C19">
        <w:t>135.</w:t>
      </w:r>
      <w:r w:rsidRPr="00646C19">
        <w:tab/>
        <w:t>В рамках Совета Европы:</w:t>
      </w:r>
    </w:p>
    <w:p w:rsidR="00646C19" w:rsidRPr="00646C19" w:rsidRDefault="00646C19" w:rsidP="005E6A69">
      <w:pPr>
        <w:pStyle w:val="Bullet1GR"/>
      </w:pPr>
      <w:r w:rsidRPr="00646C19">
        <w:t>Европейская конвенция о защите прав</w:t>
      </w:r>
      <w:r w:rsidR="005507FC">
        <w:t xml:space="preserve"> </w:t>
      </w:r>
      <w:r w:rsidRPr="00646C19">
        <w:t>человека и основных свобод;</w:t>
      </w:r>
    </w:p>
    <w:p w:rsidR="00646C19" w:rsidRPr="00646C19" w:rsidRDefault="00646C19" w:rsidP="005E6A69">
      <w:pPr>
        <w:pStyle w:val="Bullet1GR"/>
      </w:pPr>
      <w:r w:rsidRPr="00646C19">
        <w:t>Протокол №</w:t>
      </w:r>
      <w:r w:rsidR="005507FC">
        <w:t xml:space="preserve"> </w:t>
      </w:r>
      <w:r w:rsidRPr="00646C19">
        <w:t>4 к Конвенции о защите прав</w:t>
      </w:r>
      <w:r w:rsidR="005507FC">
        <w:t xml:space="preserve"> </w:t>
      </w:r>
      <w:r w:rsidRPr="00646C19">
        <w:t>человека и основных свобод об</w:t>
      </w:r>
      <w:r w:rsidR="005507FC">
        <w:t xml:space="preserve"> </w:t>
      </w:r>
      <w:r w:rsidRPr="00646C19">
        <w:t>обеспечении некоторых иных прав и свобод помимо тех, которые уже включены в Конвенцию и Дополнительный протокол к ней (Конве</w:t>
      </w:r>
      <w:r w:rsidRPr="00646C19">
        <w:t>н</w:t>
      </w:r>
      <w:r w:rsidRPr="00646C19">
        <w:t>ция</w:t>
      </w:r>
      <w:r w:rsidR="00EE36F2">
        <w:t> </w:t>
      </w:r>
      <w:r w:rsidRPr="00646C19">
        <w:t>№</w:t>
      </w:r>
      <w:r w:rsidR="00EE36F2">
        <w:t> </w:t>
      </w:r>
      <w:r w:rsidRPr="00646C19">
        <w:t>46 Совета Европы);</w:t>
      </w:r>
    </w:p>
    <w:p w:rsidR="00646C19" w:rsidRPr="00646C19" w:rsidRDefault="00646C19" w:rsidP="005E6A69">
      <w:pPr>
        <w:pStyle w:val="Bullet1GR"/>
      </w:pPr>
      <w:r w:rsidRPr="00646C19">
        <w:t>Протокол № 6 к Европейской конвенции о защите прав</w:t>
      </w:r>
      <w:r w:rsidR="005507FC">
        <w:t xml:space="preserve"> </w:t>
      </w:r>
      <w:r w:rsidRPr="00646C19">
        <w:t>человека и осно</w:t>
      </w:r>
      <w:r w:rsidRPr="00646C19">
        <w:t>в</w:t>
      </w:r>
      <w:r w:rsidRPr="00646C19">
        <w:t>ных свобод, касающийся отмены смертной казни в мирное время;</w:t>
      </w:r>
    </w:p>
    <w:p w:rsidR="00646C19" w:rsidRPr="00646C19" w:rsidRDefault="00646C19" w:rsidP="005E6A69">
      <w:pPr>
        <w:pStyle w:val="Bullet1GR"/>
      </w:pPr>
      <w:r w:rsidRPr="00646C19">
        <w:t>Протокол № 7 к Конвенции о защите прав</w:t>
      </w:r>
      <w:r w:rsidR="005507FC">
        <w:t xml:space="preserve"> </w:t>
      </w:r>
      <w:r w:rsidRPr="00646C19">
        <w:t>человека и основных свобод (Конвенция</w:t>
      </w:r>
      <w:r w:rsidR="005507FC">
        <w:t xml:space="preserve"> </w:t>
      </w:r>
      <w:r w:rsidRPr="00646C19">
        <w:t>№</w:t>
      </w:r>
      <w:r w:rsidR="005507FC">
        <w:t xml:space="preserve"> </w:t>
      </w:r>
      <w:r w:rsidRPr="00646C19">
        <w:t>117 Совета Европы);</w:t>
      </w:r>
    </w:p>
    <w:p w:rsidR="00646C19" w:rsidRPr="00646C19" w:rsidRDefault="00646C19" w:rsidP="005E6A69">
      <w:pPr>
        <w:pStyle w:val="Bullet1GR"/>
      </w:pPr>
      <w:r w:rsidRPr="00646C19">
        <w:t>Протокол № 12 к Европейской конвенции о защите прав</w:t>
      </w:r>
      <w:r w:rsidR="005507FC">
        <w:t xml:space="preserve"> </w:t>
      </w:r>
      <w:r w:rsidRPr="00646C19">
        <w:t>человека и о</w:t>
      </w:r>
      <w:r w:rsidRPr="00646C19">
        <w:t>с</w:t>
      </w:r>
      <w:r w:rsidRPr="00646C19">
        <w:t>новных свобод, касающийся общего запрещения дискриминации;</w:t>
      </w:r>
    </w:p>
    <w:p w:rsidR="00646C19" w:rsidRPr="00646C19" w:rsidRDefault="00646C19" w:rsidP="005E6A69">
      <w:pPr>
        <w:pStyle w:val="Bullet1GR"/>
      </w:pPr>
      <w:r w:rsidRPr="00646C19">
        <w:t>Протокол № 13 к Европейской конвенции о защите прав</w:t>
      </w:r>
      <w:r w:rsidR="005507FC">
        <w:t xml:space="preserve"> </w:t>
      </w:r>
      <w:r w:rsidRPr="00646C19">
        <w:t>человека и о</w:t>
      </w:r>
      <w:r w:rsidRPr="00646C19">
        <w:t>с</w:t>
      </w:r>
      <w:r w:rsidRPr="00646C19">
        <w:t>новных свобод, касающийся отмены смертной казни в любых обсто</w:t>
      </w:r>
      <w:r w:rsidRPr="00646C19">
        <w:t>я</w:t>
      </w:r>
      <w:r w:rsidRPr="00646C19">
        <w:t>тельствах;</w:t>
      </w:r>
    </w:p>
    <w:p w:rsidR="00646C19" w:rsidRPr="00646C19" w:rsidRDefault="00646C19" w:rsidP="005E6A69">
      <w:pPr>
        <w:pStyle w:val="Bullet1GR"/>
      </w:pPr>
      <w:r w:rsidRPr="00646C19">
        <w:t>Протокол № 14 к Европейской конвенции о защите прав</w:t>
      </w:r>
      <w:r w:rsidR="005507FC">
        <w:t xml:space="preserve"> </w:t>
      </w:r>
      <w:r w:rsidRPr="00646C19">
        <w:t>человека и о</w:t>
      </w:r>
      <w:r w:rsidRPr="00646C19">
        <w:t>с</w:t>
      </w:r>
      <w:r w:rsidRPr="00646C19">
        <w:t>новных свобод, дополняющий контрольную систему Конвенции;</w:t>
      </w:r>
    </w:p>
    <w:p w:rsidR="00646C19" w:rsidRPr="00646C19" w:rsidRDefault="00646C19" w:rsidP="005E6A69">
      <w:pPr>
        <w:pStyle w:val="Bullet1GR"/>
      </w:pPr>
      <w:r w:rsidRPr="00646C19">
        <w:t>Конвенция о защите прав</w:t>
      </w:r>
      <w:r w:rsidR="005507FC">
        <w:t xml:space="preserve"> </w:t>
      </w:r>
      <w:r w:rsidRPr="00646C19">
        <w:t>человека и человеческого достоинства в связи с применением достижений биологии и медицины: Конвенция о правах</w:t>
      </w:r>
      <w:r w:rsidR="005507FC">
        <w:t xml:space="preserve"> </w:t>
      </w:r>
      <w:r w:rsidRPr="00646C19">
        <w:t>ч</w:t>
      </w:r>
      <w:r w:rsidRPr="00646C19">
        <w:t>е</w:t>
      </w:r>
      <w:r w:rsidRPr="00646C19">
        <w:t>ловека и биомедицине;</w:t>
      </w:r>
    </w:p>
    <w:p w:rsidR="00646C19" w:rsidRPr="00646C19" w:rsidRDefault="00646C19" w:rsidP="005E6A69">
      <w:pPr>
        <w:pStyle w:val="Bullet1GR"/>
      </w:pPr>
      <w:r w:rsidRPr="00646C19">
        <w:t>Рамочная конвенция о защите национальных меньшинств;</w:t>
      </w:r>
    </w:p>
    <w:p w:rsidR="00646C19" w:rsidRPr="00646C19" w:rsidRDefault="00646C19" w:rsidP="005E6A69">
      <w:pPr>
        <w:pStyle w:val="Bullet1GR"/>
      </w:pPr>
      <w:r w:rsidRPr="00646C19">
        <w:t>Европейская социальная хартия. В настоящее время Испания находится в процессе ратификации пересмотренной Европейской социальной хартии;</w:t>
      </w:r>
    </w:p>
    <w:p w:rsidR="00646C19" w:rsidRPr="00646C19" w:rsidRDefault="00646C19" w:rsidP="005E6A69">
      <w:pPr>
        <w:pStyle w:val="Bullet1GR"/>
      </w:pPr>
      <w:r w:rsidRPr="00646C19">
        <w:t>Конвенция Совета Европы о борьбе с торговлей людьми;</w:t>
      </w:r>
    </w:p>
    <w:p w:rsidR="00646C19" w:rsidRPr="00646C19" w:rsidRDefault="00646C19" w:rsidP="005E6A69">
      <w:pPr>
        <w:pStyle w:val="Bullet1GR"/>
      </w:pPr>
      <w:r w:rsidRPr="00646C19">
        <w:t>Конвенция Совета Европы о защите детей от сексуальной эксплуатации и сексуального насилия;</w:t>
      </w:r>
    </w:p>
    <w:p w:rsidR="00646C19" w:rsidRPr="00646C19" w:rsidRDefault="00646C19" w:rsidP="005E6A69">
      <w:pPr>
        <w:pStyle w:val="Bullet1GR"/>
      </w:pPr>
      <w:r w:rsidRPr="00646C19">
        <w:t>Конвенция Совета Европы о противодействии торговле людьми;</w:t>
      </w:r>
    </w:p>
    <w:p w:rsidR="00646C19" w:rsidRPr="00646C19" w:rsidRDefault="00646C19" w:rsidP="005E6A69">
      <w:pPr>
        <w:pStyle w:val="Bullet1GR"/>
      </w:pPr>
      <w:r w:rsidRPr="00646C19">
        <w:t>Конвенция о предотвращении насилия в отношении женщин и насилия в семье и борьбе с ним.</w:t>
      </w:r>
    </w:p>
    <w:p w:rsidR="00646C19" w:rsidRPr="00646C19" w:rsidRDefault="00646C19" w:rsidP="00EE36F2">
      <w:pPr>
        <w:pStyle w:val="H1GR"/>
      </w:pPr>
      <w:r w:rsidRPr="00646C19">
        <w:tab/>
      </w:r>
      <w:bookmarkStart w:id="8" w:name="_Toc420072042"/>
      <w:r w:rsidRPr="00646C19">
        <w:t>B.</w:t>
      </w:r>
      <w:r w:rsidRPr="00646C19">
        <w:tab/>
        <w:t>Правовые основы защиты прав</w:t>
      </w:r>
      <w:r w:rsidR="005507FC">
        <w:t xml:space="preserve"> </w:t>
      </w:r>
      <w:r w:rsidRPr="00646C19">
        <w:t>человека на национальном уровне</w:t>
      </w:r>
      <w:bookmarkEnd w:id="8"/>
    </w:p>
    <w:p w:rsidR="00646C19" w:rsidRPr="00646C19" w:rsidRDefault="00646C19" w:rsidP="00646C19">
      <w:pPr>
        <w:pStyle w:val="SingleTxtGR"/>
      </w:pPr>
      <w:r w:rsidRPr="00646C19">
        <w:t>136.</w:t>
      </w:r>
      <w:r w:rsidRPr="00646C19">
        <w:tab/>
        <w:t>В Испании общие основы защиты прав</w:t>
      </w:r>
      <w:r w:rsidR="005507FC">
        <w:t xml:space="preserve"> </w:t>
      </w:r>
      <w:r w:rsidRPr="00646C19">
        <w:t>человека закреплены в Констит</w:t>
      </w:r>
      <w:r w:rsidRPr="00646C19">
        <w:t>у</w:t>
      </w:r>
      <w:r w:rsidRPr="00646C19">
        <w:t>ции 1978</w:t>
      </w:r>
      <w:r w:rsidR="005507FC">
        <w:t xml:space="preserve"> </w:t>
      </w:r>
      <w:r w:rsidRPr="00646C19">
        <w:t>года, и прежде всего в части</w:t>
      </w:r>
      <w:r w:rsidR="005507FC">
        <w:t xml:space="preserve"> </w:t>
      </w:r>
      <w:r w:rsidRPr="00646C19">
        <w:t>1 главы</w:t>
      </w:r>
      <w:r w:rsidR="005507FC">
        <w:t xml:space="preserve"> </w:t>
      </w:r>
      <w:r w:rsidRPr="00646C19">
        <w:t>II раздела</w:t>
      </w:r>
      <w:r w:rsidR="005507FC">
        <w:t xml:space="preserve"> </w:t>
      </w:r>
      <w:r w:rsidRPr="00646C19">
        <w:t>I ("Об</w:t>
      </w:r>
      <w:r w:rsidR="005507FC">
        <w:t xml:space="preserve"> </w:t>
      </w:r>
      <w:r w:rsidRPr="00646C19">
        <w:t>основных пр</w:t>
      </w:r>
      <w:r w:rsidRPr="00646C19">
        <w:t>а</w:t>
      </w:r>
      <w:r w:rsidRPr="00646C19">
        <w:t>вах и обязанностях"). Статья 53 Конституции определяет систему гарантий этих прав, которая структурируется следующим образом:</w:t>
      </w:r>
    </w:p>
    <w:p w:rsidR="00646C19" w:rsidRPr="00646C19" w:rsidRDefault="00121966" w:rsidP="00646C19">
      <w:pPr>
        <w:pStyle w:val="SingleTxtGR"/>
      </w:pPr>
      <w:r>
        <w:tab/>
      </w:r>
      <w:r w:rsidR="00646C19" w:rsidRPr="00646C19">
        <w:t>a)</w:t>
      </w:r>
      <w:r w:rsidR="00646C19" w:rsidRPr="00646C19">
        <w:tab/>
      </w:r>
      <w:r w:rsidRPr="00646C19">
        <w:t xml:space="preserve">гарантия </w:t>
      </w:r>
      <w:r w:rsidR="00646C19" w:rsidRPr="00646C19">
        <w:t>со стороны закона: осуществление этих прав может рег</w:t>
      </w:r>
      <w:r w:rsidR="00646C19" w:rsidRPr="00646C19">
        <w:t>у</w:t>
      </w:r>
      <w:r w:rsidR="00646C19" w:rsidRPr="00646C19">
        <w:t>лироваться только законом, "который в любом случае должен уважать основное содержание вышеупомянутых прав и свобод". Законы, относящиеся к развитию основных прав и публичных свобод, являются органическими законами, для принятия, изменения или отмены которых требуется абсолютное большинство голосов членов Конгресса при окончательном голосовании проекта в целом (пункты</w:t>
      </w:r>
      <w:r w:rsidR="005507FC">
        <w:t xml:space="preserve"> </w:t>
      </w:r>
      <w:r w:rsidR="00646C19" w:rsidRPr="00646C19">
        <w:t>1 и 2 статьи</w:t>
      </w:r>
      <w:r w:rsidR="005507FC">
        <w:t xml:space="preserve"> </w:t>
      </w:r>
      <w:r w:rsidR="00646C19" w:rsidRPr="00646C19">
        <w:t>81). Осуществление этой гарантии контролируется Ко</w:t>
      </w:r>
      <w:r w:rsidR="00646C19" w:rsidRPr="00646C19">
        <w:t>н</w:t>
      </w:r>
      <w:r w:rsidR="00646C19" w:rsidRPr="00646C19">
        <w:t>ституционным судом путем рассмотрения ходатайств о неконституционности законов и нормативных положений, имеющих силу закона (подпункт</w:t>
      </w:r>
      <w:r w:rsidR="005507FC">
        <w:t xml:space="preserve"> </w:t>
      </w:r>
      <w:r w:rsidR="00646C19" w:rsidRPr="00646C19">
        <w:t>а) пун</w:t>
      </w:r>
      <w:r w:rsidR="00646C19" w:rsidRPr="00646C19">
        <w:t>к</w:t>
      </w:r>
      <w:r w:rsidR="00646C19" w:rsidRPr="00646C19">
        <w:t>та</w:t>
      </w:r>
      <w:r>
        <w:t> </w:t>
      </w:r>
      <w:r w:rsidR="00646C19" w:rsidRPr="00646C19">
        <w:t>1) статьи</w:t>
      </w:r>
      <w:r w:rsidR="005507FC">
        <w:t xml:space="preserve"> </w:t>
      </w:r>
      <w:r w:rsidR="00646C19" w:rsidRPr="00646C19">
        <w:t>161). Право обращаться с такими ходатайствами имеют Председ</w:t>
      </w:r>
      <w:r w:rsidR="00646C19" w:rsidRPr="00646C19">
        <w:t>а</w:t>
      </w:r>
      <w:r w:rsidR="00646C19" w:rsidRPr="00646C19">
        <w:t>тель правительства, Народный защитник, 50</w:t>
      </w:r>
      <w:r w:rsidR="005507FC">
        <w:t xml:space="preserve"> </w:t>
      </w:r>
      <w:r w:rsidR="00646C19" w:rsidRPr="00646C19">
        <w:t>депутатов, 50</w:t>
      </w:r>
      <w:r w:rsidR="005507FC">
        <w:t xml:space="preserve"> </w:t>
      </w:r>
      <w:r w:rsidR="00646C19" w:rsidRPr="00646C19">
        <w:t>сенаторов, коллег</w:t>
      </w:r>
      <w:r w:rsidR="00646C19" w:rsidRPr="00646C19">
        <w:t>и</w:t>
      </w:r>
      <w:r w:rsidR="00646C19" w:rsidRPr="00646C19">
        <w:t>альные исполнительные органы автономных сообществ и, в случае необход</w:t>
      </w:r>
      <w:r w:rsidR="00646C19" w:rsidRPr="00646C19">
        <w:t>и</w:t>
      </w:r>
      <w:r w:rsidR="00646C19" w:rsidRPr="00646C19">
        <w:t>мости, их собрания (подпункт</w:t>
      </w:r>
      <w:r w:rsidR="005507FC">
        <w:t xml:space="preserve"> </w:t>
      </w:r>
      <w:r w:rsidR="00646C19" w:rsidRPr="00646C19">
        <w:t>а) пункта</w:t>
      </w:r>
      <w:r w:rsidR="005507FC">
        <w:t xml:space="preserve"> </w:t>
      </w:r>
      <w:r w:rsidR="00646C19" w:rsidRPr="00646C19">
        <w:t>1 статьи</w:t>
      </w:r>
      <w:r w:rsidR="005507FC">
        <w:t xml:space="preserve"> </w:t>
      </w:r>
      <w:r w:rsidR="00646C19" w:rsidRPr="00646C19">
        <w:t>162). Равным образом, прин</w:t>
      </w:r>
      <w:r w:rsidR="00646C19" w:rsidRPr="00646C19">
        <w:t>я</w:t>
      </w:r>
      <w:r w:rsidR="00646C19" w:rsidRPr="00646C19">
        <w:t>тие государством на себя обязательств, вытекающих из договоров или соглаш</w:t>
      </w:r>
      <w:r w:rsidR="00646C19" w:rsidRPr="00646C19">
        <w:t>е</w:t>
      </w:r>
      <w:r w:rsidR="00646C19" w:rsidRPr="00646C19">
        <w:t>ний, требует предварительного согласия Генеральных кортесов, если речь идет о договорах или соглашениях, затрагивающих основные права и обязанности, предусмотренные в разделе</w:t>
      </w:r>
      <w:r w:rsidR="005507FC">
        <w:t xml:space="preserve"> </w:t>
      </w:r>
      <w:r w:rsidR="00646C19" w:rsidRPr="00646C19">
        <w:t>I (подпункт</w:t>
      </w:r>
      <w:r w:rsidR="005507FC">
        <w:t xml:space="preserve"> </w:t>
      </w:r>
      <w:r w:rsidR="00646C19" w:rsidRPr="00646C19">
        <w:t>с) пункта</w:t>
      </w:r>
      <w:r w:rsidR="005507FC">
        <w:t xml:space="preserve"> </w:t>
      </w:r>
      <w:r w:rsidR="00646C19" w:rsidRPr="00646C19">
        <w:t>1 статьи</w:t>
      </w:r>
      <w:r w:rsidR="005507FC">
        <w:t xml:space="preserve"> </w:t>
      </w:r>
      <w:r w:rsidR="00646C19" w:rsidRPr="00646C19">
        <w:t>94) Конституции. Кроме того, в статье</w:t>
      </w:r>
      <w:r w:rsidR="005507FC">
        <w:t xml:space="preserve"> </w:t>
      </w:r>
      <w:r w:rsidR="00646C19" w:rsidRPr="00646C19">
        <w:t>95 Конституции Испании предусматривается для прав</w:t>
      </w:r>
      <w:r w:rsidR="00646C19" w:rsidRPr="00646C19">
        <w:t>и</w:t>
      </w:r>
      <w:r w:rsidR="00646C19" w:rsidRPr="00646C19">
        <w:t>тельства или любой из палат Генеральных кортесов − Конгресса депутатов или Сената</w:t>
      </w:r>
      <w:r w:rsidR="005507FC">
        <w:t xml:space="preserve"> </w:t>
      </w:r>
      <w:r w:rsidR="00646C19" w:rsidRPr="00646C19">
        <w:t>− возможность перед заключением международного договора обращат</w:t>
      </w:r>
      <w:r w:rsidR="00646C19" w:rsidRPr="00646C19">
        <w:t>ь</w:t>
      </w:r>
      <w:r w:rsidR="00646C19" w:rsidRPr="00646C19">
        <w:t>ся в Конституционный суд с запросом о том, не содержатся ли в нем полож</w:t>
      </w:r>
      <w:r w:rsidR="00646C19" w:rsidRPr="00646C19">
        <w:t>е</w:t>
      </w:r>
      <w:r w:rsidR="00646C19" w:rsidRPr="00646C19">
        <w:t>ния, противоречащие Конституции. Этот запрос может повлечь за собой пр</w:t>
      </w:r>
      <w:r w:rsidR="00646C19" w:rsidRPr="00646C19">
        <w:t>и</w:t>
      </w:r>
      <w:r w:rsidR="00646C19" w:rsidRPr="00646C19">
        <w:t>знание международного договора соответствующим Конституции согласно п</w:t>
      </w:r>
      <w:r w:rsidR="00646C19" w:rsidRPr="00646C19">
        <w:t>о</w:t>
      </w:r>
      <w:r w:rsidR="00646C19" w:rsidRPr="00646C19">
        <w:t>ложениям статьи</w:t>
      </w:r>
      <w:r w:rsidR="005507FC">
        <w:t xml:space="preserve"> </w:t>
      </w:r>
      <w:r w:rsidR="00646C19" w:rsidRPr="00646C19">
        <w:t>78 раздела</w:t>
      </w:r>
      <w:r w:rsidR="005507FC">
        <w:t xml:space="preserve"> </w:t>
      </w:r>
      <w:r w:rsidR="00646C19" w:rsidRPr="00646C19">
        <w:t>VI Органического закона</w:t>
      </w:r>
      <w:r w:rsidR="005507FC">
        <w:t xml:space="preserve"> </w:t>
      </w:r>
      <w:r w:rsidR="00646C19" w:rsidRPr="00646C19">
        <w:t>№</w:t>
      </w:r>
      <w:r w:rsidR="005507FC">
        <w:t xml:space="preserve"> </w:t>
      </w:r>
      <w:r w:rsidR="00646C19" w:rsidRPr="00646C19">
        <w:t>2/1979 (от 2</w:t>
      </w:r>
      <w:r w:rsidR="005507FC">
        <w:t xml:space="preserve"> </w:t>
      </w:r>
      <w:r w:rsidR="00646C19" w:rsidRPr="00646C19">
        <w:t>октября 1979</w:t>
      </w:r>
      <w:r w:rsidR="005507FC">
        <w:t xml:space="preserve"> </w:t>
      </w:r>
      <w:r w:rsidR="00646C19" w:rsidRPr="00646C19">
        <w:t>года) о Конституционном суде.</w:t>
      </w:r>
    </w:p>
    <w:p w:rsidR="00646C19" w:rsidRPr="00646C19" w:rsidRDefault="00121966" w:rsidP="00646C19">
      <w:pPr>
        <w:pStyle w:val="SingleTxtGR"/>
      </w:pPr>
      <w:r>
        <w:tab/>
      </w:r>
      <w:r w:rsidR="00646C19" w:rsidRPr="00646C19">
        <w:t>b)</w:t>
      </w:r>
      <w:r w:rsidR="00646C19" w:rsidRPr="00646C19">
        <w:tab/>
      </w:r>
      <w:r w:rsidRPr="00646C19">
        <w:t xml:space="preserve">предоставление </w:t>
      </w:r>
      <w:r w:rsidR="00646C19" w:rsidRPr="00646C19">
        <w:t>судебной защиты согласно обычной процедуре а</w:t>
      </w:r>
      <w:r w:rsidR="00646C19" w:rsidRPr="00646C19">
        <w:t>м</w:t>
      </w:r>
      <w:r w:rsidR="00646C19" w:rsidRPr="00646C19">
        <w:t>паро: любой гражданин может добиваться в обычных судах защиты свобод и прав, признаваемых статьей</w:t>
      </w:r>
      <w:r w:rsidR="005507FC">
        <w:t xml:space="preserve"> </w:t>
      </w:r>
      <w:r w:rsidR="00646C19" w:rsidRPr="00646C19">
        <w:t>14 и частью</w:t>
      </w:r>
      <w:r w:rsidR="005507FC">
        <w:t xml:space="preserve"> </w:t>
      </w:r>
      <w:r w:rsidR="00646C19" w:rsidRPr="00646C19">
        <w:t>1 главы</w:t>
      </w:r>
      <w:r w:rsidR="005507FC">
        <w:t xml:space="preserve"> </w:t>
      </w:r>
      <w:r w:rsidR="00646C19" w:rsidRPr="00646C19">
        <w:t>II.</w:t>
      </w:r>
    </w:p>
    <w:p w:rsidR="00646C19" w:rsidRPr="00646C19" w:rsidRDefault="00646C19" w:rsidP="00646C19">
      <w:pPr>
        <w:pStyle w:val="SingleTxtGR"/>
      </w:pPr>
      <w:r w:rsidRPr="00646C19">
        <w:t>137.</w:t>
      </w:r>
      <w:r w:rsidRPr="00646C19">
        <w:tab/>
        <w:t>Изначально процедура такой защиты была определена Зак</w:t>
      </w:r>
      <w:r w:rsidRPr="00646C19">
        <w:t>о</w:t>
      </w:r>
      <w:r w:rsidRPr="00646C19">
        <w:t>ном</w:t>
      </w:r>
      <w:r w:rsidR="00121966">
        <w:t> </w:t>
      </w:r>
      <w:r w:rsidRPr="00646C19">
        <w:t>№</w:t>
      </w:r>
      <w:r w:rsidR="00121966">
        <w:t> </w:t>
      </w:r>
      <w:r w:rsidRPr="00646C19">
        <w:t>62/1978 от 26</w:t>
      </w:r>
      <w:r w:rsidR="005507FC">
        <w:t xml:space="preserve"> </w:t>
      </w:r>
      <w:r w:rsidRPr="00646C19">
        <w:t>декабря 1978</w:t>
      </w:r>
      <w:r w:rsidR="005507FC">
        <w:t xml:space="preserve"> </w:t>
      </w:r>
      <w:r w:rsidRPr="00646C19">
        <w:t>года о судебной защите основных прав ли</w:t>
      </w:r>
      <w:r w:rsidRPr="00646C19">
        <w:t>ч</w:t>
      </w:r>
      <w:r w:rsidRPr="00646C19">
        <w:t>ности. Однако Закон</w:t>
      </w:r>
      <w:r w:rsidR="005507FC">
        <w:t xml:space="preserve"> </w:t>
      </w:r>
      <w:r w:rsidRPr="00646C19">
        <w:t>№</w:t>
      </w:r>
      <w:r w:rsidR="005507FC">
        <w:t xml:space="preserve"> </w:t>
      </w:r>
      <w:r w:rsidRPr="00646C19">
        <w:t>62/1978 был доконституционным законом, и поэтому даже с учетом того, что Органический закон о Конституционном суде в части</w:t>
      </w:r>
      <w:r w:rsidR="005507FC">
        <w:t xml:space="preserve"> </w:t>
      </w:r>
      <w:r w:rsidRPr="00646C19">
        <w:t>2 своего второго переходного положения оставлял его в силе до тех пор, пока не будут развиты положения пункта</w:t>
      </w:r>
      <w:r w:rsidR="005507FC">
        <w:t xml:space="preserve"> </w:t>
      </w:r>
      <w:r w:rsidRPr="00646C19">
        <w:t>2 статьи</w:t>
      </w:r>
      <w:r w:rsidR="005507FC">
        <w:t xml:space="preserve"> </w:t>
      </w:r>
      <w:r w:rsidRPr="00646C19">
        <w:t>53 Конституции, испанские проце</w:t>
      </w:r>
      <w:r w:rsidRPr="00646C19">
        <w:t>с</w:t>
      </w:r>
      <w:r w:rsidRPr="00646C19">
        <w:t>суальные законы предусмотрели специальные процедуры для защиты основных прав в каждой сфере судебной юрисдикции (гражданской, уголовной, админ</w:t>
      </w:r>
      <w:r w:rsidRPr="00646C19">
        <w:t>и</w:t>
      </w:r>
      <w:r w:rsidRPr="00646C19">
        <w:t>стративной, трудовой сферах), что предполагало прекращение действия упом</w:t>
      </w:r>
      <w:r w:rsidRPr="00646C19">
        <w:t>я</w:t>
      </w:r>
      <w:r w:rsidRPr="00646C19">
        <w:t>нутого закона посредством либо внесения изменений в действующие законы, как в случае Закона об уголовном судопроизводстве, либо принятия новых з</w:t>
      </w:r>
      <w:r w:rsidRPr="00646C19">
        <w:t>а</w:t>
      </w:r>
      <w:r w:rsidRPr="00646C19">
        <w:t>конов, как в случае Закона о судопроиз</w:t>
      </w:r>
      <w:r w:rsidR="00121966">
        <w:t>водстве по трудовым спорам (RDL </w:t>
      </w:r>
      <w:r w:rsidRPr="00646C19">
        <w:t>№</w:t>
      </w:r>
      <w:r w:rsidR="00121966">
        <w:t> </w:t>
      </w:r>
      <w:r w:rsidRPr="00646C19">
        <w:t>2/1995 от 7</w:t>
      </w:r>
      <w:r w:rsidR="005507FC">
        <w:t xml:space="preserve"> </w:t>
      </w:r>
      <w:r w:rsidRPr="00646C19">
        <w:t>апреля 1995</w:t>
      </w:r>
      <w:r w:rsidR="005507FC">
        <w:t xml:space="preserve"> </w:t>
      </w:r>
      <w:r w:rsidRPr="00646C19">
        <w:t>года), Закона</w:t>
      </w:r>
      <w:r w:rsidR="005507FC">
        <w:t xml:space="preserve"> </w:t>
      </w:r>
      <w:r w:rsidRPr="00646C19">
        <w:t>№</w:t>
      </w:r>
      <w:r w:rsidR="005507FC">
        <w:t xml:space="preserve"> </w:t>
      </w:r>
      <w:r w:rsidRPr="00646C19">
        <w:t>29/1998 (от 13</w:t>
      </w:r>
      <w:r w:rsidR="005507FC">
        <w:t xml:space="preserve"> </w:t>
      </w:r>
      <w:r w:rsidRPr="00646C19">
        <w:t>июля 1998</w:t>
      </w:r>
      <w:r w:rsidR="005507FC">
        <w:t xml:space="preserve"> </w:t>
      </w:r>
      <w:r w:rsidRPr="00646C19">
        <w:t>года) о регулировании юрисдикции по административным спорам или Зак</w:t>
      </w:r>
      <w:r w:rsidRPr="00646C19">
        <w:t>о</w:t>
      </w:r>
      <w:r w:rsidRPr="00646C19">
        <w:t>на</w:t>
      </w:r>
      <w:r w:rsidR="00121966">
        <w:t> </w:t>
      </w:r>
      <w:r w:rsidRPr="00646C19">
        <w:t>№</w:t>
      </w:r>
      <w:r w:rsidR="00121966">
        <w:t> </w:t>
      </w:r>
      <w:r w:rsidRPr="00646C19">
        <w:t>1/2000 (от 7</w:t>
      </w:r>
      <w:r w:rsidR="005507FC">
        <w:t xml:space="preserve"> </w:t>
      </w:r>
      <w:r w:rsidRPr="00646C19">
        <w:t>января 2000</w:t>
      </w:r>
      <w:r w:rsidR="005507FC">
        <w:t xml:space="preserve"> </w:t>
      </w:r>
      <w:r w:rsidRPr="00646C19">
        <w:t>года) о гражданском судопроизводстве.</w:t>
      </w:r>
    </w:p>
    <w:p w:rsidR="00646C19" w:rsidRPr="00646C19" w:rsidRDefault="00646C19" w:rsidP="00646C19">
      <w:pPr>
        <w:pStyle w:val="SingleTxtGR"/>
      </w:pPr>
      <w:r w:rsidRPr="00646C19">
        <w:t>138.</w:t>
      </w:r>
      <w:r w:rsidRPr="00646C19">
        <w:tab/>
        <w:t>С другой стороны, второе переходное положение Органического закона о Конституционном суде распространяет защиту, предусмотренную в этом з</w:t>
      </w:r>
      <w:r w:rsidRPr="00646C19">
        <w:t>а</w:t>
      </w:r>
      <w:r w:rsidRPr="00646C19">
        <w:t>коне, на все права, указанные в пункте</w:t>
      </w:r>
      <w:r w:rsidR="005507FC">
        <w:t xml:space="preserve"> </w:t>
      </w:r>
      <w:r w:rsidRPr="00646C19">
        <w:t>2 статьи</w:t>
      </w:r>
      <w:r w:rsidR="005507FC">
        <w:t xml:space="preserve"> </w:t>
      </w:r>
      <w:r w:rsidRPr="00646C19">
        <w:t>53 Конституции. Пункт</w:t>
      </w:r>
      <w:r w:rsidR="005507FC">
        <w:t xml:space="preserve"> </w:t>
      </w:r>
      <w:r w:rsidRPr="00646C19">
        <w:t>1 ст</w:t>
      </w:r>
      <w:r w:rsidRPr="00646C19">
        <w:t>а</w:t>
      </w:r>
      <w:r w:rsidRPr="00646C19">
        <w:t>тьи</w:t>
      </w:r>
      <w:r w:rsidR="00121966">
        <w:t> </w:t>
      </w:r>
      <w:r w:rsidRPr="00646C19">
        <w:t>7 Органического закона о судебной власти №</w:t>
      </w:r>
      <w:r w:rsidR="005507FC">
        <w:t xml:space="preserve"> </w:t>
      </w:r>
      <w:r w:rsidRPr="00646C19">
        <w:t>6/1985 от 1</w:t>
      </w:r>
      <w:r w:rsidR="005507FC">
        <w:t xml:space="preserve"> </w:t>
      </w:r>
      <w:r w:rsidRPr="00646C19">
        <w:t>июля 1985</w:t>
      </w:r>
      <w:r w:rsidR="005507FC">
        <w:t xml:space="preserve"> </w:t>
      </w:r>
      <w:r w:rsidRPr="00646C19">
        <w:t>года устанавливает, что все права и свободы в целом, признанные в главе</w:t>
      </w:r>
      <w:r w:rsidR="005507FC">
        <w:t xml:space="preserve"> </w:t>
      </w:r>
      <w:r w:rsidRPr="00646C19">
        <w:t>II раздела</w:t>
      </w:r>
      <w:r w:rsidR="005507FC">
        <w:t xml:space="preserve"> </w:t>
      </w:r>
      <w:r w:rsidRPr="00646C19">
        <w:t>I Конституции, имеют обязательную силу для всех судей и судов и гарантирую</w:t>
      </w:r>
      <w:r w:rsidRPr="00646C19">
        <w:t>т</w:t>
      </w:r>
      <w:r w:rsidRPr="00646C19">
        <w:t>ся посредством их эффективной судебной защиты. Соответственно, пункт</w:t>
      </w:r>
      <w:r w:rsidR="005507FC">
        <w:t xml:space="preserve"> </w:t>
      </w:r>
      <w:r w:rsidRPr="00646C19">
        <w:t>4 статьи</w:t>
      </w:r>
      <w:r w:rsidR="005507FC">
        <w:t xml:space="preserve"> </w:t>
      </w:r>
      <w:r w:rsidRPr="00646C19">
        <w:t>5 упомянутого закона предусматривает, что "во всех случаях, когда в с</w:t>
      </w:r>
      <w:r w:rsidRPr="00646C19">
        <w:t>о</w:t>
      </w:r>
      <w:r w:rsidRPr="00646C19">
        <w:t>ответствии с законом производится обжалование в порядке кассации, этого д</w:t>
      </w:r>
      <w:r w:rsidRPr="00646C19">
        <w:t>о</w:t>
      </w:r>
      <w:r w:rsidRPr="00646C19">
        <w:t>статочно для обоснования нарушения конституционной нормы".</w:t>
      </w:r>
    </w:p>
    <w:p w:rsidR="00646C19" w:rsidRPr="00646C19" w:rsidRDefault="00646C19" w:rsidP="00646C19">
      <w:pPr>
        <w:pStyle w:val="SingleTxtGR"/>
      </w:pPr>
      <w:r w:rsidRPr="00646C19">
        <w:t>139.</w:t>
      </w:r>
      <w:r w:rsidRPr="00646C19">
        <w:tab/>
        <w:t>Исчерпав судебные средства защиты, граждане могут обращаться в Ко</w:t>
      </w:r>
      <w:r w:rsidRPr="00646C19">
        <w:t>н</w:t>
      </w:r>
      <w:r w:rsidRPr="00646C19">
        <w:t>ституционный суд с ходатайством об обжаловании по процедуре ампаро (пункт</w:t>
      </w:r>
      <w:r w:rsidR="007F22C6">
        <w:t> </w:t>
      </w:r>
      <w:r w:rsidRPr="00646C19">
        <w:t>2 статьи</w:t>
      </w:r>
      <w:r w:rsidR="005507FC">
        <w:t xml:space="preserve"> </w:t>
      </w:r>
      <w:r w:rsidRPr="00646C19">
        <w:t>53 Конституции). Обжалование в Конституционном суде по процедуре ампаро регулируется подпунктом</w:t>
      </w:r>
      <w:r w:rsidR="005507FC">
        <w:t xml:space="preserve"> </w:t>
      </w:r>
      <w:r w:rsidRPr="00646C19">
        <w:t>b) пункта</w:t>
      </w:r>
      <w:r w:rsidR="005507FC">
        <w:t xml:space="preserve"> </w:t>
      </w:r>
      <w:r w:rsidRPr="00646C19">
        <w:t>1 статьи</w:t>
      </w:r>
      <w:r w:rsidR="005507FC">
        <w:t xml:space="preserve"> </w:t>
      </w:r>
      <w:r w:rsidRPr="00646C19">
        <w:t>161 и подпун</w:t>
      </w:r>
      <w:r w:rsidRPr="00646C19">
        <w:t>к</w:t>
      </w:r>
      <w:r w:rsidRPr="00646C19">
        <w:t>том</w:t>
      </w:r>
      <w:r w:rsidR="005507FC">
        <w:t xml:space="preserve"> </w:t>
      </w:r>
      <w:r w:rsidRPr="00646C19">
        <w:t>b) пункта</w:t>
      </w:r>
      <w:r w:rsidR="005507FC">
        <w:t xml:space="preserve"> </w:t>
      </w:r>
      <w:r w:rsidRPr="00646C19">
        <w:t>1 статьи</w:t>
      </w:r>
      <w:r w:rsidR="005507FC">
        <w:t xml:space="preserve"> </w:t>
      </w:r>
      <w:r w:rsidRPr="00646C19">
        <w:t>162 Конституции, а также статьями</w:t>
      </w:r>
      <w:r w:rsidR="005507FC">
        <w:t xml:space="preserve"> </w:t>
      </w:r>
      <w:r w:rsidRPr="00646C19">
        <w:t>41−58 Органическ</w:t>
      </w:r>
      <w:r w:rsidRPr="00646C19">
        <w:t>о</w:t>
      </w:r>
      <w:r w:rsidRPr="00646C19">
        <w:t>го закона о Конституционном суде, который в пункте</w:t>
      </w:r>
      <w:r w:rsidR="005507FC">
        <w:t xml:space="preserve"> </w:t>
      </w:r>
      <w:r w:rsidRPr="00646C19">
        <w:t>1 статьи</w:t>
      </w:r>
      <w:r w:rsidR="005507FC">
        <w:t xml:space="preserve"> </w:t>
      </w:r>
      <w:r w:rsidRPr="00646C19">
        <w:t>41 устанавливает, что права и свободы, признанные в статьях</w:t>
      </w:r>
      <w:r w:rsidR="005507FC">
        <w:t xml:space="preserve"> </w:t>
      </w:r>
      <w:r w:rsidRPr="00646C19">
        <w:t>14−29, подлежат конституционной защите по процедуре ампаро в случаях и в порядке, установленных законом, без ущерба для их общей защиты, возлагаемой на суды. Эта защита применяе</w:t>
      </w:r>
      <w:r w:rsidRPr="00646C19">
        <w:t>т</w:t>
      </w:r>
      <w:r w:rsidRPr="00646C19">
        <w:t>ся также к отказу от несения военной службы по убеждениям или по другим причинам, предусмотренному в статье</w:t>
      </w:r>
      <w:r w:rsidR="005507FC">
        <w:t xml:space="preserve"> </w:t>
      </w:r>
      <w:r w:rsidRPr="00646C19">
        <w:t>30 Конституции. Для обращения в Ко</w:t>
      </w:r>
      <w:r w:rsidRPr="00646C19">
        <w:t>н</w:t>
      </w:r>
      <w:r w:rsidRPr="00646C19">
        <w:t>ституционный суд с ходатайством по процедуре ампаро необходимо предвар</w:t>
      </w:r>
      <w:r w:rsidRPr="00646C19">
        <w:t>и</w:t>
      </w:r>
      <w:r w:rsidRPr="00646C19">
        <w:t>тельно исчерпать судебные средства защиты (согласно постановлениям Конст</w:t>
      </w:r>
      <w:r w:rsidRPr="00646C19">
        <w:t>и</w:t>
      </w:r>
      <w:r w:rsidRPr="00646C19">
        <w:t>туционного суда, в частности №</w:t>
      </w:r>
      <w:r w:rsidR="005507FC">
        <w:t xml:space="preserve"> </w:t>
      </w:r>
      <w:r w:rsidRPr="00646C19">
        <w:t>73/1982, 29/1983 и 30/1984). В связи с этим необходимо упомянуть об изменении, внесенном Органическим зак</w:t>
      </w:r>
      <w:r w:rsidRPr="00646C19">
        <w:t>о</w:t>
      </w:r>
      <w:r w:rsidRPr="00646C19">
        <w:t>ном</w:t>
      </w:r>
      <w:r w:rsidR="007F22C6">
        <w:t> </w:t>
      </w:r>
      <w:r w:rsidRPr="00646C19">
        <w:t>№</w:t>
      </w:r>
      <w:r w:rsidR="007F22C6">
        <w:t> </w:t>
      </w:r>
      <w:r w:rsidRPr="00646C19">
        <w:t>6/2007 от 24</w:t>
      </w:r>
      <w:r w:rsidR="005507FC">
        <w:t xml:space="preserve"> </w:t>
      </w:r>
      <w:r w:rsidRPr="00646C19">
        <w:t>мая 2007</w:t>
      </w:r>
      <w:r w:rsidR="005507FC">
        <w:t xml:space="preserve"> </w:t>
      </w:r>
      <w:r w:rsidRPr="00646C19">
        <w:t>года в статью</w:t>
      </w:r>
      <w:r w:rsidR="005507FC">
        <w:t xml:space="preserve"> </w:t>
      </w:r>
      <w:r w:rsidRPr="00646C19">
        <w:t>241 Органического закона</w:t>
      </w:r>
      <w:r w:rsidR="005507FC">
        <w:t xml:space="preserve"> </w:t>
      </w:r>
      <w:r w:rsidRPr="00646C19">
        <w:t>№</w:t>
      </w:r>
      <w:r w:rsidR="005507FC">
        <w:t xml:space="preserve"> </w:t>
      </w:r>
      <w:r w:rsidRPr="00646C19">
        <w:t>6/1985 (от</w:t>
      </w:r>
      <w:r w:rsidR="005507FC">
        <w:t xml:space="preserve"> </w:t>
      </w:r>
      <w:r w:rsidRPr="00646C19">
        <w:t>1</w:t>
      </w:r>
      <w:r w:rsidR="005507FC">
        <w:t xml:space="preserve"> </w:t>
      </w:r>
      <w:r w:rsidRPr="00646C19">
        <w:t>июля 1985</w:t>
      </w:r>
      <w:r w:rsidR="005507FC">
        <w:t xml:space="preserve"> </w:t>
      </w:r>
      <w:r w:rsidRPr="00646C19">
        <w:t>года) о судебной власти и касающемся требования о том, что в случаях предполагаемых нарушений основных прав, упомянутых в пункте</w:t>
      </w:r>
      <w:r w:rsidR="005507FC">
        <w:t xml:space="preserve"> </w:t>
      </w:r>
      <w:r w:rsidRPr="00646C19">
        <w:t>2 статьи</w:t>
      </w:r>
      <w:r w:rsidR="005507FC">
        <w:t xml:space="preserve"> </w:t>
      </w:r>
      <w:r w:rsidRPr="00646C19">
        <w:t>53 Конституции, необходимо прежде всего требовать в обычных судах отмены неправомерных актов и обращаться за конституционной защитой по процедуре ампаро лишь в том случае, если ранее было невозможно добиться вынесения постановления, прекращающего это нарушение.</w:t>
      </w:r>
    </w:p>
    <w:p w:rsidR="00646C19" w:rsidRPr="00646C19" w:rsidRDefault="00646C19" w:rsidP="00646C19">
      <w:pPr>
        <w:pStyle w:val="SingleTxtGR"/>
      </w:pPr>
      <w:r w:rsidRPr="00646C19">
        <w:t>140.</w:t>
      </w:r>
      <w:r w:rsidRPr="00646C19">
        <w:tab/>
        <w:t>В отношении правомочности представлять заявление о конституционной защите по процедуре ампаро следует отметить, что на это имеет право лицо, непосредственно затрагиваемое соответствующим положением или админ</w:t>
      </w:r>
      <w:r w:rsidRPr="00646C19">
        <w:t>и</w:t>
      </w:r>
      <w:r w:rsidRPr="00646C19">
        <w:t>стративным актом и являвшееся стороной судебного разбирательства, а также Народный защитник и Прокуратура, при этом сторона, заявляющая ходата</w:t>
      </w:r>
      <w:r w:rsidRPr="00646C19">
        <w:t>й</w:t>
      </w:r>
      <w:r w:rsidRPr="00646C19">
        <w:t>ство, обязательно является стороной разбирательства по процедуре ампаро (подпункты</w:t>
      </w:r>
      <w:r w:rsidR="005507FC">
        <w:t xml:space="preserve"> </w:t>
      </w:r>
      <w:r w:rsidRPr="00646C19">
        <w:t>а) и b) пункта</w:t>
      </w:r>
      <w:r w:rsidR="005507FC">
        <w:t xml:space="preserve"> </w:t>
      </w:r>
      <w:r w:rsidRPr="00646C19">
        <w:t>1 статьи</w:t>
      </w:r>
      <w:r w:rsidR="005507FC">
        <w:t xml:space="preserve"> </w:t>
      </w:r>
      <w:r w:rsidRPr="00646C19">
        <w:t>46 и пункт</w:t>
      </w:r>
      <w:r w:rsidR="005507FC">
        <w:t xml:space="preserve"> </w:t>
      </w:r>
      <w:r w:rsidRPr="00646C19">
        <w:t>2 статьи</w:t>
      </w:r>
      <w:r w:rsidR="005507FC">
        <w:t xml:space="preserve"> </w:t>
      </w:r>
      <w:r w:rsidRPr="00646C19">
        <w:t>47 Органического закона о Конституционном суде). В статье</w:t>
      </w:r>
      <w:r w:rsidR="005507FC">
        <w:t xml:space="preserve"> </w:t>
      </w:r>
      <w:r w:rsidRPr="00646C19">
        <w:t>54 Конституции Народный защитник опр</w:t>
      </w:r>
      <w:r w:rsidRPr="00646C19">
        <w:t>е</w:t>
      </w:r>
      <w:r w:rsidRPr="00646C19">
        <w:t>деляется как "высший уполномоченный Генеральными кортесами" для защиты прав, предусмотренных в разделе</w:t>
      </w:r>
      <w:r w:rsidR="005507FC">
        <w:t xml:space="preserve"> </w:t>
      </w:r>
      <w:r w:rsidRPr="00646C19">
        <w:t>I Конституции, который в этих целях прав</w:t>
      </w:r>
      <w:r w:rsidRPr="00646C19">
        <w:t>о</w:t>
      </w:r>
      <w:r w:rsidRPr="00646C19">
        <w:t>мочен осуществлять надзор за деятельностью государственных органов власти и подотчетен Генеральным кортесам". Помимо этой функции по контролю за деятельностью государственных органов Народный защитник в качестве з</w:t>
      </w:r>
      <w:r w:rsidRPr="00646C19">
        <w:t>а</w:t>
      </w:r>
      <w:r w:rsidRPr="00646C19">
        <w:t>щитника личных прав правомочен подавать жалобу по процедуре ампаро для защиты личных прав (статья</w:t>
      </w:r>
      <w:r w:rsidR="005507FC">
        <w:t xml:space="preserve"> </w:t>
      </w:r>
      <w:r w:rsidRPr="00646C19">
        <w:t>162 Конституции и статья</w:t>
      </w:r>
      <w:r w:rsidR="005507FC">
        <w:t xml:space="preserve"> </w:t>
      </w:r>
      <w:r w:rsidRPr="00646C19">
        <w:t>46 Органического зак</w:t>
      </w:r>
      <w:r w:rsidRPr="00646C19">
        <w:t>о</w:t>
      </w:r>
      <w:r w:rsidRPr="00646C19">
        <w:t>на о Конституционном суде). Его полномочия включают также координацию деятельности аналогичных институтов, параллельно существующих в автоно</w:t>
      </w:r>
      <w:r w:rsidRPr="00646C19">
        <w:t>м</w:t>
      </w:r>
      <w:r w:rsidRPr="00646C19">
        <w:t>ных сообществах ("синдикс дес греужес" в Каталонии, Валенсийском сообщ</w:t>
      </w:r>
      <w:r w:rsidRPr="00646C19">
        <w:t>е</w:t>
      </w:r>
      <w:r w:rsidRPr="00646C19">
        <w:t>стве и на Балеарских островах, "народный защитник" в Андалусии, Кастилье-Ла-Манче и Наварре, "арартеко" в Стране Басков, "баледор до побо" в Галисии, "дипутадо дель комун" на Канарских островах, "хустисия майор" в Арагоне, "прокурадор дель комун" в Кастилье-и-Леоне). Этот институт продемонстрир</w:t>
      </w:r>
      <w:r w:rsidRPr="00646C19">
        <w:t>о</w:t>
      </w:r>
      <w:r w:rsidRPr="00646C19">
        <w:t>вал высокую эффективность в защите прав</w:t>
      </w:r>
      <w:r w:rsidR="005507FC">
        <w:t xml:space="preserve"> </w:t>
      </w:r>
      <w:r w:rsidRPr="00646C19">
        <w:t xml:space="preserve">человека, о чем свидетельствует большое число рассматриваемых им жалоб. </w:t>
      </w:r>
    </w:p>
    <w:p w:rsidR="00646C19" w:rsidRPr="00646C19" w:rsidRDefault="00646C19" w:rsidP="00646C19">
      <w:pPr>
        <w:pStyle w:val="SingleTxtGR"/>
      </w:pPr>
      <w:r w:rsidRPr="00646C19">
        <w:t>141.</w:t>
      </w:r>
      <w:r w:rsidRPr="00646C19">
        <w:tab/>
        <w:t>В испанской правовой системе Прокуратура выступает гарантом законн</w:t>
      </w:r>
      <w:r w:rsidRPr="00646C19">
        <w:t>о</w:t>
      </w:r>
      <w:r w:rsidRPr="00646C19">
        <w:t>сти согласно определению, содержащемуся в статье 124 Конституции Испании и гласящему, что прокуратура "имеет своей задачей способствовать отправл</w:t>
      </w:r>
      <w:r w:rsidRPr="00646C19">
        <w:t>е</w:t>
      </w:r>
      <w:r w:rsidRPr="00646C19">
        <w:t>нию правосудия в целях защиты законности, прав граждан и общественных и</w:t>
      </w:r>
      <w:r w:rsidRPr="00646C19">
        <w:t>н</w:t>
      </w:r>
      <w:r w:rsidRPr="00646C19">
        <w:t>тересов, охраняемых законом, в силу своих обязанностей или же по ходатайству заинтересованных лиц, а также следить за независимостью судов и соблюден</w:t>
      </w:r>
      <w:r w:rsidRPr="00646C19">
        <w:t>и</w:t>
      </w:r>
      <w:r w:rsidRPr="00646C19">
        <w:t>ем в них общественного интереса", осуществляя свою деятельность "через со</w:t>
      </w:r>
      <w:r w:rsidRPr="00646C19">
        <w:t>б</w:t>
      </w:r>
      <w:r w:rsidRPr="00646C19">
        <w:t>ственные органы в соответствии с принципами единства действий и иерархич</w:t>
      </w:r>
      <w:r w:rsidRPr="00646C19">
        <w:t>е</w:t>
      </w:r>
      <w:r w:rsidRPr="00646C19">
        <w:t>ской соподчиненности, всегда придерживаясь законности и беспристрастн</w:t>
      </w:r>
      <w:r w:rsidRPr="00646C19">
        <w:t>о</w:t>
      </w:r>
      <w:r w:rsidRPr="00646C19">
        <w:t>сти". Эти полномочия подробно изложены в ее Органическом уставе (утве</w:t>
      </w:r>
      <w:r w:rsidRPr="00646C19">
        <w:t>р</w:t>
      </w:r>
      <w:r w:rsidRPr="00646C19">
        <w:t>жденном Законом</w:t>
      </w:r>
      <w:r w:rsidR="005507FC">
        <w:t xml:space="preserve"> </w:t>
      </w:r>
      <w:r w:rsidRPr="00646C19">
        <w:t>№</w:t>
      </w:r>
      <w:r w:rsidR="005507FC">
        <w:t xml:space="preserve"> </w:t>
      </w:r>
      <w:r w:rsidRPr="00646C19">
        <w:t>50/1981 от 30</w:t>
      </w:r>
      <w:r w:rsidR="005507FC">
        <w:t xml:space="preserve"> </w:t>
      </w:r>
      <w:r w:rsidRPr="00646C19">
        <w:t>декабря 1981</w:t>
      </w:r>
      <w:r w:rsidR="005507FC">
        <w:t xml:space="preserve"> </w:t>
      </w:r>
      <w:r w:rsidRPr="00646C19">
        <w:t>года, последние существенные изменения в который были внесены Законом</w:t>
      </w:r>
      <w:r w:rsidR="005507FC">
        <w:t xml:space="preserve"> </w:t>
      </w:r>
      <w:r w:rsidRPr="00646C19">
        <w:t>№</w:t>
      </w:r>
      <w:r w:rsidR="005507FC">
        <w:t xml:space="preserve"> </w:t>
      </w:r>
      <w:r w:rsidRPr="00646C19">
        <w:t>24/2007 от 9</w:t>
      </w:r>
      <w:r w:rsidR="005507FC">
        <w:t xml:space="preserve"> </w:t>
      </w:r>
      <w:r w:rsidRPr="00646C19">
        <w:t>октября 2007</w:t>
      </w:r>
      <w:r w:rsidR="005507FC">
        <w:t xml:space="preserve"> </w:t>
      </w:r>
      <w:r w:rsidRPr="00646C19">
        <w:t>года), статья</w:t>
      </w:r>
      <w:r w:rsidR="005507FC">
        <w:t xml:space="preserve"> </w:t>
      </w:r>
      <w:r w:rsidRPr="00646C19">
        <w:t>3 которого предписывает:</w:t>
      </w:r>
    </w:p>
    <w:p w:rsidR="00646C19" w:rsidRPr="00646C19" w:rsidRDefault="00646C19" w:rsidP="007F22C6">
      <w:pPr>
        <w:pStyle w:val="Bullet1GR"/>
      </w:pPr>
      <w:r w:rsidRPr="00646C19">
        <w:t>пункт 3: следить за соблюдением принципов деятельности конституц</w:t>
      </w:r>
      <w:r w:rsidRPr="00646C19">
        <w:t>и</w:t>
      </w:r>
      <w:r w:rsidRPr="00646C19">
        <w:t>онных институтов и основных прав и публичных свобод, предпринимая любые действия, которые требуются для их защиты;</w:t>
      </w:r>
    </w:p>
    <w:p w:rsidR="00646C19" w:rsidRPr="00646C19" w:rsidRDefault="00646C19" w:rsidP="007F22C6">
      <w:pPr>
        <w:pStyle w:val="Bullet1GR"/>
      </w:pPr>
      <w:r w:rsidRPr="00646C19">
        <w:t>пункт 11: принимать участие в судебных разбирательствах по процедуре ампаро, а также по вопросам неконституционности в тех случаях и в том порядке, как это предусмотрено Органическим законом о Конституцио</w:t>
      </w:r>
      <w:r w:rsidRPr="00646C19">
        <w:t>н</w:t>
      </w:r>
      <w:r w:rsidRPr="00646C19">
        <w:t>ном суде;</w:t>
      </w:r>
    </w:p>
    <w:p w:rsidR="00646C19" w:rsidRPr="00646C19" w:rsidRDefault="00646C19" w:rsidP="007F22C6">
      <w:pPr>
        <w:pStyle w:val="Bullet1GR"/>
      </w:pPr>
      <w:r w:rsidRPr="00646C19">
        <w:t>пункт 12: принимать участие в рассмотрении ходатайств о конституцио</w:t>
      </w:r>
      <w:r w:rsidRPr="00646C19">
        <w:t>н</w:t>
      </w:r>
      <w:r w:rsidRPr="00646C19">
        <w:t>ной защите по процедуре ампаро, а также участвовать в разбирател</w:t>
      </w:r>
      <w:r w:rsidRPr="00646C19">
        <w:t>ь</w:t>
      </w:r>
      <w:r w:rsidRPr="00646C19">
        <w:t>ствах, проводимых Конституционным судом для защиты законности в той форме, которую устанавливают законы (эта функция осуществляется в соответствии со статьей</w:t>
      </w:r>
      <w:r w:rsidR="005507FC">
        <w:t xml:space="preserve"> </w:t>
      </w:r>
      <w:r w:rsidRPr="00646C19">
        <w:t>46 Органического закона</w:t>
      </w:r>
      <w:r w:rsidR="005507FC">
        <w:t xml:space="preserve"> </w:t>
      </w:r>
      <w:r w:rsidRPr="00646C19">
        <w:t>№</w:t>
      </w:r>
      <w:r w:rsidR="005507FC">
        <w:t xml:space="preserve"> </w:t>
      </w:r>
      <w:r w:rsidRPr="00646C19">
        <w:t>2/1979 (от 3</w:t>
      </w:r>
      <w:r w:rsidR="005507FC">
        <w:t xml:space="preserve"> </w:t>
      </w:r>
      <w:r w:rsidRPr="00646C19">
        <w:t>октября 1979</w:t>
      </w:r>
      <w:r w:rsidR="005507FC">
        <w:t xml:space="preserve"> </w:t>
      </w:r>
      <w:r w:rsidRPr="00646C19">
        <w:t>года) о Конституционном суде и совместно с лицами, правомочными возбуждать ходатайство о конституционной защите по процедуре ампаро в случаях, специально оговоренных в статьях</w:t>
      </w:r>
      <w:r w:rsidR="005507FC">
        <w:t xml:space="preserve"> </w:t>
      </w:r>
      <w:r w:rsidRPr="00646C19">
        <w:t xml:space="preserve">42−45 данного Закона). </w:t>
      </w:r>
    </w:p>
    <w:p w:rsidR="00646C19" w:rsidRPr="00646C19" w:rsidRDefault="00646C19" w:rsidP="00646C19">
      <w:pPr>
        <w:pStyle w:val="SingleTxtGR"/>
      </w:pPr>
      <w:r w:rsidRPr="00646C19">
        <w:t>142.</w:t>
      </w:r>
      <w:r w:rsidRPr="00646C19">
        <w:tab/>
        <w:t>Парламентская комиссия. На основании Регламента Конгресса депутатов от 10</w:t>
      </w:r>
      <w:r w:rsidR="005507FC">
        <w:t xml:space="preserve"> </w:t>
      </w:r>
      <w:r w:rsidRPr="00646C19">
        <w:t>февраля 1982</w:t>
      </w:r>
      <w:r w:rsidR="005507FC">
        <w:t xml:space="preserve"> </w:t>
      </w:r>
      <w:r w:rsidRPr="00646C19">
        <w:t>года (статьи</w:t>
      </w:r>
      <w:r w:rsidR="005507FC">
        <w:t xml:space="preserve"> </w:t>
      </w:r>
      <w:r w:rsidRPr="00646C19">
        <w:t>40−53) устанавливаются полномочия Постоя</w:t>
      </w:r>
      <w:r w:rsidRPr="00646C19">
        <w:t>н</w:t>
      </w:r>
      <w:r w:rsidRPr="00646C19">
        <w:t>ной конституционной комиссии и Постоянной комиссии по петициям, которой поручено рассмотрение индивидуальных и коллективных петиций, направля</w:t>
      </w:r>
      <w:r w:rsidRPr="00646C19">
        <w:t>е</w:t>
      </w:r>
      <w:r w:rsidRPr="00646C19">
        <w:t>мых в Конгресс, и которая может препровождать эти петиции: a)</w:t>
      </w:r>
      <w:r w:rsidR="00D86313">
        <w:t> </w:t>
      </w:r>
      <w:r w:rsidRPr="00646C19">
        <w:t>Народному защитнику; b)</w:t>
      </w:r>
      <w:r w:rsidR="00D86313">
        <w:t> </w:t>
      </w:r>
      <w:r w:rsidRPr="00646C19">
        <w:t>комиссии Конгресса, изучающей вопрос, о котором идет речь; и c)</w:t>
      </w:r>
      <w:r w:rsidR="00D86313">
        <w:t> </w:t>
      </w:r>
      <w:r w:rsidRPr="00646C19">
        <w:t>Сенату, правительству, судам, Прокуратуре или соответствующему органу государственной власти. Регламент Сената от 26</w:t>
      </w:r>
      <w:r w:rsidR="005507FC">
        <w:t xml:space="preserve"> </w:t>
      </w:r>
      <w:r w:rsidRPr="00646C19">
        <w:t>мая 1982</w:t>
      </w:r>
      <w:r w:rsidR="005507FC">
        <w:t xml:space="preserve"> </w:t>
      </w:r>
      <w:r w:rsidRPr="00646C19">
        <w:t>года также пред</w:t>
      </w:r>
      <w:r w:rsidRPr="00646C19">
        <w:t>у</w:t>
      </w:r>
      <w:r w:rsidRPr="00646C19">
        <w:t>сматривает учреждение комиссий, на которые возлагаются задачи по поощр</w:t>
      </w:r>
      <w:r w:rsidRPr="00646C19">
        <w:t>е</w:t>
      </w:r>
      <w:r w:rsidRPr="00646C19">
        <w:t>нию и защите прав</w:t>
      </w:r>
      <w:r w:rsidR="005507FC">
        <w:t xml:space="preserve"> </w:t>
      </w:r>
      <w:r w:rsidRPr="00646C19">
        <w:t>человека статьи</w:t>
      </w:r>
      <w:r w:rsidR="005507FC">
        <w:t xml:space="preserve"> </w:t>
      </w:r>
      <w:r w:rsidRPr="00646C19">
        <w:t>49−68).</w:t>
      </w:r>
    </w:p>
    <w:p w:rsidR="00646C19" w:rsidRPr="00646C19" w:rsidRDefault="00646C19" w:rsidP="00646C19">
      <w:pPr>
        <w:pStyle w:val="SingleTxtGR"/>
      </w:pPr>
      <w:r w:rsidRPr="00646C19">
        <w:t>143.</w:t>
      </w:r>
      <w:r w:rsidRPr="00646C19">
        <w:tab/>
        <w:t>Соблюдение прав</w:t>
      </w:r>
      <w:r w:rsidR="005507FC">
        <w:t xml:space="preserve"> </w:t>
      </w:r>
      <w:r w:rsidRPr="00646C19">
        <w:t>человека в Испании обеспечивается также пунктом</w:t>
      </w:r>
      <w:r w:rsidR="005507FC">
        <w:t xml:space="preserve"> </w:t>
      </w:r>
      <w:r w:rsidRPr="00646C19">
        <w:t>2 статьи</w:t>
      </w:r>
      <w:r w:rsidR="005507FC">
        <w:t xml:space="preserve"> </w:t>
      </w:r>
      <w:r w:rsidRPr="00646C19">
        <w:t>10 Конституции, согласно которого "нормы, связанные с основными правами и обязанностями, закрепленные Конституцией, соответствуют Всео</w:t>
      </w:r>
      <w:r w:rsidRPr="00646C19">
        <w:t>б</w:t>
      </w:r>
      <w:r w:rsidRPr="00646C19">
        <w:t>щей декларации прав</w:t>
      </w:r>
      <w:r w:rsidR="005507FC">
        <w:t xml:space="preserve"> </w:t>
      </w:r>
      <w:r w:rsidRPr="00646C19">
        <w:t>человека, международным договорам и соглашениям по этим вопросам, ратифицированным Испанией".</w:t>
      </w:r>
    </w:p>
    <w:p w:rsidR="00646C19" w:rsidRPr="00646C19" w:rsidRDefault="00646C19" w:rsidP="00646C19">
      <w:pPr>
        <w:pStyle w:val="SingleTxtGR"/>
      </w:pPr>
      <w:r w:rsidRPr="00646C19">
        <w:t>144.</w:t>
      </w:r>
      <w:r w:rsidRPr="00646C19">
        <w:tab/>
        <w:t>Важность обжалования по процедуре ампаро и его весьма высокая э</w:t>
      </w:r>
      <w:r w:rsidRPr="00646C19">
        <w:t>ф</w:t>
      </w:r>
      <w:r w:rsidRPr="00646C19">
        <w:t>фективность в защите основных прав привела к тому, что суды столкнулись с чрезмерно частым применением этого средства правовой защиты. Резкое ув</w:t>
      </w:r>
      <w:r w:rsidRPr="00646C19">
        <w:t>е</w:t>
      </w:r>
      <w:r w:rsidRPr="00646C19">
        <w:t>личение количества жалоб по процедуре ампаро, многие из которых оказались необоснованными, угрожало парализовать или по меньшей мере замедлить р</w:t>
      </w:r>
      <w:r w:rsidRPr="00646C19">
        <w:t>а</w:t>
      </w:r>
      <w:r w:rsidRPr="00646C19">
        <w:t>боту Конституционного суда. Ввиду этого 9</w:t>
      </w:r>
      <w:r w:rsidR="005507FC">
        <w:t xml:space="preserve"> </w:t>
      </w:r>
      <w:r w:rsidRPr="00646C19">
        <w:t>июня 1988</w:t>
      </w:r>
      <w:r w:rsidR="005507FC">
        <w:t xml:space="preserve"> </w:t>
      </w:r>
      <w:r w:rsidRPr="00646C19">
        <w:t>года был принят Орг</w:t>
      </w:r>
      <w:r w:rsidRPr="00646C19">
        <w:t>а</w:t>
      </w:r>
      <w:r w:rsidRPr="00646C19">
        <w:t>нический закон</w:t>
      </w:r>
      <w:r w:rsidR="005507FC">
        <w:t xml:space="preserve"> </w:t>
      </w:r>
      <w:r w:rsidRPr="00646C19">
        <w:t>№</w:t>
      </w:r>
      <w:r w:rsidR="005507FC">
        <w:t xml:space="preserve"> </w:t>
      </w:r>
      <w:r w:rsidRPr="00646C19">
        <w:t>6/1988, содержавший новую редакцию статьи</w:t>
      </w:r>
      <w:r w:rsidR="005507FC">
        <w:t xml:space="preserve"> </w:t>
      </w:r>
      <w:r w:rsidRPr="00646C19">
        <w:t>50 Органич</w:t>
      </w:r>
      <w:r w:rsidRPr="00646C19">
        <w:t>е</w:t>
      </w:r>
      <w:r w:rsidRPr="00646C19">
        <w:t>ского закона о Конституционном суде, которая позволяет признавать неприе</w:t>
      </w:r>
      <w:r w:rsidRPr="00646C19">
        <w:t>м</w:t>
      </w:r>
      <w:r w:rsidRPr="00646C19">
        <w:t>лемыми необоснованные жалобы по процедуре ампаро единогласным решен</w:t>
      </w:r>
      <w:r w:rsidRPr="00646C19">
        <w:t>и</w:t>
      </w:r>
      <w:r w:rsidRPr="00646C19">
        <w:t>ем секций в составе трех магистратов. Несмотря на эту реформу, количество жалоб по процедуре ампаро продолжало увеличиваться, достигнув в 2008</w:t>
      </w:r>
      <w:r w:rsidR="005507FC">
        <w:t xml:space="preserve"> </w:t>
      </w:r>
      <w:r w:rsidRPr="00646C19">
        <w:t>году 10</w:t>
      </w:r>
      <w:r w:rsidR="005507FC">
        <w:t xml:space="preserve"> </w:t>
      </w:r>
      <w:r w:rsidRPr="00646C19">
        <w:t>410</w:t>
      </w:r>
      <w:r w:rsidR="005507FC">
        <w:t xml:space="preserve"> </w:t>
      </w:r>
      <w:r w:rsidRPr="00646C19">
        <w:t>дел, что означало годовой рост в 22</w:t>
      </w:r>
      <w:r w:rsidR="005507FC">
        <w:t>%</w:t>
      </w:r>
      <w:r w:rsidRPr="00646C19">
        <w:t>.</w:t>
      </w:r>
    </w:p>
    <w:p w:rsidR="00646C19" w:rsidRPr="00646C19" w:rsidRDefault="00646C19" w:rsidP="00646C19">
      <w:pPr>
        <w:pStyle w:val="SingleTxtGR"/>
      </w:pPr>
      <w:r w:rsidRPr="00646C19">
        <w:t>145.</w:t>
      </w:r>
      <w:r w:rsidRPr="00646C19">
        <w:tab/>
        <w:t>Данная система защиты гражданских и политических прав дополняется международной гарантией, вступающей в силу после ратификации Испанией международных договоров по защите этих прав и протоколов к ним.</w:t>
      </w:r>
    </w:p>
    <w:p w:rsidR="00646C19" w:rsidRPr="00646C19" w:rsidRDefault="00646C19" w:rsidP="00646C19">
      <w:pPr>
        <w:pStyle w:val="SingleTxtGR"/>
      </w:pPr>
      <w:r w:rsidRPr="00646C19">
        <w:t>146.</w:t>
      </w:r>
      <w:r w:rsidRPr="00646C19">
        <w:tab/>
        <w:t>Кроме того, следует упомянуть, что в системе государственного управл</w:t>
      </w:r>
      <w:r w:rsidRPr="00646C19">
        <w:t>е</w:t>
      </w:r>
      <w:r w:rsidRPr="00646C19">
        <w:t>ния Испании основным органом, занимающимся вопросами внешней политики в сфере защиты и обеспечения прав</w:t>
      </w:r>
      <w:r w:rsidR="005507FC">
        <w:t xml:space="preserve"> </w:t>
      </w:r>
      <w:r w:rsidRPr="00646C19">
        <w:t>человека, является Управление по правам</w:t>
      </w:r>
      <w:r w:rsidR="005507FC">
        <w:t xml:space="preserve"> </w:t>
      </w:r>
      <w:r w:rsidRPr="00646C19">
        <w:t>человека (УПЧ) Департамента по сотрудничеству с Организацией Объедине</w:t>
      </w:r>
      <w:r w:rsidRPr="00646C19">
        <w:t>н</w:t>
      </w:r>
      <w:r w:rsidRPr="00646C19">
        <w:t>ных Наций и правам</w:t>
      </w:r>
      <w:r w:rsidR="005507FC">
        <w:t xml:space="preserve"> </w:t>
      </w:r>
      <w:r w:rsidRPr="00646C19">
        <w:t>человека Министерства иностранных дел и сотруднич</w:t>
      </w:r>
      <w:r w:rsidRPr="00646C19">
        <w:t>е</w:t>
      </w:r>
      <w:r w:rsidRPr="00646C19">
        <w:t>ства. Этот орган был создан в 1983</w:t>
      </w:r>
      <w:r w:rsidR="005507FC">
        <w:t xml:space="preserve"> </w:t>
      </w:r>
      <w:r w:rsidRPr="00646C19">
        <w:t>году и выполняет следующие функции:</w:t>
      </w:r>
    </w:p>
    <w:p w:rsidR="00646C19" w:rsidRPr="00646C19" w:rsidRDefault="00646C19" w:rsidP="00D86313">
      <w:pPr>
        <w:pStyle w:val="Bullet1GR"/>
      </w:pPr>
      <w:r w:rsidRPr="00646C19">
        <w:t>содействие в решении проблем, касающихся прав</w:t>
      </w:r>
      <w:r w:rsidR="005507FC">
        <w:t xml:space="preserve"> </w:t>
      </w:r>
      <w:r w:rsidRPr="00646C19">
        <w:t>человека;</w:t>
      </w:r>
    </w:p>
    <w:p w:rsidR="00646C19" w:rsidRPr="00646C19" w:rsidRDefault="00646C19" w:rsidP="00D86313">
      <w:pPr>
        <w:pStyle w:val="Bullet1GR"/>
      </w:pPr>
      <w:r w:rsidRPr="00646C19">
        <w:t>подготовка докладов, касающихся соблюдения прав человека, на межд</w:t>
      </w:r>
      <w:r w:rsidRPr="00646C19">
        <w:t>у</w:t>
      </w:r>
      <w:r w:rsidRPr="00646C19">
        <w:t>народном уровне;</w:t>
      </w:r>
    </w:p>
    <w:p w:rsidR="00646C19" w:rsidRPr="00646C19" w:rsidRDefault="00646C19" w:rsidP="00D86313">
      <w:pPr>
        <w:pStyle w:val="Bullet1GR"/>
      </w:pPr>
      <w:r w:rsidRPr="00646C19">
        <w:t>усиление координации между различными руководящими органами М</w:t>
      </w:r>
      <w:r w:rsidRPr="00646C19">
        <w:t>и</w:t>
      </w:r>
      <w:r w:rsidRPr="00646C19">
        <w:t>нистерства иностранных дел и сотрудничества, занимающимися вопр</w:t>
      </w:r>
      <w:r w:rsidRPr="00646C19">
        <w:t>о</w:t>
      </w:r>
      <w:r w:rsidRPr="00646C19">
        <w:t>сами прав</w:t>
      </w:r>
      <w:r w:rsidR="005507FC">
        <w:t xml:space="preserve"> </w:t>
      </w:r>
      <w:r w:rsidRPr="00646C19">
        <w:t>человека;</w:t>
      </w:r>
    </w:p>
    <w:p w:rsidR="00646C19" w:rsidRPr="00646C19" w:rsidRDefault="00646C19" w:rsidP="00D86313">
      <w:pPr>
        <w:pStyle w:val="Bullet1GR"/>
      </w:pPr>
      <w:r w:rsidRPr="00646C19">
        <w:t>обеспечение участия представителей Испании в работе международных совещаний и конференций по правам</w:t>
      </w:r>
      <w:r w:rsidR="005507FC">
        <w:t xml:space="preserve"> </w:t>
      </w:r>
      <w:r w:rsidRPr="00646C19">
        <w:t>человека;</w:t>
      </w:r>
    </w:p>
    <w:p w:rsidR="00646C19" w:rsidRPr="00646C19" w:rsidRDefault="00646C19" w:rsidP="00D86313">
      <w:pPr>
        <w:pStyle w:val="Bullet1GR"/>
      </w:pPr>
      <w:r w:rsidRPr="00646C19">
        <w:t>поддержание отношений с аналогичными правительственными учрежд</w:t>
      </w:r>
      <w:r w:rsidRPr="00646C19">
        <w:t>е</w:t>
      </w:r>
      <w:r w:rsidRPr="00646C19">
        <w:t>ниями и неправительственными организациями, занимающимися вопр</w:t>
      </w:r>
      <w:r w:rsidRPr="00646C19">
        <w:t>о</w:t>
      </w:r>
      <w:r w:rsidRPr="00646C19">
        <w:t>сами прав</w:t>
      </w:r>
      <w:r w:rsidR="005507FC">
        <w:t xml:space="preserve"> </w:t>
      </w:r>
      <w:r w:rsidRPr="00646C19">
        <w:t>человека;</w:t>
      </w:r>
    </w:p>
    <w:p w:rsidR="00646C19" w:rsidRPr="00646C19" w:rsidRDefault="00646C19" w:rsidP="00D86313">
      <w:pPr>
        <w:pStyle w:val="Bullet1GR"/>
      </w:pPr>
      <w:r w:rsidRPr="00646C19">
        <w:t>контроль за осуществлением подписанных Испанией международных д</w:t>
      </w:r>
      <w:r w:rsidRPr="00646C19">
        <w:t>о</w:t>
      </w:r>
      <w:r w:rsidRPr="00646C19">
        <w:t>говоров и соглашений по правам</w:t>
      </w:r>
      <w:r w:rsidR="005507FC">
        <w:t xml:space="preserve"> </w:t>
      </w:r>
      <w:r w:rsidRPr="00646C19">
        <w:t>человека;</w:t>
      </w:r>
    </w:p>
    <w:p w:rsidR="00646C19" w:rsidRPr="00646C19" w:rsidRDefault="00646C19" w:rsidP="00D86313">
      <w:pPr>
        <w:pStyle w:val="Bullet1GR"/>
      </w:pPr>
      <w:r w:rsidRPr="00646C19">
        <w:t>содействие в проведении исследований и мероприятий в конкретной сф</w:t>
      </w:r>
      <w:r w:rsidRPr="00646C19">
        <w:t>е</w:t>
      </w:r>
      <w:r w:rsidRPr="00646C19">
        <w:t>ре компетенции УПЧ.</w:t>
      </w:r>
    </w:p>
    <w:p w:rsidR="00646C19" w:rsidRPr="00646C19" w:rsidRDefault="00646C19" w:rsidP="00D86313">
      <w:pPr>
        <w:pStyle w:val="H1GR"/>
      </w:pPr>
      <w:r w:rsidRPr="00646C19">
        <w:tab/>
      </w:r>
      <w:bookmarkStart w:id="9" w:name="_Toc420072043"/>
      <w:r w:rsidRPr="00646C19">
        <w:t>C.</w:t>
      </w:r>
      <w:r w:rsidRPr="00646C19">
        <w:tab/>
        <w:t>Основы поощрения прав человека на национальном уровне</w:t>
      </w:r>
      <w:bookmarkEnd w:id="9"/>
    </w:p>
    <w:p w:rsidR="00646C19" w:rsidRPr="00646C19" w:rsidRDefault="00646C19" w:rsidP="00646C19">
      <w:pPr>
        <w:pStyle w:val="SingleTxtGR"/>
      </w:pPr>
      <w:r w:rsidRPr="00646C19">
        <w:t>147.</w:t>
      </w:r>
      <w:r w:rsidRPr="00646C19">
        <w:tab/>
        <w:t>В 2012</w:t>
      </w:r>
      <w:r w:rsidR="005507FC">
        <w:t xml:space="preserve"> </w:t>
      </w:r>
      <w:r w:rsidRPr="00646C19">
        <w:t>году правительство Испании провело оценку осуществления</w:t>
      </w:r>
      <w:r w:rsidR="005507FC">
        <w:t xml:space="preserve"> </w:t>
      </w:r>
      <w:r w:rsidRPr="00646C19">
        <w:t>I Плана в области прав</w:t>
      </w:r>
      <w:r w:rsidR="005507FC">
        <w:t xml:space="preserve"> </w:t>
      </w:r>
      <w:r w:rsidRPr="00646C19">
        <w:t>человека. Окончательная оценка прошла в Кортесах 28</w:t>
      </w:r>
      <w:r w:rsidR="006D22A8">
        <w:t> </w:t>
      </w:r>
      <w:r w:rsidRPr="00646C19">
        <w:t>декабря 2012</w:t>
      </w:r>
      <w:r w:rsidR="005507FC">
        <w:t xml:space="preserve"> </w:t>
      </w:r>
      <w:r w:rsidRPr="00646C19">
        <w:t>года. После этого правительство Испании проводило сбор и</w:t>
      </w:r>
      <w:r w:rsidRPr="00646C19">
        <w:t>н</w:t>
      </w:r>
      <w:r w:rsidRPr="00646C19">
        <w:t>формации о положении в области прав</w:t>
      </w:r>
      <w:r w:rsidR="005507FC">
        <w:t xml:space="preserve"> </w:t>
      </w:r>
      <w:r w:rsidRPr="00646C19">
        <w:t>человека в Испании и одновременно с этим приступило к осуществлению различных планов и конкретных масшта</w:t>
      </w:r>
      <w:r w:rsidRPr="00646C19">
        <w:t>б</w:t>
      </w:r>
      <w:r w:rsidRPr="00646C19">
        <w:t>ных мер в этой области с учетом тяжелых последствий экономического кризиса, преодолению которых правительство Испании уделяет основное внимание с самого начала своей легислатуры.</w:t>
      </w:r>
    </w:p>
    <w:p w:rsidR="00646C19" w:rsidRPr="00646C19" w:rsidRDefault="00646C19" w:rsidP="00646C19">
      <w:pPr>
        <w:pStyle w:val="SingleTxtGR"/>
      </w:pPr>
      <w:r w:rsidRPr="00646C19">
        <w:t>148.</w:t>
      </w:r>
      <w:r w:rsidRPr="00646C19">
        <w:tab/>
        <w:t>В этот период осуществлялись различные отраслевые планы или нач</w:t>
      </w:r>
      <w:r w:rsidRPr="00646C19">
        <w:t>а</w:t>
      </w:r>
      <w:r w:rsidRPr="00646C19">
        <w:t>лась их разработка либо осуществление. Среди этих планов можно, например, отметить Национальный стратегический план по вопросам детства и юнош</w:t>
      </w:r>
      <w:r w:rsidRPr="00646C19">
        <w:t>е</w:t>
      </w:r>
      <w:r w:rsidRPr="00646C19">
        <w:t>ства, Стратегический план по обеспечению равных возможностей, Национал</w:t>
      </w:r>
      <w:r w:rsidRPr="00646C19">
        <w:t>ь</w:t>
      </w:r>
      <w:r w:rsidRPr="00646C19">
        <w:t>ную стратегию по интеграции цыганского населения, Испанскую стратегию в области инвалидности, Генеральный план сотрудничества Испании, средства и методы всесторонней помощи жертвам терроризма, План в отношении пре</w:t>
      </w:r>
      <w:r w:rsidRPr="00646C19">
        <w:t>д</w:t>
      </w:r>
      <w:r w:rsidRPr="00646C19">
        <w:t>приятий и прав человека, Национальный план в отношении социальной инкл</w:t>
      </w:r>
      <w:r w:rsidRPr="00646C19">
        <w:t>ю</w:t>
      </w:r>
      <w:r w:rsidRPr="00646C19">
        <w:t>зии и План в отношении социальной ответственности бизнеса. Кроме того, планируется принять и другие конкретные меры, оказывая помощь в первую очередь таким группам населения, как семьи, молодежь или люди старшего возраста, прежде всего малообеспеченным и находящимся в социальной изол</w:t>
      </w:r>
      <w:r w:rsidRPr="00646C19">
        <w:t>я</w:t>
      </w:r>
      <w:r w:rsidRPr="00646C19">
        <w:t xml:space="preserve">ции. </w:t>
      </w:r>
    </w:p>
    <w:p w:rsidR="00646C19" w:rsidRPr="00646C19" w:rsidRDefault="00646C19" w:rsidP="00646C19">
      <w:pPr>
        <w:pStyle w:val="SingleTxtGR"/>
      </w:pPr>
      <w:r w:rsidRPr="00646C19">
        <w:t>149.</w:t>
      </w:r>
      <w:r w:rsidRPr="00646C19">
        <w:tab/>
        <w:t>С учетом хода разработки этих отраслевых планов и сбора информации о положении в области прав человека в Испании правительство определяет стр</w:t>
      </w:r>
      <w:r w:rsidRPr="00646C19">
        <w:t>а</w:t>
      </w:r>
      <w:r w:rsidRPr="00646C19">
        <w:t>тегию и конкретные задачи в области прав человека на ближайшие</w:t>
      </w:r>
      <w:r w:rsidR="005507FC">
        <w:t xml:space="preserve"> </w:t>
      </w:r>
      <w:r w:rsidRPr="00646C19">
        <w:t>годы.</w:t>
      </w:r>
    </w:p>
    <w:p w:rsidR="00646C19" w:rsidRPr="00646C19" w:rsidRDefault="00646C19" w:rsidP="006D22A8">
      <w:pPr>
        <w:pStyle w:val="H1GR"/>
      </w:pPr>
      <w:r w:rsidRPr="00646C19">
        <w:tab/>
      </w:r>
      <w:bookmarkStart w:id="10" w:name="_Toc420072044"/>
      <w:r w:rsidRPr="00646C19">
        <w:t>D.</w:t>
      </w:r>
      <w:r w:rsidRPr="00646C19">
        <w:tab/>
        <w:t>Процесс подготовки докладов</w:t>
      </w:r>
      <w:bookmarkEnd w:id="10"/>
    </w:p>
    <w:p w:rsidR="00646C19" w:rsidRPr="00646C19" w:rsidRDefault="00646C19" w:rsidP="00646C19">
      <w:pPr>
        <w:pStyle w:val="SingleTxtGR"/>
      </w:pPr>
      <w:r w:rsidRPr="00646C19">
        <w:t>150.</w:t>
      </w:r>
      <w:r w:rsidRPr="00646C19">
        <w:tab/>
        <w:t>Подготовка докладов осуществляется в соответствии с общими руков</w:t>
      </w:r>
      <w:r w:rsidRPr="00646C19">
        <w:t>о</w:t>
      </w:r>
      <w:r w:rsidRPr="00646C19">
        <w:t>дящими принципами, касающимися формы и содержания докладов, которые подлежат представлению государствами-участниками согласно руководящим указаниям Организации Объединенных Наций.</w:t>
      </w:r>
    </w:p>
    <w:p w:rsidR="00646C19" w:rsidRPr="00646C19" w:rsidRDefault="00646C19" w:rsidP="00646C19">
      <w:pPr>
        <w:pStyle w:val="SingleTxtGR"/>
      </w:pPr>
      <w:r w:rsidRPr="00646C19">
        <w:t>151.</w:t>
      </w:r>
      <w:r w:rsidRPr="00646C19">
        <w:tab/>
        <w:t>При подготовке докладов требуются значительные коллективные усилия со стороны различных государственных учреждений, частных структур и общ</w:t>
      </w:r>
      <w:r w:rsidRPr="00646C19">
        <w:t>е</w:t>
      </w:r>
      <w:r w:rsidRPr="00646C19">
        <w:t>ственных групп. В подготовке настоящего доклада приняли участие многие м</w:t>
      </w:r>
      <w:r w:rsidRPr="00646C19">
        <w:t>и</w:t>
      </w:r>
      <w:r w:rsidRPr="00646C19">
        <w:t>нистерства: Министерство труда и социального обеспечения, Министерство здравоохранения, социального обеспечения и по вопросам равенства, Мин</w:t>
      </w:r>
      <w:r w:rsidRPr="00646C19">
        <w:t>и</w:t>
      </w:r>
      <w:r w:rsidRPr="00646C19">
        <w:t>стерство образования, культуры и спорта, Министерство сельского хозяйства, пищевой промышленности и охраны окружающей среды, Министерство по д</w:t>
      </w:r>
      <w:r w:rsidRPr="00646C19">
        <w:t>е</w:t>
      </w:r>
      <w:r w:rsidRPr="00646C19">
        <w:t>лам развития, Министерство внутренних дел и Министерство юстиции; коо</w:t>
      </w:r>
      <w:r w:rsidRPr="00646C19">
        <w:t>р</w:t>
      </w:r>
      <w:r w:rsidRPr="00646C19">
        <w:t>динацию этой работы осуществляло Управление по правам человека Министе</w:t>
      </w:r>
      <w:r w:rsidRPr="00646C19">
        <w:t>р</w:t>
      </w:r>
      <w:r w:rsidRPr="00646C19">
        <w:t>ства иностранных дел и сотрудничества, которому, в числе прочего, поручено контролировать осуществление подписанных Испанией международных дог</w:t>
      </w:r>
      <w:r w:rsidRPr="00646C19">
        <w:t>о</w:t>
      </w:r>
      <w:r w:rsidRPr="00646C19">
        <w:t>воров и соглашений в области прав человека.</w:t>
      </w:r>
    </w:p>
    <w:p w:rsidR="00646C19" w:rsidRPr="00646C19" w:rsidRDefault="00646C19" w:rsidP="006D22A8">
      <w:pPr>
        <w:pStyle w:val="H1GR"/>
      </w:pPr>
      <w:r w:rsidRPr="00646C19">
        <w:tab/>
      </w:r>
      <w:bookmarkStart w:id="11" w:name="_Toc420072045"/>
      <w:r w:rsidRPr="00646C19">
        <w:t>E.</w:t>
      </w:r>
      <w:r w:rsidRPr="00646C19">
        <w:tab/>
        <w:t>Другая информация, касающаяся прав человека</w:t>
      </w:r>
      <w:bookmarkEnd w:id="11"/>
    </w:p>
    <w:p w:rsidR="00646C19" w:rsidRPr="00646C19" w:rsidRDefault="00646C19" w:rsidP="00646C19">
      <w:pPr>
        <w:pStyle w:val="SingleTxtGR"/>
      </w:pPr>
      <w:r w:rsidRPr="00646C19">
        <w:t>152.</w:t>
      </w:r>
      <w:r w:rsidRPr="00646C19">
        <w:tab/>
        <w:t>Защита и поощрение всех без исключения прав человека в рамках всей системы Организации Объединенных Наций является для Испании приорите</w:t>
      </w:r>
      <w:r w:rsidRPr="00646C19">
        <w:t>т</w:t>
      </w:r>
      <w:r w:rsidRPr="00646C19">
        <w:t>ной задачей. Соответственно, внешняя политика Испании в сфере прав челов</w:t>
      </w:r>
      <w:r w:rsidRPr="00646C19">
        <w:t>е</w:t>
      </w:r>
      <w:r w:rsidRPr="00646C19">
        <w:t>ка структурирована на основе шести взаимодополняющих задач: борьба против смертной казни, недопущение дискриминации по мотивам половой принадле</w:t>
      </w:r>
      <w:r w:rsidRPr="00646C19">
        <w:t>ж</w:t>
      </w:r>
      <w:r w:rsidRPr="00646C19">
        <w:t>ности или сексуальной ориентации, право на питьевую воду и санитарные услуги, права лиц с инвалидностью, предпринимательская деятельность и права человека, а также правозащитники.</w:t>
      </w:r>
    </w:p>
    <w:p w:rsidR="00646C19" w:rsidRPr="00646C19" w:rsidRDefault="00646C19" w:rsidP="00646C19">
      <w:pPr>
        <w:pStyle w:val="SingleTxtGR"/>
      </w:pPr>
      <w:r w:rsidRPr="00646C19">
        <w:t>153.</w:t>
      </w:r>
      <w:r w:rsidRPr="00646C19">
        <w:tab/>
        <w:t>Испания являлась членом Совета по правам человека в 2011–2013</w:t>
      </w:r>
      <w:r w:rsidR="005507FC">
        <w:t xml:space="preserve"> </w:t>
      </w:r>
      <w:r w:rsidRPr="00646C19">
        <w:t>году и выдвинула свою кандидатуру на членство в этом органе на 2018–2020</w:t>
      </w:r>
      <w:r w:rsidR="005507FC">
        <w:t xml:space="preserve"> </w:t>
      </w:r>
      <w:r w:rsidRPr="00646C19">
        <w:t>годы.</w:t>
      </w:r>
    </w:p>
    <w:p w:rsidR="00646C19" w:rsidRPr="00646C19" w:rsidRDefault="00646C19" w:rsidP="006D22A8">
      <w:pPr>
        <w:pStyle w:val="H23GR"/>
      </w:pPr>
      <w:r w:rsidRPr="00646C19">
        <w:tab/>
        <w:t>1.</w:t>
      </w:r>
      <w:r w:rsidRPr="00646C19">
        <w:tab/>
        <w:t>Борьба против смертной казни</w:t>
      </w:r>
    </w:p>
    <w:p w:rsidR="00646C19" w:rsidRPr="00646C19" w:rsidRDefault="00646C19" w:rsidP="00646C19">
      <w:pPr>
        <w:pStyle w:val="SingleTxtGR"/>
      </w:pPr>
      <w:r w:rsidRPr="00646C19">
        <w:t>154.</w:t>
      </w:r>
      <w:r w:rsidRPr="00646C19">
        <w:tab/>
        <w:t>Борьба против смертной казни как приоритетная задача внешней полит</w:t>
      </w:r>
      <w:r w:rsidRPr="00646C19">
        <w:t>и</w:t>
      </w:r>
      <w:r w:rsidRPr="00646C19">
        <w:t>ки Испании в области прав человека ведется по следующим направлениям: поддержка резолюции о повсеместном введении моратория на смертную казнь, которую каждые два</w:t>
      </w:r>
      <w:r w:rsidR="005507FC">
        <w:t xml:space="preserve"> </w:t>
      </w:r>
      <w:r w:rsidRPr="00646C19">
        <w:t>года принимает Генеральная Ассамблея Организации Об</w:t>
      </w:r>
      <w:r w:rsidRPr="00646C19">
        <w:t>ъ</w:t>
      </w:r>
      <w:r w:rsidRPr="00646C19">
        <w:t>единенных Наций; участие в обсуждении вопроса о смертной казни в Совете по правам человека; а также содействие Международной комиссии по отмене смертной казни</w:t>
      </w:r>
      <w:r w:rsidR="005507FC">
        <w:t xml:space="preserve"> </w:t>
      </w:r>
      <w:r w:rsidRPr="00646C19">
        <w:t>– международной структуре, которая была создана по иници</w:t>
      </w:r>
      <w:r w:rsidRPr="00646C19">
        <w:t>а</w:t>
      </w:r>
      <w:r w:rsidRPr="00646C19">
        <w:t>тиве Испании и в состав которой вошли пользующиеся высоким авторитетом независимые деятели. Значимость этого органа состоит в том, что он может на международном уровне заявить о необходимости отказа от смертной казни. И</w:t>
      </w:r>
      <w:r w:rsidRPr="00646C19">
        <w:t>с</w:t>
      </w:r>
      <w:r w:rsidRPr="00646C19">
        <w:t>пания оказывает этой Комиссии экономическую и политическую поддержку с помощью Группы содействия. Кроме того, в рамках ЕС Испания настойчиво поднимает этот вопрос в ходе двусторонних контактов, с помощью своих п</w:t>
      </w:r>
      <w:r w:rsidRPr="00646C19">
        <w:t>о</w:t>
      </w:r>
      <w:r w:rsidRPr="00646C19">
        <w:t>сольств в других странах и совместно с европейскими партнерами. О важности этой задачи свидетельствует и участие Испании в V Всемирном конгрессе за отмену смертной казни, который был организован в Мадриде в июне 2013</w:t>
      </w:r>
      <w:r w:rsidR="005507FC">
        <w:t xml:space="preserve"> </w:t>
      </w:r>
      <w:r w:rsidRPr="00646C19">
        <w:t>года по инициативе гражданского общества при экономической и политической по</w:t>
      </w:r>
      <w:r w:rsidRPr="00646C19">
        <w:t>д</w:t>
      </w:r>
      <w:r w:rsidRPr="00646C19">
        <w:t>держке со стороны испанского государства и других стран. Испания входит в состав контактной группы по мониторингу результатов Мадридского конгресса и подготовке следующих конгрессов, которые проходят каждые три</w:t>
      </w:r>
      <w:r w:rsidR="005507FC">
        <w:t xml:space="preserve"> </w:t>
      </w:r>
      <w:r w:rsidRPr="00646C19">
        <w:t>года.</w:t>
      </w:r>
    </w:p>
    <w:p w:rsidR="00646C19" w:rsidRPr="00646C19" w:rsidRDefault="00646C19" w:rsidP="006D22A8">
      <w:pPr>
        <w:pStyle w:val="H23GR"/>
      </w:pPr>
      <w:r w:rsidRPr="00646C19">
        <w:tab/>
        <w:t>2.</w:t>
      </w:r>
      <w:r w:rsidRPr="00646C19">
        <w:tab/>
        <w:t>Недопущение дискриминации по мотивам половой принадлежности или</w:t>
      </w:r>
      <w:r w:rsidR="006D22A8">
        <w:t> </w:t>
      </w:r>
      <w:r w:rsidRPr="00646C19">
        <w:t>сексуальной ориентации</w:t>
      </w:r>
    </w:p>
    <w:p w:rsidR="00646C19" w:rsidRPr="00646C19" w:rsidRDefault="00646C19" w:rsidP="00646C19">
      <w:pPr>
        <w:pStyle w:val="SingleTxtGR"/>
      </w:pPr>
      <w:r w:rsidRPr="00646C19">
        <w:t>155.</w:t>
      </w:r>
      <w:r w:rsidRPr="00646C19">
        <w:tab/>
        <w:t>Испания выступает за недопущение дискриминации по мотивам половой принадлежности или сексуальной ориентации, делая при этом особый упор на борьбе с насилием в отношении женщин, которая рассматривается как наиболее тяжкая форма дискриминации по мотивам половой принадлежности. В этой сфере осуществляется целый ряд инициатив, в числе которых необходимо о</w:t>
      </w:r>
      <w:r w:rsidRPr="00646C19">
        <w:t>т</w:t>
      </w:r>
      <w:r w:rsidRPr="00646C19">
        <w:t>метить следующие:</w:t>
      </w:r>
    </w:p>
    <w:p w:rsidR="00646C19" w:rsidRPr="00646C19" w:rsidRDefault="00646C19" w:rsidP="006D22A8">
      <w:pPr>
        <w:pStyle w:val="Bullet1GR"/>
      </w:pPr>
      <w:r w:rsidRPr="00646C19">
        <w:t xml:space="preserve">Борьба с гендерным насилием и феминицидом: содействие в подготовке и публикации </w:t>
      </w:r>
      <w:r w:rsidRPr="00370CDC">
        <w:rPr>
          <w:i/>
        </w:rPr>
        <w:t>Руководства по эффективному расследованию преступлений феминицида</w:t>
      </w:r>
      <w:r w:rsidRPr="00646C19">
        <w:t>, разработанных группой судебных медиков Университета Карлоса</w:t>
      </w:r>
      <w:r w:rsidR="005507FC">
        <w:t xml:space="preserve"> </w:t>
      </w:r>
      <w:r w:rsidRPr="00646C19">
        <w:t>III и Федерацией ассоциаций и организаций по защите прав ч</w:t>
      </w:r>
      <w:r w:rsidRPr="00646C19">
        <w:t>е</w:t>
      </w:r>
      <w:r w:rsidRPr="00646C19">
        <w:t>ловека, проведение семинаров по проблемам гендерного насилия и фем</w:t>
      </w:r>
      <w:r w:rsidRPr="00646C19">
        <w:t>и</w:t>
      </w:r>
      <w:r w:rsidRPr="00646C19">
        <w:t>ницида в Латинской Америке в рамках Ибероамериканской программы подготовки кадров технических специалистов (ПИФТЕ), осуществлением которой занимается Испанское агентство по международному сотрудн</w:t>
      </w:r>
      <w:r w:rsidRPr="00646C19">
        <w:t>и</w:t>
      </w:r>
      <w:r w:rsidRPr="00646C19">
        <w:t>честву в целях развития (ИАМСР). Целевой аудиторией этих семинаров, проводимых совместно с Испанской ассоциацией адвокатов (IV серия т</w:t>
      </w:r>
      <w:r w:rsidRPr="00646C19">
        <w:t>а</w:t>
      </w:r>
      <w:r w:rsidRPr="00646C19">
        <w:t>ких семинаров прошла в Картахена-де-Индиас в ноябре 2014</w:t>
      </w:r>
      <w:r w:rsidR="005507FC">
        <w:t xml:space="preserve"> </w:t>
      </w:r>
      <w:r w:rsidRPr="00646C19">
        <w:t>года), явл</w:t>
      </w:r>
      <w:r w:rsidRPr="00646C19">
        <w:t>я</w:t>
      </w:r>
      <w:r w:rsidRPr="00646C19">
        <w:t>ются судебные медики, антропологи, политики и специалисты по генде</w:t>
      </w:r>
      <w:r w:rsidRPr="00646C19">
        <w:t>р</w:t>
      </w:r>
      <w:r w:rsidRPr="00646C19">
        <w:t>ным проблемам стран Латинской Америки. Целью семинаров является информирование о методах действий на правительственном, неправ</w:t>
      </w:r>
      <w:r w:rsidRPr="00646C19">
        <w:t>и</w:t>
      </w:r>
      <w:r w:rsidRPr="00646C19">
        <w:t>тельственном и межправительственном уровнях в регионе в целях реш</w:t>
      </w:r>
      <w:r w:rsidRPr="00646C19">
        <w:t>е</w:t>
      </w:r>
      <w:r w:rsidRPr="00646C19">
        <w:t>ния проблем правового и процессуального характера, препятствующих доступу женщин к судебным ресурсам и эффективным средствам защ</w:t>
      </w:r>
      <w:r w:rsidRPr="00646C19">
        <w:t>и</w:t>
      </w:r>
      <w:r w:rsidRPr="00646C19">
        <w:t>ты.</w:t>
      </w:r>
    </w:p>
    <w:p w:rsidR="00646C19" w:rsidRPr="00646C19" w:rsidRDefault="00646C19" w:rsidP="006D22A8">
      <w:pPr>
        <w:pStyle w:val="Bullet1GR"/>
      </w:pPr>
      <w:r w:rsidRPr="00646C19">
        <w:t>Тема "Женщины, мир и безопасность": единогласно принятая 31</w:t>
      </w:r>
      <w:r w:rsidR="005507FC">
        <w:t xml:space="preserve"> </w:t>
      </w:r>
      <w:r w:rsidRPr="00646C19">
        <w:t>октября 2000</w:t>
      </w:r>
      <w:r w:rsidR="005507FC">
        <w:t xml:space="preserve"> </w:t>
      </w:r>
      <w:r w:rsidRPr="00646C19">
        <w:t>года резолюция</w:t>
      </w:r>
      <w:r w:rsidR="005507FC">
        <w:t xml:space="preserve"> </w:t>
      </w:r>
      <w:r w:rsidRPr="00646C19">
        <w:t>1325 Совета Безопасности Организации Объед</w:t>
      </w:r>
      <w:r w:rsidRPr="00646C19">
        <w:t>и</w:t>
      </w:r>
      <w:r w:rsidRPr="00646C19">
        <w:t>ненных Наций является политической основой для применения гендерн</w:t>
      </w:r>
      <w:r w:rsidRPr="00646C19">
        <w:t>о</w:t>
      </w:r>
      <w:r w:rsidRPr="00646C19">
        <w:t>го подхода в работе по предотвращению, регулированию и разрешению вооруженных конфликтов. Испания во исполнение принципов, закре</w:t>
      </w:r>
      <w:r w:rsidRPr="00646C19">
        <w:t>п</w:t>
      </w:r>
      <w:r w:rsidRPr="00646C19">
        <w:t>ленных в этой резолюции, ведет работу по ряду направлений, в числе к</w:t>
      </w:r>
      <w:r w:rsidRPr="00646C19">
        <w:t>о</w:t>
      </w:r>
      <w:r w:rsidRPr="00646C19">
        <w:t>торых особо следует выделить следующие: 1)</w:t>
      </w:r>
      <w:r w:rsidR="005507FC">
        <w:t xml:space="preserve"> </w:t>
      </w:r>
      <w:r w:rsidRPr="00646C19">
        <w:t>принятие Национального плана действий правительства Испании по выполнению резолюции</w:t>
      </w:r>
      <w:r w:rsidR="005507FC">
        <w:t xml:space="preserve"> </w:t>
      </w:r>
      <w:r w:rsidRPr="00646C19">
        <w:t>1325 Совета Безопасности Организации Объединенных Наций (2000</w:t>
      </w:r>
      <w:r w:rsidR="005507FC">
        <w:t xml:space="preserve"> </w:t>
      </w:r>
      <w:r w:rsidRPr="00646C19">
        <w:t>год) о женщинах, мире и безопасности. Доклады о мониторинге осуществления этого Плана представляются регулярно; 2)</w:t>
      </w:r>
      <w:r w:rsidR="005507FC">
        <w:t xml:space="preserve"> </w:t>
      </w:r>
      <w:r w:rsidRPr="00646C19">
        <w:t>курсы по обеспечению учета гендерной проблематики в ходе миротворческих операций: Испания и Нидерланды</w:t>
      </w:r>
      <w:r w:rsidR="00370CDC">
        <w:rPr>
          <w:rStyle w:val="ac"/>
        </w:rPr>
        <w:footnoteReference w:id="7"/>
      </w:r>
      <w:r w:rsidRPr="00646C19">
        <w:t xml:space="preserve"> выступили с инициативой о проведении ежегодно двух т</w:t>
      </w:r>
      <w:r w:rsidRPr="00646C19">
        <w:t>а</w:t>
      </w:r>
      <w:r w:rsidRPr="00646C19">
        <w:t>ких курсов по изучению положений данной резолюции. С 2011</w:t>
      </w:r>
      <w:r w:rsidR="005507FC">
        <w:t xml:space="preserve"> </w:t>
      </w:r>
      <w:r w:rsidRPr="00646C19">
        <w:t>года по этой тематике проведено шесть курсов – по два в год; одни такие курсы проходят в Испании (в Высшем исследовательском центре проблем нац</w:t>
      </w:r>
      <w:r w:rsidRPr="00646C19">
        <w:t>и</w:t>
      </w:r>
      <w:r w:rsidRPr="00646C19">
        <w:t>ональной обороны</w:t>
      </w:r>
      <w:r w:rsidR="00370CDC">
        <w:rPr>
          <w:rStyle w:val="ac"/>
        </w:rPr>
        <w:footnoteReference w:id="8"/>
      </w:r>
      <w:r w:rsidRPr="00646C19">
        <w:t>), а вторые – в Нидерландах. Эти курсы заложили стандарты в этой сфере, были аккредитованы Европейской школой бе</w:t>
      </w:r>
      <w:r w:rsidRPr="00646C19">
        <w:t>з</w:t>
      </w:r>
      <w:r w:rsidRPr="00646C19">
        <w:t>опасности и обороны, и такие же занятия начали проводиться специально для сотрудников Африканского командования вооруженных сил США (АФРИКОМ), 3) активное участие в Международной встрече на высшем уровне по проблемам сексуального насилия в ходе вооруженных ко</w:t>
      </w:r>
      <w:r w:rsidRPr="00646C19">
        <w:t>н</w:t>
      </w:r>
      <w:r w:rsidRPr="00646C19">
        <w:t>фликтов, которая состоялась в Лондоне 10–14</w:t>
      </w:r>
      <w:r w:rsidR="005507FC">
        <w:t xml:space="preserve"> </w:t>
      </w:r>
      <w:r w:rsidRPr="00646C19">
        <w:t>июня 2014</w:t>
      </w:r>
      <w:r w:rsidR="005507FC">
        <w:t xml:space="preserve"> </w:t>
      </w:r>
      <w:r w:rsidRPr="00646C19">
        <w:t>года.</w:t>
      </w:r>
    </w:p>
    <w:p w:rsidR="00646C19" w:rsidRPr="00646C19" w:rsidRDefault="00646C19" w:rsidP="00370CDC">
      <w:pPr>
        <w:pStyle w:val="Bullet1GR"/>
      </w:pPr>
      <w:r w:rsidRPr="00646C19">
        <w:t>Торговля людьми в целях сексуальной эксплуатации: Бюро по правам ч</w:t>
      </w:r>
      <w:r w:rsidRPr="00646C19">
        <w:t>е</w:t>
      </w:r>
      <w:r w:rsidRPr="00646C19">
        <w:t>ловека участвует в осуществлении ряда инициатив по борьбе с этим я</w:t>
      </w:r>
      <w:r w:rsidRPr="00646C19">
        <w:t>в</w:t>
      </w:r>
      <w:r w:rsidRPr="00646C19">
        <w:t>лением, в том числе путем повышения уровня информированности (с</w:t>
      </w:r>
      <w:r w:rsidRPr="00646C19">
        <w:t>е</w:t>
      </w:r>
      <w:r w:rsidRPr="00646C19">
        <w:t>минары, круглые столы, диалог с НПО, пропаганда проведения 18</w:t>
      </w:r>
      <w:r w:rsidR="005507FC">
        <w:t xml:space="preserve"> </w:t>
      </w:r>
      <w:r w:rsidRPr="00646C19">
        <w:t>октя</w:t>
      </w:r>
      <w:r w:rsidRPr="00646C19">
        <w:t>б</w:t>
      </w:r>
      <w:r w:rsidRPr="00646C19">
        <w:t>ря Международного дня борьбы с торговлей людьми и пр.), обучения (семинары для служащих, работающих за рубежом), а также путем неп</w:t>
      </w:r>
      <w:r w:rsidRPr="00646C19">
        <w:t>о</w:t>
      </w:r>
      <w:r w:rsidRPr="00646C19">
        <w:t>средственных действий (прямые контакты с Главным управлением по д</w:t>
      </w:r>
      <w:r w:rsidRPr="00646C19">
        <w:t>е</w:t>
      </w:r>
      <w:r w:rsidRPr="00646C19">
        <w:t>лам испанских граждан, находящихся за рубежом, и по консульским и миграционным вопросам в отношении конкретных дел о торговле люд</w:t>
      </w:r>
      <w:r w:rsidRPr="00646C19">
        <w:t>ь</w:t>
      </w:r>
      <w:r w:rsidRPr="00646C19">
        <w:t xml:space="preserve">ми с целью сексуальной эксплуатации). </w:t>
      </w:r>
    </w:p>
    <w:p w:rsidR="00646C19" w:rsidRPr="00646C19" w:rsidRDefault="00646C19" w:rsidP="00370CDC">
      <w:pPr>
        <w:pStyle w:val="Bullet1GR"/>
      </w:pPr>
      <w:r w:rsidRPr="00646C19">
        <w:t>Калечащие операции на женских половых органах (КОЖПО): борьба с этим нарушением прав человека женщин ведется в рамках ряда пр</w:t>
      </w:r>
      <w:r w:rsidRPr="00646C19">
        <w:t>о</w:t>
      </w:r>
      <w:r w:rsidRPr="00646C19">
        <w:t>грамм, которые ИАМСР совместно с международными организациями, прежде всего Фондом Организации Объединенных Наций для деятельн</w:t>
      </w:r>
      <w:r w:rsidRPr="00646C19">
        <w:t>о</w:t>
      </w:r>
      <w:r w:rsidRPr="00646C19">
        <w:t>сти в области народонаселения и Новым партнерством в интересах ра</w:t>
      </w:r>
      <w:r w:rsidRPr="00646C19">
        <w:t>з</w:t>
      </w:r>
      <w:r w:rsidRPr="00646C19">
        <w:t>вития Африки (НЕПАД) Африканского союза осуществляет в таких стр</w:t>
      </w:r>
      <w:r w:rsidRPr="00646C19">
        <w:t>а</w:t>
      </w:r>
      <w:r w:rsidRPr="00646C19">
        <w:t>нах, как Гвинея-Бисау, Мали и Сенегал.</w:t>
      </w:r>
    </w:p>
    <w:p w:rsidR="00646C19" w:rsidRPr="00646C19" w:rsidRDefault="00646C19" w:rsidP="00370CDC">
      <w:pPr>
        <w:pStyle w:val="Bullet1GR"/>
      </w:pPr>
      <w:r w:rsidRPr="00646C19">
        <w:t>Принуждение к вступлению в брак: Бюро по правам человека координ</w:t>
      </w:r>
      <w:r w:rsidRPr="00646C19">
        <w:t>и</w:t>
      </w:r>
      <w:r w:rsidRPr="00646C19">
        <w:t>ровало проведение в Испании выставки фотографий с осуждением п</w:t>
      </w:r>
      <w:r w:rsidRPr="00646C19">
        <w:t>о</w:t>
      </w:r>
      <w:r w:rsidRPr="00646C19">
        <w:t>добной практики. Эта экспозиция, подготовленная ЮНФПА, была пр</w:t>
      </w:r>
      <w:r w:rsidRPr="00646C19">
        <w:t>о</w:t>
      </w:r>
      <w:r w:rsidRPr="00646C19">
        <w:t>демонстрирована в Нью-Йорке, Скандинавии, Женеве, Лиссабоне, а в сентябре 2014</w:t>
      </w:r>
      <w:r w:rsidR="005507FC">
        <w:t xml:space="preserve"> </w:t>
      </w:r>
      <w:r w:rsidRPr="00646C19">
        <w:t>года – в Мадриде.</w:t>
      </w:r>
    </w:p>
    <w:p w:rsidR="00646C19" w:rsidRPr="00646C19" w:rsidRDefault="00646C19" w:rsidP="00646C19">
      <w:pPr>
        <w:pStyle w:val="SingleTxtGR"/>
      </w:pPr>
      <w:r w:rsidRPr="00646C19">
        <w:t>156.</w:t>
      </w:r>
      <w:r w:rsidRPr="00646C19">
        <w:tab/>
        <w:t>Что касается борьбы с дискриминацией по любым мотивам, то, как было сказано выше, составной частью внешнеполитической деятельности Испании в области прав человека является борьба с дискриминацией по признаку секс</w:t>
      </w:r>
      <w:r w:rsidRPr="00646C19">
        <w:t>у</w:t>
      </w:r>
      <w:r w:rsidRPr="00646C19">
        <w:t>альной ориентации. В рамках этой деятельности Испания принимала активное участие в подготовке Основных направлений обеспечения и защиты прав чел</w:t>
      </w:r>
      <w:r w:rsidRPr="00646C19">
        <w:t>о</w:t>
      </w:r>
      <w:r w:rsidRPr="00646C19">
        <w:t>века лесбиянок, геев, бисексуалов, транссексуалов и интерсексуалов по всему миру, принятых Советом Европы в июне 2013</w:t>
      </w:r>
      <w:r w:rsidR="005507FC">
        <w:t xml:space="preserve"> </w:t>
      </w:r>
      <w:r w:rsidRPr="00646C19">
        <w:t>года. Особое внимание этим пр</w:t>
      </w:r>
      <w:r w:rsidRPr="00646C19">
        <w:t>о</w:t>
      </w:r>
      <w:r w:rsidRPr="00646C19">
        <w:t>блемам уделяется также в ходе Универсального периодического обзора (УПО), в рамках которого поднимаются вопросы к странам, в которых имели место нарушения прав человека в отношении лесбиянок, геев, бисексуалов, транссе</w:t>
      </w:r>
      <w:r w:rsidRPr="00646C19">
        <w:t>к</w:t>
      </w:r>
      <w:r w:rsidRPr="00646C19">
        <w:t>суалов и интерсексуалов (ЛГБТИ), и предлагаются соответствующие рекоме</w:t>
      </w:r>
      <w:r w:rsidRPr="00646C19">
        <w:t>н</w:t>
      </w:r>
      <w:r w:rsidRPr="00646C19">
        <w:t>дации. Кроме того, оказывается как политическая, так и финансовая поддержка борьбе с дискриминацией по признаку сексуальной ориентации, которую ведет гражданское общество.</w:t>
      </w:r>
    </w:p>
    <w:p w:rsidR="00646C19" w:rsidRPr="00646C19" w:rsidRDefault="00646C19" w:rsidP="00370CDC">
      <w:pPr>
        <w:pStyle w:val="H23GR"/>
      </w:pPr>
      <w:r w:rsidRPr="00646C19">
        <w:tab/>
        <w:t>3.</w:t>
      </w:r>
      <w:r w:rsidRPr="00646C19">
        <w:tab/>
        <w:t>Право на питьевую воду и санитарные услуги как одно из основных прав человека</w:t>
      </w:r>
    </w:p>
    <w:p w:rsidR="00646C19" w:rsidRPr="00646C19" w:rsidRDefault="00646C19" w:rsidP="00646C19">
      <w:pPr>
        <w:pStyle w:val="SingleTxtGR"/>
      </w:pPr>
      <w:r w:rsidRPr="00646C19">
        <w:t>157.</w:t>
      </w:r>
      <w:r w:rsidRPr="00646C19">
        <w:tab/>
        <w:t>Признание права на безопасную питьевую воду и санитарные услуги я</w:t>
      </w:r>
      <w:r w:rsidRPr="00646C19">
        <w:t>в</w:t>
      </w:r>
      <w:r w:rsidRPr="00646C19">
        <w:t>ляется одним из приоритетов внешней политики Испании в области прав чел</w:t>
      </w:r>
      <w:r w:rsidRPr="00646C19">
        <w:t>о</w:t>
      </w:r>
      <w:r w:rsidRPr="00646C19">
        <w:t>века. Эта международная инициатива, с которой в 2006</w:t>
      </w:r>
      <w:r w:rsidR="005507FC">
        <w:t xml:space="preserve"> </w:t>
      </w:r>
      <w:r w:rsidRPr="00646C19">
        <w:t>году выступили Герм</w:t>
      </w:r>
      <w:r w:rsidRPr="00646C19">
        <w:t>а</w:t>
      </w:r>
      <w:r w:rsidRPr="00646C19">
        <w:t>ния и Испания, привела к принятию в течение нескольких лет подряд Советом по правам человека и Генеральной Ассамблеей Организации Объединенных Наций ряда резолюций об этом праве человека. Последняя резолюция, принятая консенсусом в декабре 2013</w:t>
      </w:r>
      <w:r w:rsidR="005507FC">
        <w:t xml:space="preserve"> </w:t>
      </w:r>
      <w:r w:rsidRPr="00646C19">
        <w:t>года Генеральной Ассамблеей, закрепила призн</w:t>
      </w:r>
      <w:r w:rsidRPr="00646C19">
        <w:t>а</w:t>
      </w:r>
      <w:r w:rsidRPr="00646C19">
        <w:t>ние этого права. В будущем предстоит сформулировать необходимые составл</w:t>
      </w:r>
      <w:r w:rsidRPr="00646C19">
        <w:t>я</w:t>
      </w:r>
      <w:r w:rsidRPr="00646C19">
        <w:t>ющие права человека на безопасную питьевую воду и санитарные услуги, наполнив его конкретным содержанием. Испания поддерживала и будет по</w:t>
      </w:r>
      <w:r w:rsidRPr="00646C19">
        <w:t>д</w:t>
      </w:r>
      <w:r w:rsidRPr="00646C19">
        <w:t>держивать мандат Специального докладчика Организации Объединенных Наций по этому праву человека. В рамках Испанского агентства по междун</w:t>
      </w:r>
      <w:r w:rsidRPr="00646C19">
        <w:t>а</w:t>
      </w:r>
      <w:r w:rsidRPr="00646C19">
        <w:t>родному сотрудничеству в целях развития (ИАМСР) действует Фонд сотрудн</w:t>
      </w:r>
      <w:r w:rsidRPr="00646C19">
        <w:t>и</w:t>
      </w:r>
      <w:r w:rsidRPr="00646C19">
        <w:t>чества со странами Латинской Америки и Карибского бассейна в сфере обесп</w:t>
      </w:r>
      <w:r w:rsidRPr="00646C19">
        <w:t>е</w:t>
      </w:r>
      <w:r w:rsidRPr="00646C19">
        <w:t>чения питьевой водой и санитарными услугами (ФКАС). К настоящему врем</w:t>
      </w:r>
      <w:r w:rsidRPr="00646C19">
        <w:t>е</w:t>
      </w:r>
      <w:r w:rsidRPr="00646C19">
        <w:t>ни Фонд выделил на эту работу свыше 800</w:t>
      </w:r>
      <w:r w:rsidR="005507FC">
        <w:t xml:space="preserve"> </w:t>
      </w:r>
      <w:r w:rsidRPr="00646C19">
        <w:t>млн. евро.</w:t>
      </w:r>
    </w:p>
    <w:p w:rsidR="00646C19" w:rsidRPr="00646C19" w:rsidRDefault="00646C19" w:rsidP="00646C19">
      <w:pPr>
        <w:pStyle w:val="SingleTxtGR"/>
      </w:pPr>
      <w:r w:rsidRPr="00646C19">
        <w:t>158.</w:t>
      </w:r>
      <w:r w:rsidRPr="00646C19">
        <w:tab/>
        <w:t>Высокий уровень управления водоснабжением и санитарными услугами в нашей стране и опыт управления ограниченными гидроресурсами позволяют Испании особенно эффективно оказывать другим странам помощь по следу</w:t>
      </w:r>
      <w:r w:rsidRPr="00646C19">
        <w:t>ю</w:t>
      </w:r>
      <w:r w:rsidRPr="00646C19">
        <w:t>щим направлениям:</w:t>
      </w:r>
    </w:p>
    <w:p w:rsidR="00646C19" w:rsidRPr="00646C19" w:rsidRDefault="00646C19" w:rsidP="00370CDC">
      <w:pPr>
        <w:pStyle w:val="Bullet1GR"/>
      </w:pPr>
      <w:r w:rsidRPr="00646C19">
        <w:t>оценка "текущей политики, программ и деятельности в области вод</w:t>
      </w:r>
      <w:r w:rsidRPr="00646C19">
        <w:t>о</w:t>
      </w:r>
      <w:r w:rsidRPr="00646C19">
        <w:t>снабжения и санитарии с уделением должного внимания вопросам удал</w:t>
      </w:r>
      <w:r w:rsidRPr="00646C19">
        <w:t>е</w:t>
      </w:r>
      <w:r w:rsidRPr="00646C19">
        <w:t>ния сточных вод, включая их очистку и повторное использование, а также контролю за использованием ресурсов, выделяемых на цели расширения надлежащего доступа, определению заинтересованных сторон и оценке их потенциала";</w:t>
      </w:r>
    </w:p>
    <w:p w:rsidR="00646C19" w:rsidRPr="00646C19" w:rsidRDefault="00646C19" w:rsidP="00370CDC">
      <w:pPr>
        <w:pStyle w:val="Bullet1GR"/>
      </w:pPr>
      <w:r w:rsidRPr="00646C19">
        <w:t>разработка "комплексных планов и стратегий, в которых определяются обязанности всех участников деятельности в области водоснабжения и санитарии в целях постепенного обеспечения полной реализации права на безопасную питьевую воду и санитарные услуги для всех или пер</w:t>
      </w:r>
      <w:r w:rsidRPr="00646C19">
        <w:t>е</w:t>
      </w:r>
      <w:r w:rsidRPr="00646C19">
        <w:t>осмысливаются и пересматриваются, в случае необходимости, такие пл</w:t>
      </w:r>
      <w:r w:rsidRPr="00646C19">
        <w:t>а</w:t>
      </w:r>
      <w:r w:rsidRPr="00646C19">
        <w:t>ны и стратегии для обеспечения их соответствия нормам и принципам в области прав человека".</w:t>
      </w:r>
    </w:p>
    <w:p w:rsidR="00646C19" w:rsidRPr="00646C19" w:rsidRDefault="00646C19" w:rsidP="00370CDC">
      <w:pPr>
        <w:pStyle w:val="H23GR"/>
      </w:pPr>
      <w:r w:rsidRPr="00646C19">
        <w:tab/>
        <w:t>4.</w:t>
      </w:r>
      <w:r w:rsidRPr="00646C19">
        <w:tab/>
        <w:t>Права лиц с инвалидностью</w:t>
      </w:r>
    </w:p>
    <w:p w:rsidR="00646C19" w:rsidRPr="00646C19" w:rsidRDefault="00646C19" w:rsidP="00646C19">
      <w:pPr>
        <w:pStyle w:val="SingleTxtGR"/>
      </w:pPr>
      <w:r w:rsidRPr="00646C19">
        <w:t>159.</w:t>
      </w:r>
      <w:r w:rsidRPr="00646C19">
        <w:tab/>
        <w:t>В отношении прав инвалидов Испания особую важность придает соде</w:t>
      </w:r>
      <w:r w:rsidRPr="00646C19">
        <w:t>й</w:t>
      </w:r>
      <w:r w:rsidRPr="00646C19">
        <w:t>ствию в осуществлении Международной конвенции о правах инвалидов и Ф</w:t>
      </w:r>
      <w:r w:rsidRPr="00646C19">
        <w:t>а</w:t>
      </w:r>
      <w:r w:rsidRPr="00646C19">
        <w:t>культативного протокола к ней, поскольку эти документы придерживаются по</w:t>
      </w:r>
      <w:r w:rsidRPr="00646C19">
        <w:t>д</w:t>
      </w:r>
      <w:r w:rsidRPr="00646C19">
        <w:t>хода, предполагающего признание прав инвалидов – лиц, которые традиционно воспринимались лишь в качестве объекта политики в медико-санитарной сфере.</w:t>
      </w:r>
    </w:p>
    <w:p w:rsidR="00646C19" w:rsidRPr="00646C19" w:rsidRDefault="00646C19" w:rsidP="00646C19">
      <w:pPr>
        <w:pStyle w:val="SingleTxtGR"/>
      </w:pPr>
      <w:r w:rsidRPr="00646C19">
        <w:t>160.</w:t>
      </w:r>
      <w:r w:rsidRPr="00646C19">
        <w:tab/>
        <w:t>Одна из основных проблем в работе с инвалидами – это их интеграция в процессы развития. 23</w:t>
      </w:r>
      <w:r w:rsidR="005507FC">
        <w:t xml:space="preserve"> </w:t>
      </w:r>
      <w:r w:rsidRPr="00646C19">
        <w:t>сентября 2013</w:t>
      </w:r>
      <w:r w:rsidR="005507FC">
        <w:t xml:space="preserve"> </w:t>
      </w:r>
      <w:r w:rsidRPr="00646C19">
        <w:t>года в Нью-Йорке состоялось Совещание высокого уровня (СВУ) Организации Объединенных Наций по вопросам инв</w:t>
      </w:r>
      <w:r w:rsidRPr="00646C19">
        <w:t>а</w:t>
      </w:r>
      <w:r w:rsidRPr="00646C19">
        <w:t>лидности и развития, цель которого – привлечь внимание к необходимости ус</w:t>
      </w:r>
      <w:r w:rsidRPr="00646C19">
        <w:t>и</w:t>
      </w:r>
      <w:r w:rsidRPr="00646C19">
        <w:t>ливать их интеграцию, обращая при этом особое внимание на обсуждение п</w:t>
      </w:r>
      <w:r w:rsidRPr="00646C19">
        <w:t>о</w:t>
      </w:r>
      <w:r w:rsidRPr="00646C19">
        <w:t>вестки дня в области развития после 2015</w:t>
      </w:r>
      <w:r w:rsidR="005507FC">
        <w:t xml:space="preserve"> </w:t>
      </w:r>
      <w:r w:rsidRPr="00646C19">
        <w:t>года. Испания и Филиппины выст</w:t>
      </w:r>
      <w:r w:rsidRPr="00646C19">
        <w:t>у</w:t>
      </w:r>
      <w:r w:rsidRPr="00646C19">
        <w:t>пили в качестве соавторов Итогового документа этого СВУ, в котором опред</w:t>
      </w:r>
      <w:r w:rsidRPr="00646C19">
        <w:t>е</w:t>
      </w:r>
      <w:r w:rsidRPr="00646C19">
        <w:t>лены обязательства международного сообщества в данной области.</w:t>
      </w:r>
    </w:p>
    <w:p w:rsidR="00646C19" w:rsidRPr="00646C19" w:rsidRDefault="00646C19" w:rsidP="00E060E9">
      <w:pPr>
        <w:pStyle w:val="H23GR"/>
      </w:pPr>
      <w:r w:rsidRPr="00646C19">
        <w:tab/>
        <w:t>5.</w:t>
      </w:r>
      <w:r w:rsidRPr="00646C19">
        <w:tab/>
        <w:t>Предпринимательская деятельность и права человека</w:t>
      </w:r>
    </w:p>
    <w:p w:rsidR="00646C19" w:rsidRPr="00646C19" w:rsidRDefault="00646C19" w:rsidP="00646C19">
      <w:pPr>
        <w:pStyle w:val="SingleTxtGR"/>
      </w:pPr>
      <w:r w:rsidRPr="00646C19">
        <w:t>161.</w:t>
      </w:r>
      <w:r w:rsidRPr="00646C19">
        <w:tab/>
        <w:t>Испания решительно поддерживает Руководящие принципы в отношении предпринимательской деятельности и прав человека, равно как и различные механизмы и меры в этой области, как, например, деятельность Рабочей гру</w:t>
      </w:r>
      <w:r w:rsidRPr="00646C19">
        <w:t>п</w:t>
      </w:r>
      <w:r w:rsidRPr="00646C19">
        <w:t>пы, Форума по вопросам предпринимательской деятельности и прав человека или национальных планов по осуществлению соответствующей деятельности. Кроме того, Испания поддерживает Руководящие принципы ОЭСР для мног</w:t>
      </w:r>
      <w:r w:rsidRPr="00646C19">
        <w:t>о</w:t>
      </w:r>
      <w:r w:rsidRPr="00646C19">
        <w:t>национальных предприятий, принципы Глобального договора и деятельность МОТ в отношении социальной ответственности предприятий.</w:t>
      </w:r>
    </w:p>
    <w:p w:rsidR="00646C19" w:rsidRPr="00646C19" w:rsidRDefault="00646C19" w:rsidP="00646C19">
      <w:pPr>
        <w:pStyle w:val="SingleTxtGR"/>
      </w:pPr>
      <w:r w:rsidRPr="00646C19">
        <w:t>162.</w:t>
      </w:r>
      <w:r w:rsidRPr="00646C19">
        <w:tab/>
        <w:t>Во исполнение положений Национального стратегического механизма и плана действий Европейского союза "Права человека и демократия" Испания в конце 2012</w:t>
      </w:r>
      <w:r w:rsidR="005507FC">
        <w:t xml:space="preserve"> </w:t>
      </w:r>
      <w:r w:rsidRPr="00646C19">
        <w:t>года приступила к разработке Национального плана по осуществл</w:t>
      </w:r>
      <w:r w:rsidRPr="00646C19">
        <w:t>е</w:t>
      </w:r>
      <w:r w:rsidRPr="00646C19">
        <w:t>нию Руководящих принципов Организации Объединенных Наций. План широко обсуждался с органами государственной администрации, предприятиями и гражданским обществом, встретив с их стороны широкую поддержку, и ожид</w:t>
      </w:r>
      <w:r w:rsidRPr="00646C19">
        <w:t>а</w:t>
      </w:r>
      <w:r w:rsidRPr="00646C19">
        <w:t xml:space="preserve">ется, что он будет принят в ближайшие месяцы. </w:t>
      </w:r>
    </w:p>
    <w:p w:rsidR="00646C19" w:rsidRPr="00646C19" w:rsidRDefault="00646C19" w:rsidP="00E060E9">
      <w:pPr>
        <w:pStyle w:val="H23GR"/>
      </w:pPr>
      <w:r w:rsidRPr="00646C19">
        <w:tab/>
        <w:t>6.</w:t>
      </w:r>
      <w:r w:rsidRPr="00646C19">
        <w:tab/>
        <w:t>Правозащитники</w:t>
      </w:r>
    </w:p>
    <w:p w:rsidR="00646C19" w:rsidRPr="00646C19" w:rsidRDefault="00646C19" w:rsidP="00646C19">
      <w:pPr>
        <w:pStyle w:val="SingleTxtGR"/>
      </w:pPr>
      <w:r w:rsidRPr="00646C19">
        <w:t>163.</w:t>
      </w:r>
      <w:r w:rsidRPr="00646C19">
        <w:tab/>
        <w:t>Испания, будучи членом ЕС, содействует осуществлению принятых в 2004</w:t>
      </w:r>
      <w:r w:rsidR="005507FC">
        <w:t xml:space="preserve"> </w:t>
      </w:r>
      <w:r w:rsidRPr="00646C19">
        <w:t>году и пересмотренных в 2008</w:t>
      </w:r>
      <w:r w:rsidR="005507FC">
        <w:t xml:space="preserve"> </w:t>
      </w:r>
      <w:r w:rsidRPr="00646C19">
        <w:t>году Руководящих принципов ЕС в отн</w:t>
      </w:r>
      <w:r w:rsidRPr="00646C19">
        <w:t>о</w:t>
      </w:r>
      <w:r w:rsidRPr="00646C19">
        <w:t>шении правозащитников. В период своего председательства в ЕС Испания мн</w:t>
      </w:r>
      <w:r w:rsidRPr="00646C19">
        <w:t>о</w:t>
      </w:r>
      <w:r w:rsidRPr="00646C19">
        <w:t>гое сделала для реализации этих Руководящих принципов, став инициатором проведения ежегодной встречи правозащитников и дипломатических работн</w:t>
      </w:r>
      <w:r w:rsidRPr="00646C19">
        <w:t>и</w:t>
      </w:r>
      <w:r w:rsidRPr="00646C19">
        <w:t>ков, разработки и пересмотра местных стратегий поощрения и поддержки де</w:t>
      </w:r>
      <w:r w:rsidRPr="00646C19">
        <w:t>я</w:t>
      </w:r>
      <w:r w:rsidRPr="00646C19">
        <w:t>тельности правозащитников и назначения координаторов ЕС по делам правоз</w:t>
      </w:r>
      <w:r w:rsidRPr="00646C19">
        <w:t>а</w:t>
      </w:r>
      <w:r w:rsidRPr="00646C19">
        <w:t>щитников в третьих странах.</w:t>
      </w:r>
    </w:p>
    <w:p w:rsidR="00646C19" w:rsidRPr="00646C19" w:rsidRDefault="00646C19" w:rsidP="00646C19">
      <w:pPr>
        <w:pStyle w:val="SingleTxtGR"/>
      </w:pPr>
      <w:r w:rsidRPr="00646C19">
        <w:t>164.</w:t>
      </w:r>
      <w:r w:rsidRPr="00646C19">
        <w:tab/>
        <w:t>Испания решительно выступает за разработку опубликованных в 2014</w:t>
      </w:r>
      <w:r w:rsidR="005507FC">
        <w:t xml:space="preserve"> </w:t>
      </w:r>
      <w:r w:rsidRPr="00646C19">
        <w:t>г</w:t>
      </w:r>
      <w:r w:rsidRPr="00646C19">
        <w:t>о</w:t>
      </w:r>
      <w:r w:rsidRPr="00646C19">
        <w:t>ду Руководящих принципов ОБСЕ по обеспечению защиты правозащитников. Последовательно выступая за поощрение и защиту деятельности правозащи</w:t>
      </w:r>
      <w:r w:rsidRPr="00646C19">
        <w:t>т</w:t>
      </w:r>
      <w:r w:rsidRPr="00646C19">
        <w:t>ников, Министерство иностранных дел и сотрудничества приступило в 1995</w:t>
      </w:r>
      <w:r w:rsidR="005507FC">
        <w:t xml:space="preserve"> </w:t>
      </w:r>
      <w:r w:rsidRPr="00646C19">
        <w:t>г</w:t>
      </w:r>
      <w:r w:rsidRPr="00646C19">
        <w:t>о</w:t>
      </w:r>
      <w:r w:rsidRPr="00646C19">
        <w:t>ду к осуществлению программы защиты правозащитников, подвергающихся риску, и к настоящему времени предоставило временное убежище 200</w:t>
      </w:r>
      <w:r w:rsidR="005507FC">
        <w:t xml:space="preserve"> </w:t>
      </w:r>
      <w:r w:rsidRPr="00646C19">
        <w:t>правоз</w:t>
      </w:r>
      <w:r w:rsidRPr="00646C19">
        <w:t>а</w:t>
      </w:r>
      <w:r w:rsidRPr="00646C19">
        <w:t>щитникам, сотрудничая в этой области с другими программами по защите пр</w:t>
      </w:r>
      <w:r w:rsidRPr="00646C19">
        <w:t>а</w:t>
      </w:r>
      <w:r w:rsidRPr="00646C19">
        <w:t>возащитников – Испанского отделения организации "Международная амн</w:t>
      </w:r>
      <w:r w:rsidRPr="00646C19">
        <w:t>и</w:t>
      </w:r>
      <w:r w:rsidRPr="00646C19">
        <w:t>стия", правительства княжества Астурия, Управления по делам жертв и правам человека правительства Страны Басков и Управления по правам человека пр</w:t>
      </w:r>
      <w:r w:rsidRPr="00646C19">
        <w:t>а</w:t>
      </w:r>
      <w:r w:rsidRPr="00646C19">
        <w:t>вительства Каталонии. Последнее прекратило свое существование в 2012</w:t>
      </w:r>
      <w:r w:rsidR="005507FC">
        <w:t xml:space="preserve"> </w:t>
      </w:r>
      <w:r w:rsidRPr="00646C19">
        <w:t>году.</w:t>
      </w:r>
    </w:p>
    <w:p w:rsidR="00646C19" w:rsidRPr="00646C19" w:rsidRDefault="00646C19" w:rsidP="00E060E9">
      <w:pPr>
        <w:pStyle w:val="HChGR"/>
      </w:pPr>
      <w:r w:rsidRPr="00646C19">
        <w:tab/>
      </w:r>
      <w:bookmarkStart w:id="12" w:name="_Toc420072046"/>
      <w:r w:rsidRPr="00646C19">
        <w:t>III.</w:t>
      </w:r>
      <w:r w:rsidRPr="00646C19">
        <w:tab/>
        <w:t>Информация, касающаяся равенства и</w:t>
      </w:r>
      <w:r w:rsidR="00E060E9">
        <w:t> </w:t>
      </w:r>
      <w:r w:rsidRPr="00646C19">
        <w:t>недискриминации</w:t>
      </w:r>
      <w:bookmarkEnd w:id="12"/>
    </w:p>
    <w:p w:rsidR="00646C19" w:rsidRPr="00646C19" w:rsidRDefault="00646C19" w:rsidP="00E060E9">
      <w:pPr>
        <w:pStyle w:val="H1GR"/>
      </w:pPr>
      <w:r w:rsidRPr="00646C19">
        <w:tab/>
      </w:r>
      <w:bookmarkStart w:id="13" w:name="_Toc420072047"/>
      <w:r w:rsidRPr="00646C19">
        <w:t>A.</w:t>
      </w:r>
      <w:r w:rsidRPr="00646C19">
        <w:tab/>
        <w:t>Недопущение дискриминации</w:t>
      </w:r>
      <w:bookmarkEnd w:id="13"/>
    </w:p>
    <w:p w:rsidR="00646C19" w:rsidRPr="00646C19" w:rsidRDefault="00646C19" w:rsidP="00646C19">
      <w:pPr>
        <w:pStyle w:val="SingleTxtGR"/>
      </w:pPr>
      <w:r w:rsidRPr="00646C19">
        <w:t>165.</w:t>
      </w:r>
      <w:r w:rsidRPr="00646C19">
        <w:tab/>
        <w:t>Из государственного бюджета субсидируется, помимо всего прочего, де</w:t>
      </w:r>
      <w:r w:rsidRPr="00646C19">
        <w:t>я</w:t>
      </w:r>
      <w:r w:rsidRPr="00646C19">
        <w:t>тельность НПО, занимающихся вопросами иммигрантов, и самих ассоциаций иммигрантов в следующих областях: комплексный прием, дополнительные о</w:t>
      </w:r>
      <w:r w:rsidRPr="00646C19">
        <w:t>б</w:t>
      </w:r>
      <w:r w:rsidRPr="00646C19">
        <w:t>разовательные программы, здравоохранение, улучшение положения женщин, добровольное возвращение, просвещение, трудовая интеграция, а также де</w:t>
      </w:r>
      <w:r w:rsidRPr="00646C19">
        <w:t>я</w:t>
      </w:r>
      <w:r w:rsidRPr="00646C19">
        <w:t>тельность, направленная на организационное и структурное совершенствование этих ассоциаций. В 2013</w:t>
      </w:r>
      <w:r w:rsidR="005507FC">
        <w:t xml:space="preserve"> </w:t>
      </w:r>
      <w:r w:rsidRPr="00646C19">
        <w:t>году на поддержку соответствующих программ было выделено – при участии Фондов солидарности Европейского союза и Европе</w:t>
      </w:r>
      <w:r w:rsidRPr="00646C19">
        <w:t>й</w:t>
      </w:r>
      <w:r w:rsidRPr="00646C19">
        <w:t>ского социального фонда – до 64</w:t>
      </w:r>
      <w:r w:rsidR="005507FC">
        <w:t xml:space="preserve"> </w:t>
      </w:r>
      <w:r w:rsidRPr="00646C19">
        <w:t>млн.</w:t>
      </w:r>
      <w:r w:rsidR="005507FC">
        <w:t xml:space="preserve"> </w:t>
      </w:r>
      <w:r w:rsidRPr="00646C19">
        <w:t>евро.</w:t>
      </w:r>
    </w:p>
    <w:p w:rsidR="00646C19" w:rsidRPr="00646C19" w:rsidRDefault="00646C19" w:rsidP="00646C19">
      <w:pPr>
        <w:pStyle w:val="SingleTxtGR"/>
      </w:pPr>
      <w:r w:rsidRPr="00646C19">
        <w:t>166.</w:t>
      </w:r>
      <w:r w:rsidRPr="00646C19">
        <w:tab/>
        <w:t>Форум по социальной интеграции иммигрантов осуществляет информ</w:t>
      </w:r>
      <w:r w:rsidRPr="00646C19">
        <w:t>и</w:t>
      </w:r>
      <w:r w:rsidRPr="00646C19">
        <w:t>рование и консультирование правительства по проблемам интеграции имм</w:t>
      </w:r>
      <w:r w:rsidRPr="00646C19">
        <w:t>и</w:t>
      </w:r>
      <w:r w:rsidRPr="00646C19">
        <w:t>грантов. Форум готовит предложения и заключения по содействию интеграции иммигрантов, представляет доклад с рекомендациями в отношении законов и проектов центральных государственных органов по вопросам интеграции и</w:t>
      </w:r>
      <w:r w:rsidRPr="00646C19">
        <w:t>м</w:t>
      </w:r>
      <w:r w:rsidRPr="00646C19">
        <w:t>мигрантов до их принятия, а также составляет ежегодный доклад по вопросам социальной интеграции иммигрантов. Форум является трехсторонним органом, в котором на равных началах представлены органы государственного управл</w:t>
      </w:r>
      <w:r w:rsidRPr="00646C19">
        <w:t>е</w:t>
      </w:r>
      <w:r w:rsidRPr="00646C19">
        <w:t>ния (национального уровня, на уровне автономных сообществ и местного уро</w:t>
      </w:r>
      <w:r w:rsidRPr="00646C19">
        <w:t>в</w:t>
      </w:r>
      <w:r w:rsidRPr="00646C19">
        <w:t>ня), организации, работающие в интересах иммигрантов, включая объединения предпринимателей и профсоюзы, а также ассоциации иммигрантов.</w:t>
      </w:r>
    </w:p>
    <w:p w:rsidR="00646C19" w:rsidRPr="00646C19" w:rsidRDefault="00646C19" w:rsidP="00646C19">
      <w:pPr>
        <w:pStyle w:val="SingleTxtGR"/>
      </w:pPr>
      <w:r w:rsidRPr="00646C19">
        <w:t>167.</w:t>
      </w:r>
      <w:r w:rsidRPr="00646C19">
        <w:tab/>
        <w:t>Силы и органы государственной безопасности в целом проводят мер</w:t>
      </w:r>
      <w:r w:rsidRPr="00646C19">
        <w:t>о</w:t>
      </w:r>
      <w:r w:rsidRPr="00646C19">
        <w:t>приятия по осуществлению планов, разрабатываемых Государственным секр</w:t>
      </w:r>
      <w:r w:rsidRPr="00646C19">
        <w:t>е</w:t>
      </w:r>
      <w:r w:rsidRPr="00646C19">
        <w:t>тариатом по вопросам безопасности, в том числе Директивного плана по сос</w:t>
      </w:r>
      <w:r w:rsidRPr="00646C19">
        <w:t>у</w:t>
      </w:r>
      <w:r w:rsidRPr="00646C19">
        <w:t>ществованию и улучшению безопасности в образовательных центрах и вокруг них, Плана повышения безопасности и Плана противодействия организова</w:t>
      </w:r>
      <w:r w:rsidRPr="00646C19">
        <w:t>н</w:t>
      </w:r>
      <w:r w:rsidRPr="00646C19">
        <w:t>ным молодежным группировкам, склонным к совершению насильственных действий. Кроме того, среди других мер следует отметить принятие Стратег</w:t>
      </w:r>
      <w:r w:rsidRPr="00646C19">
        <w:t>и</w:t>
      </w:r>
      <w:r w:rsidRPr="00646C19">
        <w:t>ческого плана действий национального корпуса полиции на 2013–2016</w:t>
      </w:r>
      <w:r w:rsidR="005507FC">
        <w:t xml:space="preserve"> </w:t>
      </w:r>
      <w:r w:rsidRPr="00646C19">
        <w:t>годы, который в разделе о социально незащищенных группах ставит своей задачей проведение комплексных мероприятий по обеспечению действенной защиты потерпевших и повышению эффективности расследования преступлений, обе</w:t>
      </w:r>
      <w:r w:rsidRPr="00646C19">
        <w:t>с</w:t>
      </w:r>
      <w:r w:rsidRPr="00646C19">
        <w:t>печивая безопасность несовершеннолетних, прежде всего в школах и социал</w:t>
      </w:r>
      <w:r w:rsidRPr="00646C19">
        <w:t>ь</w:t>
      </w:r>
      <w:r w:rsidRPr="00646C19">
        <w:t>ных сетях, а также по предупреждению насилия в отношении несовершенн</w:t>
      </w:r>
      <w:r w:rsidRPr="00646C19">
        <w:t>о</w:t>
      </w:r>
      <w:r w:rsidRPr="00646C19">
        <w:t>летних, подвергающихся риску социальной изоляции, и насилия в отношении лиц с инвалидностью. Речь идет о системе раннего предупреждения, позвол</w:t>
      </w:r>
      <w:r w:rsidRPr="00646C19">
        <w:t>я</w:t>
      </w:r>
      <w:r w:rsidRPr="00646C19">
        <w:t>ющей устанавливать подобные проявления дискриминации с целью ее пред</w:t>
      </w:r>
      <w:r w:rsidRPr="00646C19">
        <w:t>у</w:t>
      </w:r>
      <w:r w:rsidRPr="00646C19">
        <w:t>преждения или, в случае необходимости, принятия соответствующих ответных мер. Такая профилактическая работа ведется в социальных сетях, виртуальных сообществах и на форумах и имеет целью выявление преступлений, ситуаций риска или возможных угроз. Для недопущения дискриминации в отношении религиозных меньшинств и лиц, подвергающихся риску социальной изоляции, предусматривается создание групп с участием специалистов в разных областях для разработки единой модели оказания помощи на основе принятия комплек</w:t>
      </w:r>
      <w:r w:rsidRPr="00646C19">
        <w:t>с</w:t>
      </w:r>
      <w:r w:rsidRPr="00646C19">
        <w:t>ных мер.</w:t>
      </w:r>
    </w:p>
    <w:p w:rsidR="00646C19" w:rsidRPr="00646C19" w:rsidRDefault="00646C19" w:rsidP="00E060E9">
      <w:pPr>
        <w:pStyle w:val="H1GR"/>
      </w:pPr>
      <w:r w:rsidRPr="00646C19">
        <w:tab/>
      </w:r>
      <w:bookmarkStart w:id="14" w:name="_Toc420072048"/>
      <w:r w:rsidRPr="00646C19">
        <w:t>B.</w:t>
      </w:r>
      <w:r w:rsidRPr="00646C19">
        <w:tab/>
        <w:t>Борьба против расизма и ксенофобии</w:t>
      </w:r>
      <w:bookmarkEnd w:id="14"/>
    </w:p>
    <w:p w:rsidR="00646C19" w:rsidRPr="00646C19" w:rsidRDefault="00646C19" w:rsidP="00646C19">
      <w:pPr>
        <w:pStyle w:val="SingleTxtGR"/>
      </w:pPr>
      <w:r w:rsidRPr="00646C19">
        <w:t>168.</w:t>
      </w:r>
      <w:r w:rsidRPr="00646C19">
        <w:tab/>
        <w:t>Основными органами, проводящими комплексную государственную п</w:t>
      </w:r>
      <w:r w:rsidRPr="00646C19">
        <w:t>о</w:t>
      </w:r>
      <w:r w:rsidRPr="00646C19">
        <w:t>литику в этой области, являются подведомственный Министерству здравоохр</w:t>
      </w:r>
      <w:r w:rsidRPr="00646C19">
        <w:t>а</w:t>
      </w:r>
      <w:r w:rsidRPr="00646C19">
        <w:t>нения, социального обеспечения и по вопросам равенства Генеральный секр</w:t>
      </w:r>
      <w:r w:rsidRPr="00646C19">
        <w:t>е</w:t>
      </w:r>
      <w:r w:rsidRPr="00646C19">
        <w:t>тариат по вопросам иммиграции и эмиграции в структуре Министерства труда и социального обеспечения в лице Наблюдательного совета по борьбе против расизма и ксенофобии (НСБРК) и Государственный секретариат по безопасн</w:t>
      </w:r>
      <w:r w:rsidRPr="00646C19">
        <w:t>о</w:t>
      </w:r>
      <w:r w:rsidRPr="00646C19">
        <w:t>сти в структуре Министерства внутренних дел, который с помощью госуда</w:t>
      </w:r>
      <w:r w:rsidRPr="00646C19">
        <w:t>р</w:t>
      </w:r>
      <w:r w:rsidRPr="00646C19">
        <w:t>ственных сил и служб безопасности проводит профилактическую работу, стр</w:t>
      </w:r>
      <w:r w:rsidRPr="00646C19">
        <w:t>е</w:t>
      </w:r>
      <w:r w:rsidRPr="00646C19">
        <w:t>мясь не допустить совершения уголовных и административных правонаруш</w:t>
      </w:r>
      <w:r w:rsidRPr="00646C19">
        <w:t>е</w:t>
      </w:r>
      <w:r w:rsidRPr="00646C19">
        <w:t>ний и наказать виновных в совершении правонарушений в ходе спортивных м</w:t>
      </w:r>
      <w:r w:rsidRPr="00646C19">
        <w:t>е</w:t>
      </w:r>
      <w:r w:rsidRPr="00646C19">
        <w:t>роприятий. Кроме того, с 2012</w:t>
      </w:r>
      <w:r w:rsidR="005507FC">
        <w:t xml:space="preserve"> </w:t>
      </w:r>
      <w:r w:rsidRPr="00646C19">
        <w:t>года это ведомство начало сбор и публикацию данных о проявлениях расизма и ксенофобии, предполагающих уголовную и административную ответственность. Государственному секретариату по вопр</w:t>
      </w:r>
      <w:r w:rsidRPr="00646C19">
        <w:t>о</w:t>
      </w:r>
      <w:r w:rsidRPr="00646C19">
        <w:t>сам социального обеспечения и равенства поручено, в частности, координир</w:t>
      </w:r>
      <w:r w:rsidRPr="00646C19">
        <w:t>о</w:t>
      </w:r>
      <w:r w:rsidRPr="00646C19">
        <w:t>вать политику центральных государственных органов в сфере равенства, пр</w:t>
      </w:r>
      <w:r w:rsidRPr="00646C19">
        <w:t>е</w:t>
      </w:r>
      <w:r w:rsidRPr="00646C19">
        <w:t>дупреждения и недопущения любых форм дискриминации по признаку пола, расового или этнического происхождения, религии или идеологии, сексуальной ориентации, возраста или любых других индивидуальных или социальных ос</w:t>
      </w:r>
      <w:r w:rsidRPr="00646C19">
        <w:t>о</w:t>
      </w:r>
      <w:r w:rsidRPr="00646C19">
        <w:t>бенностей или обстоятельств, а также развивать сотрудничество с органами власти автономных сообществ и местными учреждениями. Эти функции в</w:t>
      </w:r>
      <w:r w:rsidRPr="00646C19">
        <w:t>ы</w:t>
      </w:r>
      <w:r w:rsidRPr="00646C19">
        <w:t>полняет также Главное управление по обеспечению равенства возможностей.</w:t>
      </w:r>
    </w:p>
    <w:p w:rsidR="00646C19" w:rsidRPr="00646C19" w:rsidRDefault="00646C19" w:rsidP="00646C19">
      <w:pPr>
        <w:pStyle w:val="SingleTxtGR"/>
      </w:pPr>
      <w:r w:rsidRPr="00646C19">
        <w:t>169.</w:t>
      </w:r>
      <w:r w:rsidRPr="00646C19">
        <w:tab/>
        <w:t>На Главное управление по обеспечению равенства возможностей возл</w:t>
      </w:r>
      <w:r w:rsidRPr="00646C19">
        <w:t>о</w:t>
      </w:r>
      <w:r w:rsidRPr="00646C19">
        <w:t>жены обязанности по содействию в обеспечении повсеместного применения принципа равного обращения и недопущения дискриминации; по разработке, планированию и координации, в каждом конкретном случае, действий и мер, посредством которых государственные органы способствуют утверждению ра</w:t>
      </w:r>
      <w:r w:rsidRPr="00646C19">
        <w:t>в</w:t>
      </w:r>
      <w:r w:rsidRPr="00646C19">
        <w:t>ного обращения и недопущения дискриминации, а также по сотрудничеству в этой сфере с автономными сообществами и другими государственными и час</w:t>
      </w:r>
      <w:r w:rsidRPr="00646C19">
        <w:t>т</w:t>
      </w:r>
      <w:r w:rsidRPr="00646C19">
        <w:t>ными структурами; по подготовке докладов и исследований, а также анализу и оценке статистических данных по вопросам, касающимся равного обращения и недопущения дискриминации; по ведению информационной работы и обмену данными с другими министерскими органами и государственными или частн</w:t>
      </w:r>
      <w:r w:rsidRPr="00646C19">
        <w:t>ы</w:t>
      </w:r>
      <w:r w:rsidRPr="00646C19">
        <w:t>ми структурами, действующими на международном и национальном уровнях, уровне автономных сообществ и на местном уровне; по разработке инициатив и мероприятий, касающихся повышения уровня осведомленности общественн</w:t>
      </w:r>
      <w:r w:rsidRPr="00646C19">
        <w:t>о</w:t>
      </w:r>
      <w:r w:rsidRPr="00646C19">
        <w:t>сти, информирования, обучения, привлечения к участию, а также любых других мероприятий, необходимых для утверждения равного обращения и недопущ</w:t>
      </w:r>
      <w:r w:rsidRPr="00646C19">
        <w:t>е</w:t>
      </w:r>
      <w:r w:rsidRPr="00646C19">
        <w:t>ния дискриминации. На основании пункта</w:t>
      </w:r>
      <w:r w:rsidR="005507FC">
        <w:t xml:space="preserve"> </w:t>
      </w:r>
      <w:r w:rsidRPr="00646C19">
        <w:t>6 статьи</w:t>
      </w:r>
      <w:r w:rsidR="005507FC">
        <w:t xml:space="preserve"> </w:t>
      </w:r>
      <w:r w:rsidRPr="00646C19">
        <w:t>4 Королевского декр</w:t>
      </w:r>
      <w:r w:rsidRPr="00646C19">
        <w:t>е</w:t>
      </w:r>
      <w:r w:rsidRPr="00646C19">
        <w:t>та</w:t>
      </w:r>
      <w:r w:rsidR="00E060E9">
        <w:t> </w:t>
      </w:r>
      <w:r w:rsidRPr="00646C19">
        <w:t>№</w:t>
      </w:r>
      <w:r w:rsidR="00E060E9">
        <w:t> </w:t>
      </w:r>
      <w:r w:rsidRPr="00646C19">
        <w:t>200/2012 при данном Управлении функционирует Совет по поощрению равного обращения и недискриминации по признаку расового или этнического происхождения. Задача этого Совета, деятельность которого регулируется К</w:t>
      </w:r>
      <w:r w:rsidRPr="00646C19">
        <w:t>о</w:t>
      </w:r>
      <w:r w:rsidRPr="00646C19">
        <w:t>ролевским декретом</w:t>
      </w:r>
      <w:r w:rsidR="005507FC">
        <w:t xml:space="preserve"> </w:t>
      </w:r>
      <w:r w:rsidRPr="00646C19">
        <w:t>№</w:t>
      </w:r>
      <w:r w:rsidR="005507FC">
        <w:t xml:space="preserve"> </w:t>
      </w:r>
      <w:r w:rsidRPr="00646C19">
        <w:t>1262/2007 от 21</w:t>
      </w:r>
      <w:r w:rsidR="005507FC">
        <w:t xml:space="preserve"> </w:t>
      </w:r>
      <w:r w:rsidRPr="00646C19">
        <w:t>сентября 2007</w:t>
      </w:r>
      <w:r w:rsidR="005507FC">
        <w:t xml:space="preserve"> </w:t>
      </w:r>
      <w:r w:rsidRPr="00646C19">
        <w:t>года, – поощрение при</w:t>
      </w:r>
      <w:r w:rsidRPr="00646C19">
        <w:t>н</w:t>
      </w:r>
      <w:r w:rsidRPr="00646C19">
        <w:t>ципа равного обращения и недопущения дискриминации по мотивам расовой принадлежности или этнического происхождения в сферах образования, здр</w:t>
      </w:r>
      <w:r w:rsidRPr="00646C19">
        <w:t>а</w:t>
      </w:r>
      <w:r w:rsidRPr="00646C19">
        <w:t>воохранения, социального обеспечения и социальных услуг, жилья и в целом в области предложения и доступа к любым товарам и услугам, а также в области трудоустройства. Для решения этой задачи Совету, являющемуся независимым органом, поручено, в числе прочего, оказывать помощь жертвам дискримин</w:t>
      </w:r>
      <w:r w:rsidRPr="00646C19">
        <w:t>а</w:t>
      </w:r>
      <w:r w:rsidRPr="00646C19">
        <w:t>ции, проводить исследования и готовить доклады, а также давать рекоменд</w:t>
      </w:r>
      <w:r w:rsidRPr="00646C19">
        <w:t>а</w:t>
      </w:r>
      <w:r w:rsidRPr="00646C19">
        <w:t>ции. После своего создания в 2010</w:t>
      </w:r>
      <w:r w:rsidR="005507FC">
        <w:t xml:space="preserve"> </w:t>
      </w:r>
      <w:r w:rsidRPr="00646C19">
        <w:t xml:space="preserve">году Совет осуществил ряд мероприятий, в числе которых особо следует отметить: </w:t>
      </w:r>
    </w:p>
    <w:p w:rsidR="00646C19" w:rsidRPr="00646C19" w:rsidRDefault="00646C19" w:rsidP="00E060E9">
      <w:pPr>
        <w:pStyle w:val="Bullet1GR"/>
      </w:pPr>
      <w:r w:rsidRPr="00646C19">
        <w:t>создание Службы помощи жертвам дискриминации;</w:t>
      </w:r>
    </w:p>
    <w:p w:rsidR="00646C19" w:rsidRPr="00646C19" w:rsidRDefault="00646C19" w:rsidP="00E060E9">
      <w:pPr>
        <w:pStyle w:val="Bullet1GR"/>
      </w:pPr>
      <w:r w:rsidRPr="00646C19">
        <w:t>проведение исследования по проблемам восприятия дискриминации по мотивам расовой принадлежности или этнического происхождения п</w:t>
      </w:r>
      <w:r w:rsidRPr="00646C19">
        <w:t>о</w:t>
      </w:r>
      <w:r w:rsidRPr="00646C19">
        <w:t>тенциальными жертвами такой дискриминации;</w:t>
      </w:r>
    </w:p>
    <w:p w:rsidR="00646C19" w:rsidRPr="00646C19" w:rsidRDefault="00646C19" w:rsidP="00E060E9">
      <w:pPr>
        <w:pStyle w:val="Bullet1GR"/>
      </w:pPr>
      <w:r w:rsidRPr="00646C19">
        <w:t>исследование относительно ситуации в Испании в сфере дискриминации по мотивам расовой принадлежности или этнического происхождения.</w:t>
      </w:r>
    </w:p>
    <w:p w:rsidR="00646C19" w:rsidRPr="00646C19" w:rsidRDefault="00646C19" w:rsidP="00646C19">
      <w:pPr>
        <w:pStyle w:val="SingleTxtGR"/>
      </w:pPr>
      <w:r w:rsidRPr="00646C19">
        <w:t>170.</w:t>
      </w:r>
      <w:r w:rsidRPr="00646C19">
        <w:tab/>
        <w:t>Испанский наблюдательный совет по борьбе против расизма и ксеноф</w:t>
      </w:r>
      <w:r w:rsidRPr="00646C19">
        <w:t>о</w:t>
      </w:r>
      <w:r w:rsidRPr="00646C19">
        <w:t>бии функционирует в структуре Генерального секретариата по вопросам имм</w:t>
      </w:r>
      <w:r w:rsidRPr="00646C19">
        <w:t>и</w:t>
      </w:r>
      <w:r w:rsidRPr="00646C19">
        <w:t>грации и эмиграции при Министерстве труда и социального обеспечения. Его основной задачей являются создание информационной системы для сбора и о</w:t>
      </w:r>
      <w:r w:rsidRPr="00646C19">
        <w:t>б</w:t>
      </w:r>
      <w:r w:rsidRPr="00646C19">
        <w:t>работки информации о расизме и ксенофобии, позволяющей получить пре</w:t>
      </w:r>
      <w:r w:rsidRPr="00646C19">
        <w:t>д</w:t>
      </w:r>
      <w:r w:rsidRPr="00646C19">
        <w:t>ставление о ситуации в этой сфере и ее возможном развитии; обеспечение с</w:t>
      </w:r>
      <w:r w:rsidRPr="00646C19">
        <w:t>о</w:t>
      </w:r>
      <w:r w:rsidRPr="00646C19">
        <w:t>блюдения принципа равного обращения и недопущения дискриминации и бор</w:t>
      </w:r>
      <w:r w:rsidRPr="00646C19">
        <w:t>ь</w:t>
      </w:r>
      <w:r w:rsidRPr="00646C19">
        <w:t>ба с расизмом и ксенофобией; а также сотрудничество с различными междун</w:t>
      </w:r>
      <w:r w:rsidRPr="00646C19">
        <w:t>а</w:t>
      </w:r>
      <w:r w:rsidRPr="00646C19">
        <w:t>родными и национальными государственными и частными структурами, зан</w:t>
      </w:r>
      <w:r w:rsidRPr="00646C19">
        <w:t>и</w:t>
      </w:r>
      <w:r w:rsidRPr="00646C19">
        <w:t>мающимися проблемами предупреждения расизма и ксенофобии и борьбы с этими явлениями. Наблюдательный совет работает по следующим направлен</w:t>
      </w:r>
      <w:r w:rsidRPr="00646C19">
        <w:t>и</w:t>
      </w:r>
      <w:r w:rsidRPr="00646C19">
        <w:t>ям:</w:t>
      </w:r>
    </w:p>
    <w:p w:rsidR="00646C19" w:rsidRPr="00646C19" w:rsidRDefault="00E060E9" w:rsidP="00646C19">
      <w:pPr>
        <w:pStyle w:val="SingleTxtGR"/>
      </w:pPr>
      <w:r>
        <w:tab/>
      </w:r>
      <w:r w:rsidR="00646C19" w:rsidRPr="00646C19">
        <w:t>a)</w:t>
      </w:r>
      <w:r w:rsidR="00646C19" w:rsidRPr="00646C19">
        <w:tab/>
      </w:r>
      <w:r w:rsidRPr="00646C19">
        <w:t xml:space="preserve">координация </w:t>
      </w:r>
      <w:r w:rsidR="00646C19" w:rsidRPr="00646C19">
        <w:t>разработки Комплексной стратегии борьбы против р</w:t>
      </w:r>
      <w:r w:rsidR="00646C19" w:rsidRPr="00646C19">
        <w:t>а</w:t>
      </w:r>
      <w:r w:rsidR="00646C19" w:rsidRPr="00646C19">
        <w:t>сизма, расовой дискриминации, ксенофобии и связанной с ними нетерпимости. Эта Стратегия, утвержденная постановлением Совета министров от 4</w:t>
      </w:r>
      <w:r w:rsidR="005507FC">
        <w:t xml:space="preserve"> </w:t>
      </w:r>
      <w:r w:rsidR="00646C19" w:rsidRPr="00646C19">
        <w:t>ноября 2011</w:t>
      </w:r>
      <w:r w:rsidR="005507FC">
        <w:t xml:space="preserve"> </w:t>
      </w:r>
      <w:r w:rsidR="00646C19" w:rsidRPr="00646C19">
        <w:t>года, была разработана на основе консультаций с гражданским обществом и рядом экспертов – как представляющих министерские департаменты, так и внешних. На основе проведенного анализа были намечены 41 цель и 129</w:t>
      </w:r>
      <w:r>
        <w:t> </w:t>
      </w:r>
      <w:r w:rsidR="00646C19" w:rsidRPr="00646C19">
        <w:t>мер в различных областях. Текст Стратегии на испанском и английском языках ра</w:t>
      </w:r>
      <w:r w:rsidR="00646C19" w:rsidRPr="00646C19">
        <w:t>з</w:t>
      </w:r>
      <w:r>
        <w:t>мещен в сети Интернет;</w:t>
      </w:r>
    </w:p>
    <w:p w:rsidR="00646C19" w:rsidRPr="00E060E9" w:rsidRDefault="00E060E9" w:rsidP="00646C19">
      <w:pPr>
        <w:pStyle w:val="SingleTxtGR"/>
      </w:pPr>
      <w:r>
        <w:tab/>
      </w:r>
      <w:r w:rsidR="00646C19" w:rsidRPr="00646C19">
        <w:t>b)</w:t>
      </w:r>
      <w:r w:rsidR="00646C19" w:rsidRPr="00646C19">
        <w:tab/>
      </w:r>
      <w:r w:rsidRPr="00646C19">
        <w:t xml:space="preserve">сбор </w:t>
      </w:r>
      <w:r w:rsidR="00646C19" w:rsidRPr="00646C19">
        <w:t>информации о положении дел в отношении расизма и ксен</w:t>
      </w:r>
      <w:r w:rsidR="00646C19" w:rsidRPr="00646C19">
        <w:t>о</w:t>
      </w:r>
      <w:r w:rsidR="00646C19" w:rsidRPr="00646C19">
        <w:t>фобии в Испании с целью получения реальной картины этого явления и публ</w:t>
      </w:r>
      <w:r w:rsidR="00646C19" w:rsidRPr="00646C19">
        <w:t>и</w:t>
      </w:r>
      <w:r w:rsidR="00646C19" w:rsidRPr="00646C19">
        <w:t>кация с 2008</w:t>
      </w:r>
      <w:r w:rsidR="005507FC">
        <w:t xml:space="preserve"> </w:t>
      </w:r>
      <w:r w:rsidR="00646C19" w:rsidRPr="00646C19">
        <w:t>года ежегодных докладов по вопросу об эволюции проявлений р</w:t>
      </w:r>
      <w:r w:rsidR="00646C19" w:rsidRPr="00646C19">
        <w:t>а</w:t>
      </w:r>
      <w:r w:rsidR="00646C19" w:rsidRPr="00646C19">
        <w:t>сизма и ксенофобии и связанной с ними нетерпимости в Испании. Кроме того, в 2011 и 2012</w:t>
      </w:r>
      <w:r w:rsidR="005507FC">
        <w:t xml:space="preserve"> </w:t>
      </w:r>
      <w:r w:rsidR="00646C19" w:rsidRPr="00646C19">
        <w:t>годах совместно с Министерством внутренних дел осуществлялся проект "Обучение методам выявления и учета проявлений расизма" (ФИРИР), основной целью которого была подготовка сотрудников служб государственной безопасности на общенациональном уровне, уровне автономных сообществ и местном уровне в области выявления и учета случаев проявления расизма и ксенофобии и последующего распространения полученных данных в целях п</w:t>
      </w:r>
      <w:r w:rsidR="00646C19" w:rsidRPr="00646C19">
        <w:t>о</w:t>
      </w:r>
      <w:r w:rsidR="00646C19" w:rsidRPr="00646C19">
        <w:t>вышения уровня осведомленности всего состава сил и служб государственной безопасности. К настоящему времени данный курс обучения, который вели 165</w:t>
      </w:r>
      <w:r w:rsidR="005507FC">
        <w:t xml:space="preserve"> </w:t>
      </w:r>
      <w:r w:rsidR="00646C19" w:rsidRPr="00646C19">
        <w:t>преподавателей, прошли уже более 15</w:t>
      </w:r>
      <w:r w:rsidR="005507FC">
        <w:t xml:space="preserve"> </w:t>
      </w:r>
      <w:r w:rsidR="00646C19" w:rsidRPr="00646C19">
        <w:t>тыс. сотрудников. Основным руково</w:t>
      </w:r>
      <w:r w:rsidR="00646C19" w:rsidRPr="00646C19">
        <w:t>д</w:t>
      </w:r>
      <w:r w:rsidR="00646C19" w:rsidRPr="00646C19">
        <w:t>ством при обучении сотрудников сил и служб государственной безопасности стало специально подготовленное Учебное пособие по обучению сотрудников сил и служб государственной безопасности методам выявления и учета случаев проявления расизма и ксенофобии. Текст этого пособия на испанском и англи</w:t>
      </w:r>
      <w:r w:rsidR="00646C19" w:rsidRPr="00646C19">
        <w:t>й</w:t>
      </w:r>
      <w:r w:rsidR="00646C19" w:rsidRPr="00646C19">
        <w:t xml:space="preserve">ском языках размещен в сети Интернет </w:t>
      </w:r>
      <w:r w:rsidR="00646C19" w:rsidRPr="00E060E9">
        <w:t>(</w:t>
      </w:r>
      <w:hyperlink r:id="rId10" w:history="1">
        <w:r w:rsidRPr="00E060E9">
          <w:rPr>
            <w:rStyle w:val="affa"/>
            <w:u w:val="none"/>
          </w:rPr>
          <w:t>http://explotacion.mtin.gob.es/</w:t>
        </w:r>
        <w:r w:rsidRPr="00E060E9">
          <w:rPr>
            <w:rStyle w:val="affa"/>
            <w:u w:val="none"/>
          </w:rPr>
          <w:br/>
          <w:t>oberaxe/inicio_descarga Fichero?bibliotecaDatoId=217</w:t>
        </w:r>
      </w:hyperlink>
      <w:r w:rsidRPr="00E060E9">
        <w:t>);</w:t>
      </w:r>
    </w:p>
    <w:p w:rsidR="00646C19" w:rsidRPr="00646C19" w:rsidRDefault="00E060E9" w:rsidP="00646C19">
      <w:pPr>
        <w:pStyle w:val="SingleTxtGR"/>
      </w:pPr>
      <w:r>
        <w:tab/>
      </w:r>
      <w:r w:rsidR="00646C19" w:rsidRPr="00646C19">
        <w:t>c)</w:t>
      </w:r>
      <w:r w:rsidR="00646C19" w:rsidRPr="00646C19">
        <w:tab/>
      </w:r>
      <w:r w:rsidRPr="00646C19">
        <w:t xml:space="preserve">разработка </w:t>
      </w:r>
      <w:r w:rsidR="00646C19" w:rsidRPr="00646C19">
        <w:t>проектов по созданию механизмов, обеспечивающих возможность действенной борьбы с расизмом и ксенофобией. Осуществлен ряд мероприятий и проектов в разных областях, в числе которых следует отметить проекты в сфере занятости и предпринимательства – "Управление многообраз</w:t>
      </w:r>
      <w:r w:rsidR="00646C19" w:rsidRPr="00646C19">
        <w:t>и</w:t>
      </w:r>
      <w:r w:rsidR="00646C19" w:rsidRPr="00646C19">
        <w:t>ем" (ХЕСДИ-2011) и "Управление многообразием на малых и средних предпр</w:t>
      </w:r>
      <w:r w:rsidR="00646C19" w:rsidRPr="00646C19">
        <w:t>и</w:t>
      </w:r>
      <w:r w:rsidR="00646C19" w:rsidRPr="00646C19">
        <w:t>ятиях" (ХЕСДИМЕП).</w:t>
      </w:r>
    </w:p>
    <w:p w:rsidR="00646C19" w:rsidRPr="00646C19" w:rsidRDefault="00646C19" w:rsidP="00646C19">
      <w:pPr>
        <w:pStyle w:val="SingleTxtGR"/>
      </w:pPr>
      <w:r w:rsidRPr="00646C19">
        <w:t>171.</w:t>
      </w:r>
      <w:r w:rsidRPr="00646C19">
        <w:tab/>
        <w:t>В этом контексте необходимо упомянуть об "Альянсе цивилизаций" – важном инструменте, который Испания и другие страны, присоединившиеся к этой инициативе, применяют в борьбе против расизма и ксенофобии на межд</w:t>
      </w:r>
      <w:r w:rsidRPr="00646C19">
        <w:t>у</w:t>
      </w:r>
      <w:r w:rsidRPr="00646C19">
        <w:t>народном уровне, и прежде всего в следующих четырех областях: контроль, о</w:t>
      </w:r>
      <w:r w:rsidRPr="00646C19">
        <w:t>б</w:t>
      </w:r>
      <w:r w:rsidRPr="00646C19">
        <w:t>разование, положение молодежи и средства массовой информации. Фактически главной целью "Альянса цивилизаций" является именно укрепление взаимоп</w:t>
      </w:r>
      <w:r w:rsidRPr="00646C19">
        <w:t>о</w:t>
      </w:r>
      <w:r w:rsidRPr="00646C19">
        <w:t>нимания и сотрудничества между странами и народами, представляющими ра</w:t>
      </w:r>
      <w:r w:rsidRPr="00646C19">
        <w:t>з</w:t>
      </w:r>
      <w:r w:rsidRPr="00646C19">
        <w:t>личные культуры и цивилизации (причем не только между мусульманскими и западными странами), и тем самым содействие в сдерживании сил, выступа</w:t>
      </w:r>
      <w:r w:rsidRPr="00646C19">
        <w:t>ю</w:t>
      </w:r>
      <w:r w:rsidRPr="00646C19">
        <w:t>щих за противостояние и экстремизм. Таким образом, ставится задача спосо</w:t>
      </w:r>
      <w:r w:rsidRPr="00646C19">
        <w:t>б</w:t>
      </w:r>
      <w:r w:rsidRPr="00646C19">
        <w:t>ствовать доверию и взаимопониманию между различными общинами, взаимн</w:t>
      </w:r>
      <w:r w:rsidRPr="00646C19">
        <w:t>о</w:t>
      </w:r>
      <w:r w:rsidRPr="00646C19">
        <w:t>му уважению и взаимопониманию между культурами и сделать более слыш</w:t>
      </w:r>
      <w:r w:rsidRPr="00646C19">
        <w:t>и</w:t>
      </w:r>
      <w:r w:rsidRPr="00646C19">
        <w:t>мыми призывы к сдержанности и примирению, снижая межкультурную и ме</w:t>
      </w:r>
      <w:r w:rsidRPr="00646C19">
        <w:t>ж</w:t>
      </w:r>
      <w:r w:rsidRPr="00646C19">
        <w:t>религиозную рознь между странами и народами, которая становится питател</w:t>
      </w:r>
      <w:r w:rsidRPr="00646C19">
        <w:t>ь</w:t>
      </w:r>
      <w:r w:rsidRPr="00646C19">
        <w:t>ной средой для расизма и ксенофобии.</w:t>
      </w:r>
    </w:p>
    <w:p w:rsidR="00646C19" w:rsidRPr="00646C19" w:rsidRDefault="00646C19" w:rsidP="00646C19">
      <w:pPr>
        <w:pStyle w:val="SingleTxtGR"/>
      </w:pPr>
      <w:r w:rsidRPr="00646C19">
        <w:t>172.</w:t>
      </w:r>
      <w:r w:rsidRPr="00646C19">
        <w:tab/>
        <w:t>В отношении цыганского населения следует отметить, что данные о пр</w:t>
      </w:r>
      <w:r w:rsidRPr="00646C19">
        <w:t>и</w:t>
      </w:r>
      <w:r w:rsidRPr="00646C19">
        <w:t>надлежности к той или иной группе по признакам расы, этнического происхо</w:t>
      </w:r>
      <w:r w:rsidRPr="00646C19">
        <w:t>ж</w:t>
      </w:r>
      <w:r w:rsidRPr="00646C19">
        <w:t>дения, пола, религии или иных обстоятельств экономического и социального характера охраняются законом, вследствие чего эти данные не фигурируют в официальной статистике народонаселения. Согласно информации, предоста</w:t>
      </w:r>
      <w:r w:rsidRPr="00646C19">
        <w:t>в</w:t>
      </w:r>
      <w:r w:rsidRPr="00646C19">
        <w:t>ленной Министерством здравоохранения, социального обеспечения и по вопр</w:t>
      </w:r>
      <w:r w:rsidRPr="00646C19">
        <w:t>о</w:t>
      </w:r>
      <w:r w:rsidRPr="00646C19">
        <w:t>сам равенства и заимствованной им из различных социологических исследов</w:t>
      </w:r>
      <w:r w:rsidRPr="00646C19">
        <w:t>а</w:t>
      </w:r>
      <w:r w:rsidRPr="00646C19">
        <w:t>ний и докладов, численность цыганского населения в Испании оценивается в пределах 725</w:t>
      </w:r>
      <w:r w:rsidR="00937C6D">
        <w:t> 000</w:t>
      </w:r>
      <w:r w:rsidRPr="00646C19">
        <w:t>−750</w:t>
      </w:r>
      <w:r w:rsidR="00937C6D">
        <w:t> 000</w:t>
      </w:r>
      <w:r w:rsidRPr="00646C19">
        <w:t xml:space="preserve"> человек, что составляет примерно 1,6</w:t>
      </w:r>
      <w:r w:rsidR="005507FC">
        <w:t>%</w:t>
      </w:r>
      <w:r w:rsidRPr="00646C19">
        <w:t xml:space="preserve"> общей чи</w:t>
      </w:r>
      <w:r w:rsidRPr="00646C19">
        <w:t>с</w:t>
      </w:r>
      <w:r w:rsidRPr="00646C19">
        <w:t>ленности населения страны. Одним из основных направлений деятельности по улучшению положения цыган является Программа развития цыганской общ</w:t>
      </w:r>
      <w:r w:rsidRPr="00646C19">
        <w:t>и</w:t>
      </w:r>
      <w:r w:rsidRPr="00646C19">
        <w:t xml:space="preserve">ны, цель которой – содействие доступу этой группы населения, на равных условиях с остальными жителями страны, к общим государственным системам образования, здравоохранения, обеспечения жильем, занятости и </w:t>
      </w:r>
      <w:r w:rsidR="0016128B">
        <w:t>т.д.</w:t>
      </w:r>
    </w:p>
    <w:p w:rsidR="00646C19" w:rsidRPr="00646C19" w:rsidRDefault="00646C19" w:rsidP="00646C19">
      <w:pPr>
        <w:pStyle w:val="SingleTxtGR"/>
      </w:pPr>
      <w:r w:rsidRPr="00646C19">
        <w:t>173.</w:t>
      </w:r>
      <w:r w:rsidRPr="00646C19">
        <w:tab/>
        <w:t>Ежегодно реализуется порядка 80 проектов, финансируемых и осущест</w:t>
      </w:r>
      <w:r w:rsidRPr="00646C19">
        <w:t>в</w:t>
      </w:r>
      <w:r w:rsidRPr="00646C19">
        <w:t>ляемых преимущественно муниципальными советами 15</w:t>
      </w:r>
      <w:r w:rsidR="005507FC">
        <w:t xml:space="preserve"> </w:t>
      </w:r>
      <w:r w:rsidRPr="00646C19">
        <w:t>автономных соо</w:t>
      </w:r>
      <w:r w:rsidRPr="00646C19">
        <w:t>б</w:t>
      </w:r>
      <w:r w:rsidRPr="00646C19">
        <w:t>ществ, при среднегодовом (за период 2010−2013</w:t>
      </w:r>
      <w:r w:rsidR="005507FC">
        <w:t xml:space="preserve"> </w:t>
      </w:r>
      <w:r w:rsidRPr="00646C19">
        <w:t>годов) совместном финансир</w:t>
      </w:r>
      <w:r w:rsidRPr="00646C19">
        <w:t>о</w:t>
      </w:r>
      <w:r w:rsidRPr="00646C19">
        <w:t>вании органами трех уровней государственного управления в размере 2</w:t>
      </w:r>
      <w:r w:rsidR="00937C6D">
        <w:t> </w:t>
      </w:r>
      <w:r w:rsidRPr="00646C19">
        <w:t>836</w:t>
      </w:r>
      <w:r w:rsidR="00937C6D">
        <w:t> </w:t>
      </w:r>
      <w:r w:rsidRPr="00646C19">
        <w:t>314,58 евро (за соответствующий четырехлетний период общая сумма выделенных на эти цели средств составила 11</w:t>
      </w:r>
      <w:r w:rsidR="00937C6D">
        <w:t> </w:t>
      </w:r>
      <w:r w:rsidRPr="00646C19">
        <w:t>345</w:t>
      </w:r>
      <w:r w:rsidR="00937C6D">
        <w:t> </w:t>
      </w:r>
      <w:r w:rsidRPr="00646C19">
        <w:t>258,33</w:t>
      </w:r>
      <w:r w:rsidR="005507FC">
        <w:t xml:space="preserve"> </w:t>
      </w:r>
      <w:r w:rsidRPr="00646C19">
        <w:t>евро). Кроме того, за счет привлечения упомянутым Министерством дотаций в размере 0,7</w:t>
      </w:r>
      <w:r w:rsidR="005507FC">
        <w:t>%</w:t>
      </w:r>
      <w:r w:rsidRPr="00646C19">
        <w:t xml:space="preserve"> от су</w:t>
      </w:r>
      <w:r w:rsidRPr="00646C19">
        <w:t>м</w:t>
      </w:r>
      <w:r w:rsidRPr="00646C19">
        <w:t>мы налога на доходы физических лиц, а также средств, привлекаемых в мен</w:t>
      </w:r>
      <w:r w:rsidRPr="00646C19">
        <w:t>ь</w:t>
      </w:r>
      <w:r w:rsidRPr="00646C19">
        <w:t>ших объемах другими министерствами, ежегодно выделяются средства на ре</w:t>
      </w:r>
      <w:r w:rsidRPr="00646C19">
        <w:t>а</w:t>
      </w:r>
      <w:r w:rsidRPr="00646C19">
        <w:t>лизацию 130</w:t>
      </w:r>
      <w:r w:rsidR="005507FC">
        <w:t xml:space="preserve"> </w:t>
      </w:r>
      <w:r w:rsidRPr="00646C19">
        <w:t>программ, осуществляемых 23 НПО в 68</w:t>
      </w:r>
      <w:r w:rsidR="005507FC">
        <w:t xml:space="preserve"> </w:t>
      </w:r>
      <w:r w:rsidRPr="00646C19">
        <w:t>населенных пунктах, при среднегодовом финансировании (за период 2010−2013</w:t>
      </w:r>
      <w:r w:rsidR="005507FC">
        <w:t xml:space="preserve"> </w:t>
      </w:r>
      <w:r w:rsidRPr="00646C19">
        <w:t>годов) в размере 5,5</w:t>
      </w:r>
      <w:r w:rsidR="005507FC">
        <w:t xml:space="preserve"> </w:t>
      </w:r>
      <w:r w:rsidRPr="00646C19">
        <w:t>млн. евро. За соответствующий пятилетний период общая сумма выделенных на эти цели средств составила 27</w:t>
      </w:r>
      <w:r w:rsidR="00937C6D">
        <w:t> </w:t>
      </w:r>
      <w:r w:rsidRPr="00646C19">
        <w:t>448</w:t>
      </w:r>
      <w:r w:rsidR="00937C6D">
        <w:t> </w:t>
      </w:r>
      <w:r w:rsidRPr="00646C19">
        <w:t>901,36</w:t>
      </w:r>
      <w:r w:rsidR="005507FC">
        <w:t xml:space="preserve"> </w:t>
      </w:r>
      <w:r w:rsidRPr="00646C19">
        <w:t>евро. К программам, рассматриваемым в качестве приоритетных, относятся программы профессиональной подготовки с последующим трудоустройством, программы подготовки пропагандистов, пр</w:t>
      </w:r>
      <w:r w:rsidRPr="00646C19">
        <w:t>о</w:t>
      </w:r>
      <w:r w:rsidRPr="00646C19">
        <w:t>граммы комплексных социальных мер, программы и услуги по развитию с</w:t>
      </w:r>
      <w:r w:rsidRPr="00646C19">
        <w:t>и</w:t>
      </w:r>
      <w:r w:rsidRPr="00646C19">
        <w:t>стемы образования детей младшего возраста и системы обязательного школьн</w:t>
      </w:r>
      <w:r w:rsidRPr="00646C19">
        <w:t>о</w:t>
      </w:r>
      <w:r w:rsidRPr="00646C19">
        <w:t>го образования, программы, способствующие непрерывности и продолжению обучения на уровнях среднего и высшего образования, программы ликвидации неграмотности и развития социальных навыков среди цыганок, а также пр</w:t>
      </w:r>
      <w:r w:rsidRPr="00646C19">
        <w:t>о</w:t>
      </w:r>
      <w:r w:rsidRPr="00646C19">
        <w:t>граммы по профилактике заболеваний и пропаганде здорового образа жизни среди цыганок. Особо следует отметить осуществление подготовленного н</w:t>
      </w:r>
      <w:r w:rsidRPr="00646C19">
        <w:t>ы</w:t>
      </w:r>
      <w:r w:rsidRPr="00646C19">
        <w:t>нешним Министерством здравоохранения, социального обеспечения и по в</w:t>
      </w:r>
      <w:r w:rsidRPr="00646C19">
        <w:t>о</w:t>
      </w:r>
      <w:r w:rsidRPr="00646C19">
        <w:t>просам равенства Плана действий по развит</w:t>
      </w:r>
      <w:r w:rsidR="00937C6D">
        <w:t>ию цыганского населения на 2010−</w:t>
      </w:r>
      <w:r w:rsidRPr="00646C19">
        <w:t>2012</w:t>
      </w:r>
      <w:r w:rsidR="005507FC">
        <w:t xml:space="preserve"> </w:t>
      </w:r>
      <w:r w:rsidRPr="00646C19">
        <w:t>годы, а также утверждение в 2012</w:t>
      </w:r>
      <w:r w:rsidR="005507FC">
        <w:t xml:space="preserve"> </w:t>
      </w:r>
      <w:r w:rsidRPr="00646C19">
        <w:t>году в Совете Европы Национал</w:t>
      </w:r>
      <w:r w:rsidRPr="00646C19">
        <w:t>ь</w:t>
      </w:r>
      <w:r w:rsidRPr="00646C19">
        <w:t>ной стратегии по социальной интеграции цыганского населения Испании на 2012–2020</w:t>
      </w:r>
      <w:r w:rsidR="005507FC">
        <w:t xml:space="preserve"> </w:t>
      </w:r>
      <w:r w:rsidRPr="00646C19">
        <w:t>годы. Основное внимание в данной Стратегии уделяется работе по четырем основным направлениям: образование, трудоустройство, жилье и здр</w:t>
      </w:r>
      <w:r w:rsidRPr="00646C19">
        <w:t>а</w:t>
      </w:r>
      <w:r w:rsidRPr="00646C19">
        <w:t>воохранение, но при этом предусматривается и сопутствующая деятельность в таких сферах, как меры социального характера, привлечение цыганского нас</w:t>
      </w:r>
      <w:r w:rsidRPr="00646C19">
        <w:t>е</w:t>
      </w:r>
      <w:r w:rsidRPr="00646C19">
        <w:t>ления к участию, повышение уровня знаний, повсеместный учет гендерного подхода, недопущение дискриминации и обеспечение равного обращения, п</w:t>
      </w:r>
      <w:r w:rsidRPr="00646C19">
        <w:t>о</w:t>
      </w:r>
      <w:r w:rsidRPr="00646C19">
        <w:t>вышение уровня социальной сознательности и содействие в развитии культуры, население рома – выходцы из других стран, микротерриториальный подход и меры политического характера на общеевропейском уровне.</w:t>
      </w:r>
    </w:p>
    <w:p w:rsidR="00646C19" w:rsidRPr="00646C19" w:rsidRDefault="00646C19" w:rsidP="00646C19">
      <w:pPr>
        <w:pStyle w:val="SingleTxtGR"/>
      </w:pPr>
      <w:r w:rsidRPr="00646C19">
        <w:t>174.</w:t>
      </w:r>
      <w:r w:rsidRPr="00646C19">
        <w:tab/>
        <w:t>Совет министров при участии Государственного совета цыганского нар</w:t>
      </w:r>
      <w:r w:rsidRPr="00646C19">
        <w:t>о</w:t>
      </w:r>
      <w:r w:rsidRPr="00646C19">
        <w:t>да и ряда министерств, чья деятельность в наибольшей степени затрагивает ц</w:t>
      </w:r>
      <w:r w:rsidRPr="00646C19">
        <w:t>ы</w:t>
      </w:r>
      <w:r w:rsidRPr="00646C19">
        <w:t>ганскую общину, утвердил План действий в интересах цыганского населения на 2010−2012</w:t>
      </w:r>
      <w:r w:rsidR="005507FC">
        <w:t xml:space="preserve"> </w:t>
      </w:r>
      <w:r w:rsidRPr="00646C19">
        <w:t>годы.</w:t>
      </w:r>
    </w:p>
    <w:p w:rsidR="00646C19" w:rsidRPr="00646C19" w:rsidRDefault="00646C19" w:rsidP="00646C19">
      <w:pPr>
        <w:pStyle w:val="SingleTxtGR"/>
      </w:pPr>
      <w:r w:rsidRPr="00646C19">
        <w:t>175.</w:t>
      </w:r>
      <w:r w:rsidRPr="00646C19">
        <w:tab/>
        <w:t>Государственный совет цыганского народа был учрежден в качестве о</w:t>
      </w:r>
      <w:r w:rsidRPr="00646C19">
        <w:t>р</w:t>
      </w:r>
      <w:r w:rsidRPr="00646C19">
        <w:t>гана общенационального уровня в 2005</w:t>
      </w:r>
      <w:r w:rsidR="005507FC">
        <w:t xml:space="preserve"> </w:t>
      </w:r>
      <w:r w:rsidRPr="00646C19">
        <w:t>году на основании Королевского декр</w:t>
      </w:r>
      <w:r w:rsidRPr="00646C19">
        <w:t>е</w:t>
      </w:r>
      <w:r w:rsidRPr="00646C19">
        <w:t>та</w:t>
      </w:r>
      <w:r w:rsidR="005507FC">
        <w:t xml:space="preserve"> </w:t>
      </w:r>
      <w:r w:rsidRPr="00646C19">
        <w:t>№</w:t>
      </w:r>
      <w:r w:rsidR="005507FC">
        <w:t xml:space="preserve"> </w:t>
      </w:r>
      <w:r w:rsidRPr="00646C19">
        <w:t>891/2005 от 22</w:t>
      </w:r>
      <w:r w:rsidR="005507FC">
        <w:t xml:space="preserve"> </w:t>
      </w:r>
      <w:r w:rsidRPr="00646C19">
        <w:t>июля 2005</w:t>
      </w:r>
      <w:r w:rsidR="005507FC">
        <w:t xml:space="preserve"> </w:t>
      </w:r>
      <w:r w:rsidRPr="00646C19">
        <w:t>года о создании Государственного совета цыга</w:t>
      </w:r>
      <w:r w:rsidRPr="00646C19">
        <w:t>н</w:t>
      </w:r>
      <w:r w:rsidRPr="00646C19">
        <w:t>ского народа и регулировании его деятельности и официально сформирован 20</w:t>
      </w:r>
      <w:r w:rsidR="00937C6D">
        <w:t> </w:t>
      </w:r>
      <w:r w:rsidRPr="00646C19">
        <w:t>июля 2006</w:t>
      </w:r>
      <w:r w:rsidR="005507FC">
        <w:t xml:space="preserve"> </w:t>
      </w:r>
      <w:r w:rsidRPr="00646C19">
        <w:t>года. Цель этого совета – создание условий, необходимых для привлечения цыганского населения к активному участию в жизни общества. В</w:t>
      </w:r>
      <w:r w:rsidR="00937C6D">
        <w:t> </w:t>
      </w:r>
      <w:r w:rsidRPr="00646C19">
        <w:t>настоящее время этот орган работает при Главном управлении по вопросам социальной политики, семьи и детей Министерства здравоохранения социал</w:t>
      </w:r>
      <w:r w:rsidRPr="00646C19">
        <w:t>ь</w:t>
      </w:r>
      <w:r w:rsidRPr="00646C19">
        <w:t>ного обеспечения и по вопросам равенства. В сфере культуры следует отметить создание Фонда "Институт цыганской культуры" при Министерстве образов</w:t>
      </w:r>
      <w:r w:rsidRPr="00646C19">
        <w:t>а</w:t>
      </w:r>
      <w:r w:rsidRPr="00646C19">
        <w:t>ния, культуры и спорта.</w:t>
      </w:r>
    </w:p>
    <w:p w:rsidR="00646C19" w:rsidRPr="00646C19" w:rsidRDefault="00646C19" w:rsidP="00646C19">
      <w:pPr>
        <w:pStyle w:val="SingleTxtGR"/>
      </w:pPr>
      <w:r w:rsidRPr="00646C19">
        <w:t>176.</w:t>
      </w:r>
      <w:r w:rsidRPr="00646C19">
        <w:tab/>
        <w:t>В спортивной сфере в соответствии с Законом</w:t>
      </w:r>
      <w:r w:rsidR="005507FC">
        <w:t xml:space="preserve"> </w:t>
      </w:r>
      <w:r w:rsidRPr="00646C19">
        <w:t>№</w:t>
      </w:r>
      <w:r w:rsidR="005507FC">
        <w:t xml:space="preserve"> </w:t>
      </w:r>
      <w:r w:rsidRPr="00646C19">
        <w:t>19/2007 от 11</w:t>
      </w:r>
      <w:r w:rsidR="005507FC">
        <w:t xml:space="preserve"> </w:t>
      </w:r>
      <w:r w:rsidRPr="00646C19">
        <w:t>июля 2007</w:t>
      </w:r>
      <w:r w:rsidR="00937C6D">
        <w:t> </w:t>
      </w:r>
      <w:r w:rsidRPr="00646C19">
        <w:t>года о борьбе с насилием, расизмом, ксенофобией и нетерпимостью в спорте и регламентом к этому Закону, принятым Королевским декр</w:t>
      </w:r>
      <w:r w:rsidRPr="00646C19">
        <w:t>е</w:t>
      </w:r>
      <w:r w:rsidRPr="00646C19">
        <w:t>том</w:t>
      </w:r>
      <w:r w:rsidR="00937C6D">
        <w:t> </w:t>
      </w:r>
      <w:r w:rsidRPr="00646C19">
        <w:t>№</w:t>
      </w:r>
      <w:r w:rsidR="00937C6D">
        <w:t> </w:t>
      </w:r>
      <w:r w:rsidRPr="00646C19">
        <w:t>203/2010 от 26</w:t>
      </w:r>
      <w:r w:rsidR="005507FC">
        <w:t xml:space="preserve"> </w:t>
      </w:r>
      <w:r w:rsidRPr="00646C19">
        <w:t>февраля 2010</w:t>
      </w:r>
      <w:r w:rsidR="005507FC">
        <w:t xml:space="preserve"> </w:t>
      </w:r>
      <w:r w:rsidRPr="00646C19">
        <w:t>года, Государственная комиссия по борьбе с насилием, расизмом, ксенофобией и нетерпимостью в спорте анализирует сит</w:t>
      </w:r>
      <w:r w:rsidRPr="00646C19">
        <w:t>у</w:t>
      </w:r>
      <w:r w:rsidRPr="00646C19">
        <w:t>ацию и, в случае необходимости, предлагает меры наказания за проявления р</w:t>
      </w:r>
      <w:r w:rsidRPr="00646C19">
        <w:t>а</w:t>
      </w:r>
      <w:r w:rsidRPr="00646C19">
        <w:t>сизма и ксенофобии в сфере применения данного Закона. Кроме того, разраб</w:t>
      </w:r>
      <w:r w:rsidRPr="00646C19">
        <w:t>а</w:t>
      </w:r>
      <w:r w:rsidRPr="00646C19">
        <w:t>тываются меры по предупреждению конфликтов и содействию интеграции в спорте. Национальное бюро по вопросам спорта, функционирующее при Гла</w:t>
      </w:r>
      <w:r w:rsidRPr="00646C19">
        <w:t>в</w:t>
      </w:r>
      <w:r w:rsidRPr="00646C19">
        <w:t>ном управлении полиции, собирает информацию обо всех подобных фактах в сфере спорта по всей стране и передает эти данные в Постоянную комиссию при Государственной комиссии по борьбе с насилием, расизмом, ксенофобией и нетерпимостью в спорте, которая предлагает меры наказания для лиц, сове</w:t>
      </w:r>
      <w:r w:rsidRPr="00646C19">
        <w:t>р</w:t>
      </w:r>
      <w:r w:rsidRPr="00646C19">
        <w:t>шивших предусмотренные законом правонарушения, и передает эти предлож</w:t>
      </w:r>
      <w:r w:rsidRPr="00646C19">
        <w:t>е</w:t>
      </w:r>
      <w:r w:rsidRPr="00646C19">
        <w:t>ния в соответствующие органы.</w:t>
      </w:r>
    </w:p>
    <w:p w:rsidR="00646C19" w:rsidRPr="00646C19" w:rsidRDefault="00646C19" w:rsidP="00646C19">
      <w:pPr>
        <w:pStyle w:val="SingleTxtGR"/>
      </w:pPr>
      <w:r w:rsidRPr="00646C19">
        <w:t>177.</w:t>
      </w:r>
      <w:r w:rsidRPr="00646C19">
        <w:tab/>
        <w:t>В сфере образования был разработан Директивный план по сосуществ</w:t>
      </w:r>
      <w:r w:rsidRPr="00646C19">
        <w:t>о</w:t>
      </w:r>
      <w:r w:rsidRPr="00646C19">
        <w:t>ванию и улучшению безопасности в образовательных центрах и вокруг них, к</w:t>
      </w:r>
      <w:r w:rsidRPr="00646C19">
        <w:t>о</w:t>
      </w:r>
      <w:r w:rsidRPr="00646C19">
        <w:t>торый предусматривает проведение бесед с учащимися и другими членами о</w:t>
      </w:r>
      <w:r w:rsidRPr="00646C19">
        <w:t>б</w:t>
      </w:r>
      <w:r w:rsidRPr="00646C19">
        <w:t>разовательного сообщества, в ходе которых затрагиваются, в числе прочего, и темы расизма и ксенофобии, а также ведение разъяснительной работы в Инте</w:t>
      </w:r>
      <w:r w:rsidRPr="00646C19">
        <w:t>р</w:t>
      </w:r>
      <w:r w:rsidRPr="00646C19">
        <w:t>нете в связи с проявлениями расизма.</w:t>
      </w:r>
    </w:p>
    <w:p w:rsidR="00646C19" w:rsidRPr="00646C19" w:rsidRDefault="00646C19" w:rsidP="00937C6D">
      <w:pPr>
        <w:pStyle w:val="H1GR"/>
      </w:pPr>
      <w:r w:rsidRPr="00646C19">
        <w:tab/>
      </w:r>
      <w:bookmarkStart w:id="15" w:name="_Toc420072049"/>
      <w:r w:rsidRPr="00646C19">
        <w:t>C.</w:t>
      </w:r>
      <w:r w:rsidRPr="00646C19">
        <w:tab/>
        <w:t>Равенство между мужчинами и женщинами и недопущение дискриминации по признаку сексуальной ориентации</w:t>
      </w:r>
      <w:bookmarkEnd w:id="15"/>
    </w:p>
    <w:p w:rsidR="00646C19" w:rsidRPr="00646C19" w:rsidRDefault="00646C19" w:rsidP="00646C19">
      <w:pPr>
        <w:pStyle w:val="SingleTxtGR"/>
      </w:pPr>
      <w:r w:rsidRPr="00646C19">
        <w:t>178.</w:t>
      </w:r>
      <w:r w:rsidRPr="00646C19">
        <w:tab/>
        <w:t>В общих конституционных основах Испании прочно закреплены принц</w:t>
      </w:r>
      <w:r w:rsidRPr="00646C19">
        <w:t>и</w:t>
      </w:r>
      <w:r w:rsidRPr="00646C19">
        <w:t>пы равенства обращения и недопущения дискриминации. Конституция Испании провозглашает равенство одной из высших ценностей правопорядка, которая гарантируется государственными органами (пункт</w:t>
      </w:r>
      <w:r w:rsidR="005507FC">
        <w:t xml:space="preserve"> </w:t>
      </w:r>
      <w:r w:rsidRPr="00646C19">
        <w:t>1 статьи</w:t>
      </w:r>
      <w:r w:rsidR="005507FC">
        <w:t xml:space="preserve"> </w:t>
      </w:r>
      <w:r w:rsidRPr="00646C19">
        <w:t>1 и более кон</w:t>
      </w:r>
      <w:r w:rsidR="00937C6D">
        <w:t>кре</w:t>
      </w:r>
      <w:r w:rsidR="00937C6D">
        <w:t>т</w:t>
      </w:r>
      <w:r w:rsidR="00937C6D">
        <w:t>но </w:t>
      </w:r>
      <w:r w:rsidRPr="00646C19">
        <w:t>− статья</w:t>
      </w:r>
      <w:r w:rsidR="005507FC">
        <w:t xml:space="preserve"> </w:t>
      </w:r>
      <w:r w:rsidRPr="00646C19">
        <w:t>14). Кроме того, в пункте</w:t>
      </w:r>
      <w:r w:rsidR="005507FC">
        <w:t xml:space="preserve"> </w:t>
      </w:r>
      <w:r w:rsidRPr="00646C19">
        <w:t>2 статьи</w:t>
      </w:r>
      <w:r w:rsidR="005507FC">
        <w:t xml:space="preserve"> </w:t>
      </w:r>
      <w:r w:rsidRPr="00646C19">
        <w:t>9 устанавливается обязательство государственных органов устранять все препятствия и обеспечивать условия, необходимые для достижения реального и эффективного равенства. На Гос</w:t>
      </w:r>
      <w:r w:rsidRPr="00646C19">
        <w:t>у</w:t>
      </w:r>
      <w:r w:rsidRPr="00646C19">
        <w:t>дарственный секретариат по социальным службам, функционирующий в стру</w:t>
      </w:r>
      <w:r w:rsidRPr="00646C19">
        <w:t>к</w:t>
      </w:r>
      <w:r w:rsidRPr="00646C19">
        <w:t>туре Министерства здравоохранения, социального обеспечения и по вопросам равенства, возложена ответственность за осуществление политики равенства и недопущения дискриминации по мотивам пола, расового или этнического пр</w:t>
      </w:r>
      <w:r w:rsidRPr="00646C19">
        <w:t>о</w:t>
      </w:r>
      <w:r w:rsidRPr="00646C19">
        <w:t>исхождения, религии или идеологии, сексуальной ориентации или идентичн</w:t>
      </w:r>
      <w:r w:rsidRPr="00646C19">
        <w:t>о</w:t>
      </w:r>
      <w:r w:rsidRPr="00646C19">
        <w:t>сти, возраста, инвалидности и по любым иным основаниям или обстоятел</w:t>
      </w:r>
      <w:r w:rsidRPr="00646C19">
        <w:t>ь</w:t>
      </w:r>
      <w:r w:rsidRPr="00646C19">
        <w:t>ствам личного или социального характера. По данным последнего исследования ситуации в сфере дискриминации по мотивам сексуальной ориентации и ге</w:t>
      </w:r>
      <w:r w:rsidRPr="00646C19">
        <w:t>н</w:t>
      </w:r>
      <w:r w:rsidRPr="00646C19">
        <w:t>дерной идентичности, проведенного Агентством по основным правам Европе</w:t>
      </w:r>
      <w:r w:rsidRPr="00646C19">
        <w:t>й</w:t>
      </w:r>
      <w:r w:rsidRPr="00646C19">
        <w:t>ского союза в 2013</w:t>
      </w:r>
      <w:r w:rsidR="005507FC">
        <w:t xml:space="preserve"> </w:t>
      </w:r>
      <w:r w:rsidRPr="00646C19">
        <w:t>году, Испания относится к числу стран, обеспечивших наиболее благоприятные возможности для жизни и проявления своей сексуал</w:t>
      </w:r>
      <w:r w:rsidRPr="00646C19">
        <w:t>ь</w:t>
      </w:r>
      <w:r w:rsidRPr="00646C19">
        <w:t>ной ориентации; кроме того, в стране имеется широкая законодательная база, в которой особо следует выделить Закон</w:t>
      </w:r>
      <w:r w:rsidR="005507FC">
        <w:t xml:space="preserve"> </w:t>
      </w:r>
      <w:r w:rsidRPr="00646C19">
        <w:t>№</w:t>
      </w:r>
      <w:r w:rsidR="005507FC">
        <w:t xml:space="preserve"> </w:t>
      </w:r>
      <w:r w:rsidRPr="00646C19">
        <w:t>3/2007 о гендерной идентичности. Кроме того, Закон</w:t>
      </w:r>
      <w:r w:rsidR="005507FC">
        <w:t xml:space="preserve"> </w:t>
      </w:r>
      <w:r w:rsidRPr="00646C19">
        <w:t>№</w:t>
      </w:r>
      <w:r w:rsidR="005507FC">
        <w:t xml:space="preserve"> </w:t>
      </w:r>
      <w:r w:rsidRPr="00646C19">
        <w:t>13/2005, вносящий изменения в Гражданский кодекс в ч</w:t>
      </w:r>
      <w:r w:rsidRPr="00646C19">
        <w:t>а</w:t>
      </w:r>
      <w:r w:rsidRPr="00646C19">
        <w:t>сти, касающейся права на вступление в брак, позволяет заключать однополые браки, причем лица, вступившие в такой брак, пользуются одинаковыми для всех граждан правами и обязанностями, включая право на усыновление.</w:t>
      </w:r>
    </w:p>
    <w:p w:rsidR="00646C19" w:rsidRPr="00646C19" w:rsidRDefault="00646C19" w:rsidP="00646C19">
      <w:pPr>
        <w:pStyle w:val="SingleTxtGR"/>
      </w:pPr>
      <w:r w:rsidRPr="00646C19">
        <w:t>179.</w:t>
      </w:r>
      <w:r w:rsidRPr="00646C19">
        <w:tab/>
        <w:t>В отношении политики по обеспечению равенства между женщинами и мужчинами следует отметить прежде всего два органических закона:</w:t>
      </w:r>
    </w:p>
    <w:p w:rsidR="00646C19" w:rsidRPr="00646C19" w:rsidRDefault="00646C19" w:rsidP="0047230D">
      <w:pPr>
        <w:pStyle w:val="Bullet1GR"/>
      </w:pPr>
      <w:r w:rsidRPr="00646C19">
        <w:t>Органический закон № 1/2004 от 28 декабря 2004</w:t>
      </w:r>
      <w:r w:rsidR="005507FC">
        <w:t xml:space="preserve"> </w:t>
      </w:r>
      <w:r w:rsidRPr="00646C19">
        <w:t>года о мерах комплек</w:t>
      </w:r>
      <w:r w:rsidRPr="00646C19">
        <w:t>с</w:t>
      </w:r>
      <w:r w:rsidRPr="00646C19">
        <w:t xml:space="preserve">ной защиты от гендерного насилия; </w:t>
      </w:r>
    </w:p>
    <w:p w:rsidR="00646C19" w:rsidRPr="00646C19" w:rsidRDefault="00646C19" w:rsidP="0047230D">
      <w:pPr>
        <w:pStyle w:val="Bullet1GR"/>
      </w:pPr>
      <w:r w:rsidRPr="00646C19">
        <w:t>Органический закон № 3/2007 от 22 марта 2007</w:t>
      </w:r>
      <w:r w:rsidR="005507FC">
        <w:t xml:space="preserve"> </w:t>
      </w:r>
      <w:r w:rsidRPr="00646C19">
        <w:t>года об обеспечении э</w:t>
      </w:r>
      <w:r w:rsidRPr="00646C19">
        <w:t>ф</w:t>
      </w:r>
      <w:r w:rsidRPr="00646C19">
        <w:t>фективного равенства женщин и мужчин (далее – ОЗЭР).</w:t>
      </w:r>
    </w:p>
    <w:p w:rsidR="00646C19" w:rsidRPr="00646C19" w:rsidRDefault="00646C19" w:rsidP="00646C19">
      <w:pPr>
        <w:pStyle w:val="SingleTxtGR"/>
      </w:pPr>
      <w:r w:rsidRPr="00646C19">
        <w:t>180.</w:t>
      </w:r>
      <w:r w:rsidRPr="00646C19">
        <w:tab/>
        <w:t>Принятие ОЗЭР означало закрепление принципа равенства обращения и возможностей в качестве ключевого принципа, пронизывающего всю деятел</w:t>
      </w:r>
      <w:r w:rsidRPr="00646C19">
        <w:t>ь</w:t>
      </w:r>
      <w:r w:rsidRPr="00646C19">
        <w:t>ность государственных органов. О многогранном характере этого принципа свидетельствует изменение 27</w:t>
      </w:r>
      <w:r w:rsidR="005507FC">
        <w:t xml:space="preserve"> </w:t>
      </w:r>
      <w:r w:rsidRPr="00646C19">
        <w:t>законов, регламентирующих разные сферы (п</w:t>
      </w:r>
      <w:r w:rsidRPr="00646C19">
        <w:t>о</w:t>
      </w:r>
      <w:r w:rsidRPr="00646C19">
        <w:t>рядок проведения выборов, деятельность судебной системы, занятость, пол</w:t>
      </w:r>
      <w:r w:rsidRPr="00646C19">
        <w:t>о</w:t>
      </w:r>
      <w:r w:rsidRPr="00646C19">
        <w:t xml:space="preserve">жение трудящихся, социальное обеспечение, здравоохранение, образование, предоставление убежища, вооруженные силы, государственные силы и службы безопасности и </w:t>
      </w:r>
      <w:r w:rsidR="0016128B">
        <w:t>т.д.</w:t>
      </w:r>
      <w:r w:rsidRPr="00646C19">
        <w:t>).</w:t>
      </w:r>
    </w:p>
    <w:p w:rsidR="00646C19" w:rsidRPr="00646C19" w:rsidRDefault="00646C19" w:rsidP="00646C19">
      <w:pPr>
        <w:pStyle w:val="SingleTxtGR"/>
      </w:pPr>
      <w:r w:rsidRPr="00646C19">
        <w:t>181.</w:t>
      </w:r>
      <w:r w:rsidRPr="00646C19">
        <w:tab/>
        <w:t>В ОЗЭР подчеркивается необходимость обеспечения сбалансированной представленности женщин и мужчин во всех сферах принятия решений таким образом, чтобы доля представителей каждого из полов не превышала 60</w:t>
      </w:r>
      <w:r w:rsidR="005507FC">
        <w:t>%</w:t>
      </w:r>
      <w:r w:rsidRPr="00646C19">
        <w:t xml:space="preserve"> и не опускалась ниже 40</w:t>
      </w:r>
      <w:r w:rsidR="005507FC">
        <w:t>%</w:t>
      </w:r>
      <w:r w:rsidRPr="00646C19">
        <w:t>. Согласно поправкам к Органическому закону о порядке проведения выборов, это соотношение устанавливается в качестве обязательн</w:t>
      </w:r>
      <w:r w:rsidRPr="00646C19">
        <w:t>о</w:t>
      </w:r>
      <w:r w:rsidRPr="00646C19">
        <w:t>го для всех избирательных списков; административным советам крупных пре</w:t>
      </w:r>
      <w:r w:rsidRPr="00646C19">
        <w:t>д</w:t>
      </w:r>
      <w:r w:rsidRPr="00646C19">
        <w:t>приятий предложено обеспечить с 2015</w:t>
      </w:r>
      <w:r w:rsidR="005507FC">
        <w:t xml:space="preserve"> </w:t>
      </w:r>
      <w:r w:rsidRPr="00646C19">
        <w:t>года соблюдение этой нормы.</w:t>
      </w:r>
    </w:p>
    <w:p w:rsidR="00646C19" w:rsidRPr="00646C19" w:rsidRDefault="00646C19" w:rsidP="00646C19">
      <w:pPr>
        <w:pStyle w:val="SingleTxtGR"/>
      </w:pPr>
      <w:r w:rsidRPr="00646C19">
        <w:t>182.</w:t>
      </w:r>
      <w:r w:rsidRPr="00646C19">
        <w:tab/>
        <w:t>ОЗРР содержит адресованные правительству предписания по надлеж</w:t>
      </w:r>
      <w:r w:rsidRPr="00646C19">
        <w:t>а</w:t>
      </w:r>
      <w:r w:rsidRPr="00646C19">
        <w:t>щей реализации Закона</w:t>
      </w:r>
      <w:r w:rsidR="005507FC">
        <w:t xml:space="preserve"> </w:t>
      </w:r>
      <w:r w:rsidRPr="00646C19">
        <w:t>№</w:t>
      </w:r>
      <w:r w:rsidR="005507FC">
        <w:t xml:space="preserve"> </w:t>
      </w:r>
      <w:r w:rsidRPr="00646C19">
        <w:t>30/2003 от 13</w:t>
      </w:r>
      <w:r w:rsidR="005507FC">
        <w:t xml:space="preserve"> </w:t>
      </w:r>
      <w:r w:rsidRPr="00646C19">
        <w:t>октября 2003</w:t>
      </w:r>
      <w:r w:rsidR="005507FC">
        <w:t xml:space="preserve"> </w:t>
      </w:r>
      <w:r w:rsidRPr="00646C19">
        <w:t>года о мерах по включ</w:t>
      </w:r>
      <w:r w:rsidRPr="00646C19">
        <w:t>е</w:t>
      </w:r>
      <w:r w:rsidRPr="00646C19">
        <w:t>нию оценки эффективности воздействия принципа равноправия женщин и мужчин на нормативные положения. С этой целью был издан Королевский указ</w:t>
      </w:r>
      <w:r w:rsidR="0047230D">
        <w:t> </w:t>
      </w:r>
      <w:r w:rsidRPr="00646C19">
        <w:t>№</w:t>
      </w:r>
      <w:r w:rsidR="005507FC">
        <w:t xml:space="preserve"> </w:t>
      </w:r>
      <w:r w:rsidRPr="00646C19">
        <w:t>1083/2009 от</w:t>
      </w:r>
      <w:r w:rsidR="005507FC">
        <w:t xml:space="preserve"> </w:t>
      </w:r>
      <w:r w:rsidRPr="00646C19">
        <w:t>3</w:t>
      </w:r>
      <w:r w:rsidR="005507FC">
        <w:t xml:space="preserve"> </w:t>
      </w:r>
      <w:r w:rsidRPr="00646C19">
        <w:t>июля 2009</w:t>
      </w:r>
      <w:r w:rsidR="005507FC">
        <w:t xml:space="preserve"> </w:t>
      </w:r>
      <w:r w:rsidRPr="00646C19">
        <w:t>года, которым регулируется представление отчетности об анализе воздействия принципа равноправия на нормативные а</w:t>
      </w:r>
      <w:r w:rsidRPr="00646C19">
        <w:t>к</w:t>
      </w:r>
      <w:r w:rsidRPr="00646C19">
        <w:t>ты, и в том же</w:t>
      </w:r>
      <w:r w:rsidR="005507FC">
        <w:t xml:space="preserve"> </w:t>
      </w:r>
      <w:r w:rsidRPr="00646C19">
        <w:t>году Совет министров разработал Методическое пособие по по</w:t>
      </w:r>
      <w:r w:rsidRPr="00646C19">
        <w:t>д</w:t>
      </w:r>
      <w:r w:rsidRPr="00646C19">
        <w:t>готовке таких отчетов. В</w:t>
      </w:r>
      <w:r w:rsidR="005507FC">
        <w:t xml:space="preserve"> </w:t>
      </w:r>
      <w:r w:rsidRPr="00646C19">
        <w:t>соответствии со вторым дополнительным положением этого Королевского указа предусматривается подготовка ежегодной отчетности о воздействии принципа равноправия на бюджетные законопроекты.</w:t>
      </w:r>
    </w:p>
    <w:p w:rsidR="00646C19" w:rsidRPr="00646C19" w:rsidRDefault="00646C19" w:rsidP="00646C19">
      <w:pPr>
        <w:pStyle w:val="SingleTxtGR"/>
      </w:pPr>
      <w:r w:rsidRPr="00646C19">
        <w:t>183.</w:t>
      </w:r>
      <w:r w:rsidRPr="00646C19">
        <w:tab/>
        <w:t>Изучив Стратегический план обеспече</w:t>
      </w:r>
      <w:r w:rsidR="0047230D">
        <w:t>ния равных возможностей на 2008−</w:t>
      </w:r>
      <w:r w:rsidRPr="00646C19">
        <w:t>2011</w:t>
      </w:r>
      <w:r w:rsidR="005507FC">
        <w:t xml:space="preserve"> </w:t>
      </w:r>
      <w:r w:rsidRPr="00646C19">
        <w:t>годы и аналогичные предыдущие документы, Институт по делам женщин подготовил новый Стратегический план обеспечения равных возмо</w:t>
      </w:r>
      <w:r w:rsidRPr="00646C19">
        <w:t>ж</w:t>
      </w:r>
      <w:r w:rsidRPr="00646C19">
        <w:t>ностей на период 2013–2016</w:t>
      </w:r>
      <w:r w:rsidR="005507FC">
        <w:t xml:space="preserve"> </w:t>
      </w:r>
      <w:r w:rsidRPr="00646C19">
        <w:t>годов, составленный на основе анализа текущей ситуации, результатов осуществления предыдущих планов и основных проблем в отношении обеспечения равенства возможностей для женщин и мужчин. Пл</w:t>
      </w:r>
      <w:r w:rsidRPr="00646C19">
        <w:t>а</w:t>
      </w:r>
      <w:r w:rsidRPr="00646C19">
        <w:t>нируется принятие мер по следующим направлениям: равноправие в сфере з</w:t>
      </w:r>
      <w:r w:rsidRPr="00646C19">
        <w:t>а</w:t>
      </w:r>
      <w:r w:rsidRPr="00646C19">
        <w:t>нятости; сочетание трудовой деятельности и семейной жизни и совместная о</w:t>
      </w:r>
      <w:r w:rsidRPr="00646C19">
        <w:t>т</w:t>
      </w:r>
      <w:r w:rsidRPr="00646C19">
        <w:t>ветственность; борьба с гендерным насилием; участие женщин в политической, экономической и общественной жизни; образование; осуществление конкре</w:t>
      </w:r>
      <w:r w:rsidRPr="00646C19">
        <w:t>т</w:t>
      </w:r>
      <w:r w:rsidRPr="00646C19">
        <w:t>ных мер политического характера в сфере здравоохранения; спорт; средства массовой информации; информационное общество; а также по новому напра</w:t>
      </w:r>
      <w:r w:rsidRPr="00646C19">
        <w:t>в</w:t>
      </w:r>
      <w:r w:rsidRPr="00646C19">
        <w:t>лению в области внешней политики и международного сотрудничества. По н</w:t>
      </w:r>
      <w:r w:rsidRPr="00646C19">
        <w:t>е</w:t>
      </w:r>
      <w:r w:rsidRPr="00646C19">
        <w:t>которым приоритетным направлениям деятельности, например борьбе с ге</w:t>
      </w:r>
      <w:r w:rsidRPr="00646C19">
        <w:t>н</w:t>
      </w:r>
      <w:r w:rsidRPr="00646C19">
        <w:t>дерным насилием, уже подготовлена Национальная стратегия искоренения насилия в отношении женщин, а в сфере занятости планируется реализовать Специальный план обеспечения равноправия между женщинами и мужчинами в сфере занятости и борьбы с дискриминацией в оплате труда.</w:t>
      </w:r>
    </w:p>
    <w:p w:rsidR="00646C19" w:rsidRPr="00646C19" w:rsidRDefault="00646C19" w:rsidP="00646C19">
      <w:pPr>
        <w:pStyle w:val="SingleTxtGR"/>
      </w:pPr>
      <w:r w:rsidRPr="00646C19">
        <w:t>184.</w:t>
      </w:r>
      <w:r w:rsidRPr="00646C19">
        <w:tab/>
        <w:t>По данным доклада ОЭСР "Преодоление гендерного разрыва: время де</w:t>
      </w:r>
      <w:r w:rsidRPr="00646C19">
        <w:t>й</w:t>
      </w:r>
      <w:r w:rsidRPr="00646C19">
        <w:t>ствовать", представленного в декабре 2012</w:t>
      </w:r>
      <w:r w:rsidR="005507FC">
        <w:t xml:space="preserve"> </w:t>
      </w:r>
      <w:r w:rsidRPr="00646C19">
        <w:t>года, Испания является одной из стран</w:t>
      </w:r>
      <w:r w:rsidR="005507FC">
        <w:t xml:space="preserve"> </w:t>
      </w:r>
      <w:r w:rsidRPr="00646C19">
        <w:t>– членов ОЭСР, в которой отмечается наиболее значительное сокращение гендерного разрыва в сфере занятости. В докладе отмечается, что более выс</w:t>
      </w:r>
      <w:r w:rsidRPr="00646C19">
        <w:t>о</w:t>
      </w:r>
      <w:r w:rsidRPr="00646C19">
        <w:t>кий уровень квалификации и образования испанских женщин способствует с</w:t>
      </w:r>
      <w:r w:rsidRPr="00646C19">
        <w:t>о</w:t>
      </w:r>
      <w:r w:rsidRPr="00646C19">
        <w:t>кращению гендерного разрыва в показателях экономически активного насел</w:t>
      </w:r>
      <w:r w:rsidRPr="00646C19">
        <w:t>е</w:t>
      </w:r>
      <w:r w:rsidRPr="00646C19">
        <w:t>ния, который снизился с 50</w:t>
      </w:r>
      <w:r w:rsidR="005507FC">
        <w:t xml:space="preserve"> </w:t>
      </w:r>
      <w:r w:rsidRPr="00646C19">
        <w:t>процентных пунктов в 1980</w:t>
      </w:r>
      <w:r w:rsidR="005507FC">
        <w:t xml:space="preserve"> </w:t>
      </w:r>
      <w:r w:rsidRPr="00646C19">
        <w:t>году до 20</w:t>
      </w:r>
      <w:r w:rsidR="005507FC">
        <w:t xml:space="preserve"> </w:t>
      </w:r>
      <w:r w:rsidRPr="00646C19">
        <w:t>процентных пунктов в 2007</w:t>
      </w:r>
      <w:r w:rsidR="005507FC">
        <w:t xml:space="preserve"> </w:t>
      </w:r>
      <w:r w:rsidRPr="00646C19">
        <w:t>году и продолжил снижение во время экономического кризиса, дойдя в 2011</w:t>
      </w:r>
      <w:r w:rsidR="005507FC">
        <w:t xml:space="preserve"> </w:t>
      </w:r>
      <w:r w:rsidRPr="00646C19">
        <w:t>году до 13,5</w:t>
      </w:r>
      <w:r w:rsidR="005507FC">
        <w:t xml:space="preserve"> </w:t>
      </w:r>
      <w:r w:rsidRPr="00646C19">
        <w:t>процентного пункта. В докладе отмечается также, что показатели числа женщин, занимающих руководящие должности, в "Испании выше, чем средние по странам ОЭСР" (в 2010</w:t>
      </w:r>
      <w:r w:rsidR="005507FC">
        <w:t xml:space="preserve"> </w:t>
      </w:r>
      <w:r w:rsidRPr="00646C19">
        <w:t>году доля женщин среди руков</w:t>
      </w:r>
      <w:r w:rsidRPr="00646C19">
        <w:t>о</w:t>
      </w:r>
      <w:r w:rsidRPr="00646C19">
        <w:t>дителей высшего звена составляла 34</w:t>
      </w:r>
      <w:r w:rsidR="005507FC">
        <w:t>%</w:t>
      </w:r>
      <w:r w:rsidRPr="00646C19">
        <w:t>).</w:t>
      </w:r>
    </w:p>
    <w:p w:rsidR="00646C19" w:rsidRPr="00646C19" w:rsidRDefault="00646C19" w:rsidP="00646C19">
      <w:pPr>
        <w:pStyle w:val="SingleTxtGR"/>
      </w:pPr>
      <w:r w:rsidRPr="00646C19">
        <w:t>185.</w:t>
      </w:r>
      <w:r w:rsidRPr="00646C19">
        <w:tab/>
        <w:t>Положения Органического закона</w:t>
      </w:r>
      <w:r w:rsidR="005507FC">
        <w:t xml:space="preserve"> </w:t>
      </w:r>
      <w:r w:rsidRPr="00646C19">
        <w:t>№</w:t>
      </w:r>
      <w:r w:rsidR="005507FC">
        <w:t xml:space="preserve"> </w:t>
      </w:r>
      <w:r w:rsidRPr="00646C19">
        <w:t>2/2010 от 3</w:t>
      </w:r>
      <w:r w:rsidR="005507FC">
        <w:t xml:space="preserve"> </w:t>
      </w:r>
      <w:r w:rsidRPr="00646C19">
        <w:t>марта 2010</w:t>
      </w:r>
      <w:r w:rsidR="005507FC">
        <w:t xml:space="preserve"> </w:t>
      </w:r>
      <w:r w:rsidRPr="00646C19">
        <w:t>года о секс</w:t>
      </w:r>
      <w:r w:rsidRPr="00646C19">
        <w:t>у</w:t>
      </w:r>
      <w:r w:rsidRPr="00646C19">
        <w:t>альном и репродуктивном здоровье и добровольном прерывании беременности получили развитие в Королевском указе</w:t>
      </w:r>
      <w:r w:rsidR="005507FC">
        <w:t xml:space="preserve"> </w:t>
      </w:r>
      <w:r w:rsidRPr="00646C19">
        <w:t>№</w:t>
      </w:r>
      <w:r w:rsidR="005507FC">
        <w:t xml:space="preserve"> </w:t>
      </w:r>
      <w:r w:rsidRPr="00646C19">
        <w:t>825/2010 от 25</w:t>
      </w:r>
      <w:r w:rsidR="005507FC">
        <w:t xml:space="preserve"> </w:t>
      </w:r>
      <w:r w:rsidRPr="00646C19">
        <w:t>июня 2010</w:t>
      </w:r>
      <w:r w:rsidR="005507FC">
        <w:t xml:space="preserve"> </w:t>
      </w:r>
      <w:r w:rsidRPr="00646C19">
        <w:t>года о внесении изменений в Органический закон</w:t>
      </w:r>
      <w:r w:rsidR="005507FC">
        <w:t xml:space="preserve"> </w:t>
      </w:r>
      <w:r w:rsidRPr="00646C19">
        <w:t>№</w:t>
      </w:r>
      <w:r w:rsidR="005507FC">
        <w:t xml:space="preserve"> </w:t>
      </w:r>
      <w:r w:rsidRPr="00646C19">
        <w:t>2/2010, а также в Королевском указе</w:t>
      </w:r>
      <w:r w:rsidR="005507FC">
        <w:t xml:space="preserve"> </w:t>
      </w:r>
      <w:r w:rsidRPr="00646C19">
        <w:t>№</w:t>
      </w:r>
      <w:r w:rsidR="005507FC">
        <w:t xml:space="preserve"> </w:t>
      </w:r>
      <w:r w:rsidRPr="00646C19">
        <w:t>831/2010 от 25</w:t>
      </w:r>
      <w:r w:rsidR="005507FC">
        <w:t xml:space="preserve"> </w:t>
      </w:r>
      <w:r w:rsidRPr="00646C19">
        <w:t>июня 2010</w:t>
      </w:r>
      <w:r w:rsidR="005507FC">
        <w:t xml:space="preserve"> </w:t>
      </w:r>
      <w:r w:rsidRPr="00646C19">
        <w:t>года о предоставлении гарантий качества предоставления медицинской помощи в случае добровольного прерывания б</w:t>
      </w:r>
      <w:r w:rsidRPr="00646C19">
        <w:t>е</w:t>
      </w:r>
      <w:r w:rsidRPr="00646C19">
        <w:t>ременности. В связи с этим Законом в Конституционный суд был направлен з</w:t>
      </w:r>
      <w:r w:rsidRPr="00646C19">
        <w:t>а</w:t>
      </w:r>
      <w:r w:rsidRPr="00646C19">
        <w:t>прос, касающийся его соответствия Конституции, однако на момент подготовки настоящего доклада решение не было вынесено. В настоящее время планируе</w:t>
      </w:r>
      <w:r w:rsidRPr="00646C19">
        <w:t>т</w:t>
      </w:r>
      <w:r w:rsidRPr="00646C19">
        <w:t>ся отменить этот Закон, приняв вместо него новый законодательный акт, пред</w:t>
      </w:r>
      <w:r w:rsidRPr="00646C19">
        <w:t>о</w:t>
      </w:r>
      <w:r w:rsidRPr="00646C19">
        <w:t>ставляющий возможность прерывать беременность только в определенных че</w:t>
      </w:r>
      <w:r w:rsidRPr="00646C19">
        <w:t>т</w:t>
      </w:r>
      <w:r w:rsidRPr="00646C19">
        <w:t>ко указанных ситуациях.</w:t>
      </w:r>
    </w:p>
    <w:p w:rsidR="00646C19" w:rsidRPr="00646C19" w:rsidRDefault="00646C19" w:rsidP="00646C19">
      <w:pPr>
        <w:pStyle w:val="SingleTxtGR"/>
      </w:pPr>
      <w:r w:rsidRPr="00646C19">
        <w:t>186.</w:t>
      </w:r>
      <w:r w:rsidRPr="00646C19">
        <w:tab/>
        <w:t>В течение почти двух десятилетий Испания последовательно выполняла свои обязательства по ликвидации всех форм насилия, от которых страдают женщины. Органический закон</w:t>
      </w:r>
      <w:r w:rsidR="005507FC">
        <w:t xml:space="preserve"> </w:t>
      </w:r>
      <w:r w:rsidRPr="00646C19">
        <w:t>№</w:t>
      </w:r>
      <w:r w:rsidR="005507FC">
        <w:t xml:space="preserve"> </w:t>
      </w:r>
      <w:r w:rsidRPr="00646C19">
        <w:t>1/2004 от 28</w:t>
      </w:r>
      <w:r w:rsidR="005507FC">
        <w:t xml:space="preserve"> </w:t>
      </w:r>
      <w:r w:rsidRPr="00646C19">
        <w:t>декабря 2004</w:t>
      </w:r>
      <w:r w:rsidR="005507FC">
        <w:t xml:space="preserve"> </w:t>
      </w:r>
      <w:r w:rsidRPr="00646C19">
        <w:t>года о мерах по комплексной защите от гендерного насилия призван искоренить одну из наиб</w:t>
      </w:r>
      <w:r w:rsidRPr="00646C19">
        <w:t>о</w:t>
      </w:r>
      <w:r w:rsidRPr="00646C19">
        <w:t>лее распространенных форм насилия, а именно насилие в отношении женщин со стороны их нынешних или бывших супругов или партнеров. В этом Законе под гендерным насилием понимаются любые акты физического или психолог</w:t>
      </w:r>
      <w:r w:rsidRPr="00646C19">
        <w:t>и</w:t>
      </w:r>
      <w:r w:rsidRPr="00646C19">
        <w:t>ческого насилия, включая посягательства на сексуальную свободу, угрозы, пр</w:t>
      </w:r>
      <w:r w:rsidRPr="00646C19">
        <w:t>и</w:t>
      </w:r>
      <w:r w:rsidRPr="00646C19">
        <w:t>нуждение или произвольное лишение свободы, совершаемые мужчинами в о</w:t>
      </w:r>
      <w:r w:rsidRPr="00646C19">
        <w:t>т</w:t>
      </w:r>
      <w:r w:rsidRPr="00646C19">
        <w:t>ношении нынешних или бывших супруг или в отношении женщин, с которыми их связывают или связывали отношения аналогичного эмоционального уровня, даже в</w:t>
      </w:r>
      <w:r w:rsidR="005507FC">
        <w:t xml:space="preserve"> </w:t>
      </w:r>
      <w:r w:rsidRPr="00646C19">
        <w:t>отсутствие совместного проживания. Закон предусматривает всеобъе</w:t>
      </w:r>
      <w:r w:rsidRPr="00646C19">
        <w:t>м</w:t>
      </w:r>
      <w:r w:rsidRPr="00646C19">
        <w:t>лющее и координированное реагирование со стороны всех государственных о</w:t>
      </w:r>
      <w:r w:rsidRPr="00646C19">
        <w:t>р</w:t>
      </w:r>
      <w:r w:rsidRPr="00646C19">
        <w:t>ганов; меры по комплексной защите жертв с целью предупреждения, пресеч</w:t>
      </w:r>
      <w:r w:rsidRPr="00646C19">
        <w:t>е</w:t>
      </w:r>
      <w:r w:rsidRPr="00646C19">
        <w:t>ния и искоренения такого насилия и предоставление помощи потерпевшим независимо от их происхождения, вероисповедания или какого-либо иного условия или обстоятельства личного или социального характера. Государстве</w:t>
      </w:r>
      <w:r w:rsidRPr="00646C19">
        <w:t>н</w:t>
      </w:r>
      <w:r w:rsidRPr="00646C19">
        <w:t>ное управление по борьбе с насилием в отношении женщин является прав</w:t>
      </w:r>
      <w:r w:rsidRPr="00646C19">
        <w:t>и</w:t>
      </w:r>
      <w:r w:rsidRPr="00646C19">
        <w:t>тельственным органом, несущим ответственность за предупреждение и искор</w:t>
      </w:r>
      <w:r w:rsidRPr="00646C19">
        <w:t>е</w:t>
      </w:r>
      <w:r w:rsidRPr="00646C19">
        <w:t>нение насилия в отношении женщин. Это Управление собирает и распростран</w:t>
      </w:r>
      <w:r w:rsidRPr="00646C19">
        <w:t>я</w:t>
      </w:r>
      <w:r w:rsidRPr="00646C19">
        <w:t>ет через свой Статистический портал</w:t>
      </w:r>
      <w:r w:rsidR="0047230D">
        <w:rPr>
          <w:rStyle w:val="ac"/>
        </w:rPr>
        <w:footnoteReference w:id="9"/>
      </w:r>
      <w:r w:rsidRPr="00646C19">
        <w:t xml:space="preserve"> данные о масштабах насилия и оценке результативности осуществляемых мер. В</w:t>
      </w:r>
      <w:r w:rsidR="005507FC">
        <w:t xml:space="preserve"> </w:t>
      </w:r>
      <w:r w:rsidRPr="00646C19">
        <w:t>автономных сообществах также де</w:t>
      </w:r>
      <w:r w:rsidRPr="00646C19">
        <w:t>й</w:t>
      </w:r>
      <w:r w:rsidRPr="00646C19">
        <w:t xml:space="preserve">ствуют принятые здесь законы и/или конкретные планы и программы по борьбе с этим видом насилия. </w:t>
      </w:r>
    </w:p>
    <w:p w:rsidR="00646C19" w:rsidRPr="00646C19" w:rsidRDefault="00646C19" w:rsidP="00646C19">
      <w:pPr>
        <w:pStyle w:val="SingleTxtGR"/>
      </w:pPr>
      <w:r w:rsidRPr="00646C19">
        <w:t>187.</w:t>
      </w:r>
      <w:r w:rsidRPr="00646C19">
        <w:tab/>
        <w:t>В июле 2013</w:t>
      </w:r>
      <w:r w:rsidR="005507FC">
        <w:t xml:space="preserve"> </w:t>
      </w:r>
      <w:r w:rsidRPr="00646C19">
        <w:t>года была принята Национальная стратегия по искоренению насилия в отношении женщин (2013–2016</w:t>
      </w:r>
      <w:r w:rsidR="005507FC">
        <w:t xml:space="preserve"> </w:t>
      </w:r>
      <w:r w:rsidRPr="00646C19">
        <w:t>годы) – механизм, который определ</w:t>
      </w:r>
      <w:r w:rsidRPr="00646C19">
        <w:t>я</w:t>
      </w:r>
      <w:r w:rsidRPr="00646C19">
        <w:t>ет направленность действий государственных органов в борьбе с этой формой насилия и последовательно, согласованно и систематизированно перечисляет в рамках единого документа 284</w:t>
      </w:r>
      <w:r w:rsidR="005507FC">
        <w:t xml:space="preserve"> </w:t>
      </w:r>
      <w:r w:rsidRPr="00646C19">
        <w:t>мероприятия, которые предполагается осущ</w:t>
      </w:r>
      <w:r w:rsidRPr="00646C19">
        <w:t>е</w:t>
      </w:r>
      <w:r w:rsidRPr="00646C19">
        <w:t>ствить с участием всех государственных органов и на осуществление которых выделяются бюджетные средства в размере 1</w:t>
      </w:r>
      <w:r w:rsidR="0047230D">
        <w:t> </w:t>
      </w:r>
      <w:r w:rsidRPr="00646C19">
        <w:t>558</w:t>
      </w:r>
      <w:r w:rsidR="0047230D">
        <w:t> </w:t>
      </w:r>
      <w:r w:rsidRPr="00646C19">
        <w:t>611</w:t>
      </w:r>
      <w:r w:rsidR="0047230D">
        <w:t> </w:t>
      </w:r>
      <w:r w:rsidRPr="00646C19">
        <w:t>634</w:t>
      </w:r>
      <w:r w:rsidR="005507FC">
        <w:t xml:space="preserve"> </w:t>
      </w:r>
      <w:r w:rsidRPr="00646C19">
        <w:t>евро. В Стратегии формулируются, в частности, следующие задачи: покончить с замалчиванием этого явления, повысить эффективность мер реагирования на институционал</w:t>
      </w:r>
      <w:r w:rsidRPr="00646C19">
        <w:t>ь</w:t>
      </w:r>
      <w:r w:rsidRPr="00646C19">
        <w:t>ном уровне, оказывать помощь несовершеннолетним и женщинам, которые особенно подвержены риску гендерного насилия, и привлекать внимание общ</w:t>
      </w:r>
      <w:r w:rsidRPr="00646C19">
        <w:t>е</w:t>
      </w:r>
      <w:r w:rsidRPr="00646C19">
        <w:t>ственности к решению проблем, связанных с другими формами насилия в о</w:t>
      </w:r>
      <w:r w:rsidRPr="00646C19">
        <w:t>т</w:t>
      </w:r>
      <w:r w:rsidRPr="00646C19">
        <w:t>ношении женщин. В числе мер, принимаемых</w:t>
      </w:r>
      <w:r w:rsidR="005507FC">
        <w:t xml:space="preserve"> </w:t>
      </w:r>
      <w:r w:rsidRPr="00646C19">
        <w:t>для решения этих задач, следует отметить созданную Министерством внутренних дел Систему комплексного мониторинга случаев гендерного насилия, к работе в которой привлекается все больше различных структур, занимающихся борьбой с гендерным насилием в Испании (силы полиции, судебные органы, прокуратуры, администрация пен</w:t>
      </w:r>
      <w:r w:rsidRPr="00646C19">
        <w:t>и</w:t>
      </w:r>
      <w:r w:rsidRPr="00646C19">
        <w:t>тенциарных учреждений, социальные службы и органы по обеспечению раве</w:t>
      </w:r>
      <w:r w:rsidRPr="00646C19">
        <w:t>н</w:t>
      </w:r>
      <w:r w:rsidRPr="00646C19">
        <w:t>ства). Эта информационная система ведет сбор данных и привлекает операти</w:t>
      </w:r>
      <w:r w:rsidRPr="00646C19">
        <w:t>в</w:t>
      </w:r>
      <w:r w:rsidRPr="00646C19">
        <w:t>ные ресурсы для оказания помощи потерпевшим, а ее основными задачами я</w:t>
      </w:r>
      <w:r w:rsidRPr="00646C19">
        <w:t>в</w:t>
      </w:r>
      <w:r w:rsidRPr="00646C19">
        <w:t>ляются привлечение ресурсов, оценка рисков и обеспечение действенного м</w:t>
      </w:r>
      <w:r w:rsidRPr="00646C19">
        <w:t>о</w:t>
      </w:r>
      <w:r w:rsidRPr="00646C19">
        <w:t>ниторинга средств защиты, чтобы, располагая данными о женщинах, наход</w:t>
      </w:r>
      <w:r w:rsidRPr="00646C19">
        <w:t>я</w:t>
      </w:r>
      <w:r w:rsidRPr="00646C19">
        <w:t>щихся под угрозой, и систематически оценивая риски, иметь возможность пр</w:t>
      </w:r>
      <w:r w:rsidRPr="00646C19">
        <w:t>и</w:t>
      </w:r>
      <w:r w:rsidRPr="00646C19">
        <w:t>нимать необходимые меры в каждом конкретном случае. По состоянию на 31</w:t>
      </w:r>
      <w:r w:rsidR="0047230D">
        <w:t> </w:t>
      </w:r>
      <w:r w:rsidRPr="00646C19">
        <w:t>декабря 2013</w:t>
      </w:r>
      <w:r w:rsidR="005507FC">
        <w:t xml:space="preserve"> </w:t>
      </w:r>
      <w:r w:rsidRPr="00646C19">
        <w:t>года, в этой системе были зарегистрированы 311</w:t>
      </w:r>
      <w:r w:rsidR="0047230D">
        <w:t> </w:t>
      </w:r>
      <w:r w:rsidRPr="00646C19">
        <w:t>502</w:t>
      </w:r>
      <w:r w:rsidR="005507FC">
        <w:t xml:space="preserve"> </w:t>
      </w:r>
      <w:r w:rsidRPr="00646C19">
        <w:t>дела о женщинах</w:t>
      </w:r>
      <w:r w:rsidR="005507FC">
        <w:t xml:space="preserve"> </w:t>
      </w:r>
      <w:r w:rsidRPr="00646C19">
        <w:t>– жертвах гендерного насилия, в том числе 64</w:t>
      </w:r>
      <w:r w:rsidR="0047230D">
        <w:t> </w:t>
      </w:r>
      <w:r w:rsidRPr="00646C19">
        <w:t>068</w:t>
      </w:r>
      <w:r w:rsidR="005507FC">
        <w:t xml:space="preserve"> </w:t>
      </w:r>
      <w:r w:rsidRPr="00646C19">
        <w:t>дел, которые сч</w:t>
      </w:r>
      <w:r w:rsidRPr="00646C19">
        <w:t>и</w:t>
      </w:r>
      <w:r w:rsidRPr="00646C19">
        <w:t>таются открытыми и требующими мониторинга и/или принятия мер защиты со стороны полиции. Кроме того, действует Система дистанционного слежения за соблюдением запрета приближаться к жертве, налагаемого в качестве меры пресечения и наказания в случае гендерного насилия. Кроме того, предусма</w:t>
      </w:r>
      <w:r w:rsidRPr="00646C19">
        <w:t>т</w:t>
      </w:r>
      <w:r w:rsidRPr="00646C19">
        <w:t>ривается возможность в исключительных случаях предоставлять временное проживание и трудоустройство в Испании иностранкам, пострадавшим от ге</w:t>
      </w:r>
      <w:r w:rsidRPr="00646C19">
        <w:t>н</w:t>
      </w:r>
      <w:r w:rsidRPr="00646C19">
        <w:t>дерного насилия.</w:t>
      </w:r>
    </w:p>
    <w:p w:rsidR="00646C19" w:rsidRPr="00646C19" w:rsidRDefault="00646C19" w:rsidP="00646C19">
      <w:pPr>
        <w:pStyle w:val="SingleTxtGR"/>
      </w:pPr>
      <w:r w:rsidRPr="00646C19">
        <w:t>188.</w:t>
      </w:r>
      <w:r w:rsidRPr="00646C19">
        <w:tab/>
        <w:t>Торговля людьми представляет собой крайне тяжкое преступление, пос</w:t>
      </w:r>
      <w:r w:rsidRPr="00646C19">
        <w:t>я</w:t>
      </w:r>
      <w:r w:rsidRPr="00646C19">
        <w:t>гающее на права человека, которое сегодня приобретает устрашающие размеры в силу возможности получения огромных прибылей и которое представляет с</w:t>
      </w:r>
      <w:r w:rsidRPr="00646C19">
        <w:t>о</w:t>
      </w:r>
      <w:r w:rsidRPr="00646C19">
        <w:t>бой одну из наиболее вопиющих и жестоких форм превращения человека в т</w:t>
      </w:r>
      <w:r w:rsidRPr="00646C19">
        <w:t>о</w:t>
      </w:r>
      <w:r w:rsidRPr="00646C19">
        <w:t>вар. Ратификация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(Палермский протокол), и Конвенции Совета Европы о борьбе с торговлей людьми (Варшавская конвенция) означает введение в правовую с</w:t>
      </w:r>
      <w:r w:rsidRPr="00646C19">
        <w:t>и</w:t>
      </w:r>
      <w:r w:rsidRPr="00646C19">
        <w:t>стему Испании различных мер законодательного и иного характера, призванных усилить защиту и поддержку потерпевших и борьбу с этим преступлением. Особо следует отметить, в частности, внесение изменений в Уголовный кодекс (Органический закон</w:t>
      </w:r>
      <w:r w:rsidR="005507FC">
        <w:t xml:space="preserve"> </w:t>
      </w:r>
      <w:r w:rsidRPr="00646C19">
        <w:t>№</w:t>
      </w:r>
      <w:r w:rsidR="005507FC">
        <w:t xml:space="preserve"> </w:t>
      </w:r>
      <w:r w:rsidRPr="00646C19">
        <w:t>5/2010), в который был внесен раздел</w:t>
      </w:r>
      <w:r w:rsidR="005507FC">
        <w:t xml:space="preserve"> </w:t>
      </w:r>
      <w:r w:rsidRPr="00646C19">
        <w:t>VII</w:t>
      </w:r>
      <w:r w:rsidR="00F45CFB">
        <w:t>-бис</w:t>
      </w:r>
      <w:r w:rsidRPr="00646C19">
        <w:t>. Статья</w:t>
      </w:r>
      <w:r w:rsidR="005507FC">
        <w:t xml:space="preserve"> </w:t>
      </w:r>
      <w:r w:rsidRPr="00646C19">
        <w:t>177</w:t>
      </w:r>
      <w:r w:rsidR="00F45CFB">
        <w:t>-бис</w:t>
      </w:r>
      <w:r w:rsidRPr="00646C19">
        <w:t xml:space="preserve"> впервые квалифицирует торговлю людьми как преступление, используя при этом понятие "торговля людьми", содержащееся в Палермском протоколе и в Конвенции Совета Европы. Кроме того, после внесения поправок в Закон об иностранцах (Органический закон</w:t>
      </w:r>
      <w:r w:rsidR="005507FC">
        <w:t xml:space="preserve"> </w:t>
      </w:r>
      <w:r w:rsidRPr="00646C19">
        <w:t>№</w:t>
      </w:r>
      <w:r w:rsidR="005507FC">
        <w:t xml:space="preserve"> </w:t>
      </w:r>
      <w:r w:rsidRPr="00646C19">
        <w:t>2/2009 и Органический закон</w:t>
      </w:r>
      <w:r w:rsidR="005507FC">
        <w:t xml:space="preserve"> </w:t>
      </w:r>
      <w:r w:rsidRPr="00646C19">
        <w:t>№</w:t>
      </w:r>
      <w:r w:rsidR="005507FC">
        <w:t xml:space="preserve"> </w:t>
      </w:r>
      <w:r w:rsidRPr="00646C19">
        <w:t>10/2011 от 17</w:t>
      </w:r>
      <w:r w:rsidR="005507FC">
        <w:t xml:space="preserve"> </w:t>
      </w:r>
      <w:r w:rsidRPr="00646C19">
        <w:t>июля 2011</w:t>
      </w:r>
      <w:r w:rsidR="005507FC">
        <w:t xml:space="preserve"> </w:t>
      </w:r>
      <w:r w:rsidRPr="00646C19">
        <w:t>года) в нем предусматривается предоставление особого статуса иностранцам, пребывающим на территории страны нелегально и являющимся жертвами торговли людьми. Эти поправки получили развитие в стат</w:t>
      </w:r>
      <w:r w:rsidRPr="00646C19">
        <w:t>ь</w:t>
      </w:r>
      <w:r w:rsidRPr="00646C19">
        <w:t>ях</w:t>
      </w:r>
      <w:r w:rsidR="00F45CFB">
        <w:t> 140−</w:t>
      </w:r>
      <w:r w:rsidRPr="00646C19">
        <w:t>146 Регламента к Органическому закону</w:t>
      </w:r>
      <w:r w:rsidR="005507FC">
        <w:t xml:space="preserve"> </w:t>
      </w:r>
      <w:r w:rsidRPr="00646C19">
        <w:t>№</w:t>
      </w:r>
      <w:r w:rsidR="005507FC">
        <w:t xml:space="preserve"> </w:t>
      </w:r>
      <w:r w:rsidRPr="00646C19">
        <w:t>4/2000, утвержденного К</w:t>
      </w:r>
      <w:r w:rsidRPr="00646C19">
        <w:t>о</w:t>
      </w:r>
      <w:r w:rsidRPr="00646C19">
        <w:t>ролевским указом</w:t>
      </w:r>
      <w:r w:rsidR="005507FC">
        <w:t xml:space="preserve"> </w:t>
      </w:r>
      <w:r w:rsidRPr="00646C19">
        <w:t>№</w:t>
      </w:r>
      <w:r w:rsidR="005507FC">
        <w:t xml:space="preserve"> </w:t>
      </w:r>
      <w:r w:rsidRPr="00646C19">
        <w:t>557/2011 от 20</w:t>
      </w:r>
      <w:r w:rsidR="005507FC">
        <w:t xml:space="preserve"> </w:t>
      </w:r>
      <w:r w:rsidRPr="00646C19">
        <w:t>апреля 2011</w:t>
      </w:r>
      <w:r w:rsidR="005507FC">
        <w:t xml:space="preserve"> </w:t>
      </w:r>
      <w:r w:rsidRPr="00646C19">
        <w:t>года. Особо следует отметить положение статьи</w:t>
      </w:r>
      <w:r w:rsidR="005507FC">
        <w:t xml:space="preserve"> </w:t>
      </w:r>
      <w:r w:rsidRPr="00646C19">
        <w:t>140 данного Регламента, касающейся разработки Рамочного протокола защиты жертв торговли людьми, который был принят 28</w:t>
      </w:r>
      <w:r w:rsidR="005507FC">
        <w:t xml:space="preserve"> </w:t>
      </w:r>
      <w:r w:rsidRPr="00646C19">
        <w:t>октября 2011</w:t>
      </w:r>
      <w:r w:rsidR="005507FC">
        <w:t xml:space="preserve"> </w:t>
      </w:r>
      <w:r w:rsidRPr="00646C19">
        <w:t>года соглашением, которое подписали Министерство здравоохранения, с</w:t>
      </w:r>
      <w:r w:rsidRPr="00646C19">
        <w:t>о</w:t>
      </w:r>
      <w:r w:rsidRPr="00646C19">
        <w:t>циального обеспечения и по вопросам равенства, Министерство внутренних дел, Министерство юстиции и Министерство труда и иммиграции, а также Г</w:t>
      </w:r>
      <w:r w:rsidRPr="00646C19">
        <w:t>е</w:t>
      </w:r>
      <w:r w:rsidRPr="00646C19">
        <w:t>неральная прокуратура и Генеральный совет судебной власти. В этом Проток</w:t>
      </w:r>
      <w:r w:rsidRPr="00646C19">
        <w:t>о</w:t>
      </w:r>
      <w:r w:rsidRPr="00646C19">
        <w:t>ле определяются порядок выявления жертв торговли людьми, установления их личности и предоставления им помощи и защиты, а также механизмы коорд</w:t>
      </w:r>
      <w:r w:rsidRPr="00646C19">
        <w:t>и</w:t>
      </w:r>
      <w:r w:rsidRPr="00646C19">
        <w:t>нации деятельности структур, участвующих в этой работе, равно как и системы связи между административными органами, отвечающими за решение этих проблем, а также порядок обмена информацией и сотрудничества организаций и структур, имеющих опыт оказания помощи жертвам торговли людьми с ц</w:t>
      </w:r>
      <w:r w:rsidRPr="00646C19">
        <w:t>е</w:t>
      </w:r>
      <w:r w:rsidRPr="00646C19">
        <w:t>лью обеспечения.</w:t>
      </w:r>
    </w:p>
    <w:p w:rsidR="00646C19" w:rsidRPr="00646C19" w:rsidRDefault="00646C19" w:rsidP="00646C19">
      <w:pPr>
        <w:pStyle w:val="SingleTxtGR"/>
      </w:pPr>
      <w:r w:rsidRPr="00646C19">
        <w:t>189.</w:t>
      </w:r>
      <w:r w:rsidRPr="00646C19">
        <w:tab/>
        <w:t>Что касается государственной политики в области борьбы с торговлей людьми, то здесь следует особо отметить борьбу с одной из форм такой торго</w:t>
      </w:r>
      <w:r w:rsidRPr="00646C19">
        <w:t>в</w:t>
      </w:r>
      <w:r w:rsidRPr="00646C19">
        <w:t>ли посредством осуществления мер, предусмотренных Комплексным планом борьбы с торговлей людьми в целях с</w:t>
      </w:r>
      <w:r w:rsidR="00F45CFB">
        <w:t>ексуальной эксплуатации на 2009−</w:t>
      </w:r>
      <w:r w:rsidRPr="00646C19">
        <w:t>2012</w:t>
      </w:r>
      <w:r w:rsidR="00F45CFB">
        <w:t> </w:t>
      </w:r>
      <w:r w:rsidRPr="00646C19">
        <w:t>годы – первым целостным механизмом, применяющим к вопросам борьбы с торговлей людьми в целях сексуальной эксплуатации междисципл</w:t>
      </w:r>
      <w:r w:rsidRPr="00646C19">
        <w:t>и</w:t>
      </w:r>
      <w:r w:rsidRPr="00646C19">
        <w:t>нарный подход, в рамках которого предусматривается распределение обязанн</w:t>
      </w:r>
      <w:r w:rsidRPr="00646C19">
        <w:t>о</w:t>
      </w:r>
      <w:r w:rsidRPr="00646C19">
        <w:t>стей между различными подразделениями министерств, занимающимися соо</w:t>
      </w:r>
      <w:r w:rsidRPr="00646C19">
        <w:t>т</w:t>
      </w:r>
      <w:r w:rsidRPr="00646C19">
        <w:t>ветствующими вопросами. На базе данного подхода созданы системы межв</w:t>
      </w:r>
      <w:r w:rsidRPr="00646C19">
        <w:t>е</w:t>
      </w:r>
      <w:r w:rsidRPr="00646C19">
        <w:t>домственной координации и сотрудничества. В их числе следует выделить с</w:t>
      </w:r>
      <w:r w:rsidRPr="00646C19">
        <w:t>о</w:t>
      </w:r>
      <w:r w:rsidRPr="00646C19">
        <w:t>зданный в 2009</w:t>
      </w:r>
      <w:r w:rsidR="005507FC">
        <w:t xml:space="preserve"> </w:t>
      </w:r>
      <w:r w:rsidRPr="00646C19">
        <w:t>году Социальный форум по борьбе с торговлей людьми в целях сексуальной эксплуатации, объединивший в своих рамках государственные и</w:t>
      </w:r>
      <w:r w:rsidRPr="00646C19">
        <w:t>н</w:t>
      </w:r>
      <w:r w:rsidRPr="00646C19">
        <w:t>ституты и гражданское общество. Мониторинг исполнения Плана осуществл</w:t>
      </w:r>
      <w:r w:rsidRPr="00646C19">
        <w:t>я</w:t>
      </w:r>
      <w:r w:rsidRPr="00646C19">
        <w:t>ется путем представления ежегодных докладов</w:t>
      </w:r>
      <w:r w:rsidR="00F45CFB">
        <w:rPr>
          <w:rStyle w:val="ac"/>
        </w:rPr>
        <w:footnoteReference w:id="10"/>
      </w:r>
      <w:r w:rsidRPr="00646C19">
        <w:t>. По завершении оценки Плана будет принят новый комплексный документ по борьбе с торговлей женщинами и детьми в целях сексуальной эксплуатации (его принятие планируется на 2015</w:t>
      </w:r>
      <w:r w:rsidR="00F45CFB">
        <w:t> </w:t>
      </w:r>
      <w:r w:rsidRPr="00646C19">
        <w:t>год).</w:t>
      </w:r>
    </w:p>
    <w:p w:rsidR="00646C19" w:rsidRPr="00646C19" w:rsidRDefault="00646C19" w:rsidP="00646C19">
      <w:pPr>
        <w:pStyle w:val="SingleTxtGR"/>
      </w:pPr>
      <w:r w:rsidRPr="00646C19">
        <w:t>190.</w:t>
      </w:r>
      <w:r w:rsidRPr="00646C19">
        <w:tab/>
        <w:t>Что касается деятельности органов полиции, то с 2013</w:t>
      </w:r>
      <w:r w:rsidR="005507FC">
        <w:t xml:space="preserve"> </w:t>
      </w:r>
      <w:r w:rsidRPr="00646C19">
        <w:t>года идет ос</w:t>
      </w:r>
      <w:r w:rsidRPr="00646C19">
        <w:t>у</w:t>
      </w:r>
      <w:r w:rsidRPr="00646C19">
        <w:t>ществление нового Плана действий правоохранительных органов по борьбе с торговлей людьми в целях сексуальной эксплуатации, в котором в качестве приоритетных ставятся такие задачи, как:</w:t>
      </w:r>
    </w:p>
    <w:p w:rsidR="00646C19" w:rsidRPr="00646C19" w:rsidRDefault="00646C19" w:rsidP="00F45CFB">
      <w:pPr>
        <w:pStyle w:val="Bullet1GR"/>
      </w:pPr>
      <w:r w:rsidRPr="00646C19">
        <w:t>активизация профилактической работы в целях снижения спроса путем внедрения и осуществления программ предупреждения, сотрудничества и повышения осведомленности, рассчитанных на все слои общества;</w:t>
      </w:r>
    </w:p>
    <w:p w:rsidR="00646C19" w:rsidRPr="00646C19" w:rsidRDefault="00646C19" w:rsidP="00F45CFB">
      <w:pPr>
        <w:pStyle w:val="Bullet1GR"/>
      </w:pPr>
      <w:r w:rsidRPr="00646C19">
        <w:t>наращивание потенциала в сфере выявления жертв сексуальной эксплу</w:t>
      </w:r>
      <w:r w:rsidRPr="00646C19">
        <w:t>а</w:t>
      </w:r>
      <w:r w:rsidRPr="00646C19">
        <w:t>тации</w:t>
      </w:r>
      <w:r w:rsidR="005507FC">
        <w:t xml:space="preserve"> </w:t>
      </w:r>
      <w:r w:rsidRPr="00646C19">
        <w:t>– как граждан страны, так и прибывших из-за рубежа, их защиты и оказания им помощи;</w:t>
      </w:r>
    </w:p>
    <w:p w:rsidR="00646C19" w:rsidRPr="00646C19" w:rsidRDefault="00646C19" w:rsidP="00F45CFB">
      <w:pPr>
        <w:pStyle w:val="Bullet1GR"/>
      </w:pPr>
      <w:r w:rsidRPr="00646C19">
        <w:t>ужесточение преследования членов этих преступных группировок путем активизации расследования всех уголовных преступлений, в состав кот</w:t>
      </w:r>
      <w:r w:rsidRPr="00646C19">
        <w:t>о</w:t>
      </w:r>
      <w:r w:rsidRPr="00646C19">
        <w:t>рых входят сексуальная эксплуатация, торговля людьми, преступления, связанные с проституцией, отмывание полученных доходов, преступл</w:t>
      </w:r>
      <w:r w:rsidRPr="00646C19">
        <w:t>е</w:t>
      </w:r>
      <w:r w:rsidRPr="00646C19">
        <w:t>ния против сексуальной свободы и неприкосновенности, а также любые другие деяния, связанные с преступной деятельностью;</w:t>
      </w:r>
    </w:p>
    <w:p w:rsidR="00646C19" w:rsidRPr="00646C19" w:rsidRDefault="00646C19" w:rsidP="00F45CFB">
      <w:pPr>
        <w:pStyle w:val="Bullet1GR"/>
      </w:pPr>
      <w:r w:rsidRPr="00646C19">
        <w:t>углубленное изучение всех аспектов такого рода деятельности в целях определения наиболее эффективных мер реагирования на новые тенде</w:t>
      </w:r>
      <w:r w:rsidRPr="00646C19">
        <w:t>н</w:t>
      </w:r>
      <w:r w:rsidRPr="00646C19">
        <w:t>ции в том, что касается разных форм сексуальной эксплуатации, и быс</w:t>
      </w:r>
      <w:r w:rsidRPr="00646C19">
        <w:t>т</w:t>
      </w:r>
      <w:r w:rsidRPr="00646C19">
        <w:t>рее выявлять уязвимые категории населения;</w:t>
      </w:r>
    </w:p>
    <w:p w:rsidR="00646C19" w:rsidRPr="00646C19" w:rsidRDefault="00646C19" w:rsidP="00F45CFB">
      <w:pPr>
        <w:pStyle w:val="Bullet1GR"/>
      </w:pPr>
      <w:r w:rsidRPr="00646C19">
        <w:t>корректировка и совершенствование информационных систем и баз да</w:t>
      </w:r>
      <w:r w:rsidRPr="00646C19">
        <w:t>н</w:t>
      </w:r>
      <w:r w:rsidRPr="00646C19">
        <w:t>ных, позволяющих собирать и анализировать полученные сведения и п</w:t>
      </w:r>
      <w:r w:rsidRPr="00646C19">
        <w:t>о</w:t>
      </w:r>
      <w:r w:rsidRPr="00646C19">
        <w:t>лучать более надежные оперативные данные, равно как и достоверные показатели, которые можно использовать для изучения, обнаружения и мониторинга этого явления;</w:t>
      </w:r>
    </w:p>
    <w:p w:rsidR="00646C19" w:rsidRPr="00646C19" w:rsidRDefault="00646C19" w:rsidP="00F45CFB">
      <w:pPr>
        <w:pStyle w:val="Bullet1GR"/>
      </w:pPr>
      <w:r w:rsidRPr="00646C19">
        <w:t>развитие сотрудничества и совместной деятельности всех структур нац</w:t>
      </w:r>
      <w:r w:rsidRPr="00646C19">
        <w:t>и</w:t>
      </w:r>
      <w:r w:rsidRPr="00646C19">
        <w:t>онального и международного уровня, занимающихся данными вопрос</w:t>
      </w:r>
      <w:r w:rsidRPr="00646C19">
        <w:t>а</w:t>
      </w:r>
      <w:r w:rsidRPr="00646C19">
        <w:t>ми.</w:t>
      </w:r>
    </w:p>
    <w:p w:rsidR="00646C19" w:rsidRPr="00646C19" w:rsidRDefault="00646C19" w:rsidP="00646C19">
      <w:pPr>
        <w:pStyle w:val="SingleTxtGR"/>
      </w:pPr>
      <w:r w:rsidRPr="00646C19">
        <w:t>191.</w:t>
      </w:r>
      <w:r w:rsidRPr="00646C19">
        <w:tab/>
        <w:t>Полиция также представила новый Оперативный план борьбы с торго</w:t>
      </w:r>
      <w:r w:rsidRPr="00646C19">
        <w:t>в</w:t>
      </w:r>
      <w:r w:rsidRPr="00646C19">
        <w:t>лей людьми, определяющий меры, позволяющие повысить эффективность пр</w:t>
      </w:r>
      <w:r w:rsidRPr="00646C19">
        <w:t>о</w:t>
      </w:r>
      <w:r w:rsidRPr="00646C19">
        <w:t>филактической работы и борьбы с деяниями, связанными с торговлей людьми. Целью Плана является повышение качества предоставляемых жертвам торговли людьми услуг и ужесточение мер по борьбе с преступными группами, заним</w:t>
      </w:r>
      <w:r w:rsidRPr="00646C19">
        <w:t>а</w:t>
      </w:r>
      <w:r w:rsidRPr="00646C19">
        <w:t>ющимися подобной деятельностью. Кроме того, для оказания помощи жертвам (прием заявления о помощи, информирование или решение любых других в</w:t>
      </w:r>
      <w:r w:rsidRPr="00646C19">
        <w:t>о</w:t>
      </w:r>
      <w:r w:rsidRPr="00646C19">
        <w:t>просов в отношении подобной преступной деятельности) круглосуточно де</w:t>
      </w:r>
      <w:r w:rsidRPr="00646C19">
        <w:t>й</w:t>
      </w:r>
      <w:r w:rsidRPr="00646C19">
        <w:t xml:space="preserve">ствуют бесплатная телефонная линия (900105090) и электронная почта </w:t>
      </w:r>
      <w:r w:rsidRPr="0059684D">
        <w:t>(</w:t>
      </w:r>
      <w:hyperlink r:id="rId11" w:history="1">
        <w:r w:rsidRPr="0059684D">
          <w:rPr>
            <w:rStyle w:val="affa"/>
            <w:u w:val="none"/>
          </w:rPr>
          <w:t>trata@policia.es</w:t>
        </w:r>
      </w:hyperlink>
      <w:r w:rsidRPr="0059684D">
        <w:t>), на которых работают специально подготовленные сотрудники</w:t>
      </w:r>
      <w:r w:rsidRPr="00646C19">
        <w:t xml:space="preserve"> полиции, обеспечивающие конфиденциальность обращений.</w:t>
      </w:r>
    </w:p>
    <w:p w:rsidR="00646C19" w:rsidRPr="00646C19" w:rsidRDefault="00646C19" w:rsidP="00646C19">
      <w:pPr>
        <w:pStyle w:val="SingleTxtGR"/>
      </w:pPr>
      <w:r w:rsidRPr="00646C19">
        <w:t>192.</w:t>
      </w:r>
      <w:r w:rsidRPr="00646C19">
        <w:tab/>
        <w:t>В целях контроля за ходом осуществления Рамочного протокола защиты жертв торговли людьми создана Комиссия по мониторингу. Социальный форум по борьбе с торговлей людьми, в свою очередь, способствует налаживанию с</w:t>
      </w:r>
      <w:r w:rsidRPr="00646C19">
        <w:t>о</w:t>
      </w:r>
      <w:r w:rsidRPr="00646C19">
        <w:t>трудничества между НПО и различными властными органами. Кроме того, сл</w:t>
      </w:r>
      <w:r w:rsidRPr="00646C19">
        <w:t>е</w:t>
      </w:r>
      <w:r w:rsidRPr="00646C19">
        <w:t>дует отметить разного рода меры по оказанию содействия комплексной помощи жертвам торговли людьми, равно как и ряд инициатив в сфере пропаганды и информации, в том числе разработку Справочника с перечнем средств оказания помощи жертвам торговли людьми.</w:t>
      </w:r>
    </w:p>
    <w:p w:rsidR="00646C19" w:rsidRPr="00646C19" w:rsidRDefault="00646C19" w:rsidP="00646C19">
      <w:pPr>
        <w:pStyle w:val="SingleTxtGR"/>
      </w:pPr>
      <w:r w:rsidRPr="00646C19">
        <w:t>193.</w:t>
      </w:r>
      <w:r w:rsidRPr="00646C19">
        <w:tab/>
        <w:t>Правительство также разрабатывает Комплексный план по борьбе с</w:t>
      </w:r>
      <w:r w:rsidR="005507FC">
        <w:t xml:space="preserve"> </w:t>
      </w:r>
      <w:r w:rsidRPr="00646C19">
        <w:t>то</w:t>
      </w:r>
      <w:r w:rsidRPr="00646C19">
        <w:t>р</w:t>
      </w:r>
      <w:r w:rsidRPr="00646C19">
        <w:t>говлей людьми в целях трудовой эксплуатации, который призван усилить пр</w:t>
      </w:r>
      <w:r w:rsidRPr="00646C19">
        <w:t>а</w:t>
      </w:r>
      <w:r w:rsidRPr="00646C19">
        <w:t>вовые гарантии и защиту жертв этого пагубного явления. Данный план предп</w:t>
      </w:r>
      <w:r w:rsidRPr="00646C19">
        <w:t>о</w:t>
      </w:r>
      <w:r w:rsidRPr="00646C19">
        <w:t>лагает применение комплекса правоохранительных и социальных мер и участие в соответствующей деятельности Министерства внутренних дел, Министерства по вопросам равноправия, Министерства труда и иммиграции, Министерства иностранных дел и Министерства юстиции, а также внедрение надлежащего механизма координации и мониторинга.</w:t>
      </w:r>
    </w:p>
    <w:p w:rsidR="00646C19" w:rsidRPr="00646C19" w:rsidRDefault="00646C19" w:rsidP="00646C19">
      <w:pPr>
        <w:pStyle w:val="SingleTxtGR"/>
      </w:pPr>
      <w:r w:rsidRPr="00646C19">
        <w:t>194.</w:t>
      </w:r>
      <w:r w:rsidRPr="00646C19">
        <w:tab/>
        <w:t>В данной сфере также применяется упоминавшийся выше Национальный план действий правительства Испании по выполнению резолюции</w:t>
      </w:r>
      <w:r w:rsidR="005507FC">
        <w:t xml:space="preserve"> </w:t>
      </w:r>
      <w:r w:rsidRPr="00646C19">
        <w:t>1325, кас</w:t>
      </w:r>
      <w:r w:rsidRPr="00646C19">
        <w:t>а</w:t>
      </w:r>
      <w:r w:rsidRPr="00646C19">
        <w:t>ющейся женщин, мира и безопасности. Национальный план действий прав</w:t>
      </w:r>
      <w:r w:rsidRPr="00646C19">
        <w:t>и</w:t>
      </w:r>
      <w:r w:rsidRPr="00646C19">
        <w:t>тельства Испании по выполнению резолюции</w:t>
      </w:r>
      <w:r w:rsidR="005507FC">
        <w:t xml:space="preserve"> </w:t>
      </w:r>
      <w:r w:rsidRPr="00646C19">
        <w:t>1325 предусматривает решение следующих шести задач:</w:t>
      </w:r>
    </w:p>
    <w:p w:rsidR="00646C19" w:rsidRPr="00646C19" w:rsidRDefault="00646C19" w:rsidP="0059684D">
      <w:pPr>
        <w:pStyle w:val="Bullet1GR"/>
      </w:pPr>
      <w:r w:rsidRPr="00646C19">
        <w:t>содействие включению женщин в состав миротворческих миссий. Здесь следует особо отметить работу, проделанную Наблюдательным советом по положению женщин в Вооруженных силах и Силах безопасности и Наблюдательным советом по вопросам равенства в Вооруженных силах;</w:t>
      </w:r>
    </w:p>
    <w:p w:rsidR="00646C19" w:rsidRPr="00646C19" w:rsidRDefault="00646C19" w:rsidP="0059684D">
      <w:pPr>
        <w:pStyle w:val="Bullet1GR"/>
      </w:pPr>
      <w:r w:rsidRPr="00646C19">
        <w:t>учет гендерной проблематики на всех этапах деятельности этих миссий;</w:t>
      </w:r>
    </w:p>
    <w:p w:rsidR="00646C19" w:rsidRPr="00646C19" w:rsidRDefault="00646C19" w:rsidP="0059684D">
      <w:pPr>
        <w:pStyle w:val="Bullet1GR"/>
      </w:pPr>
      <w:r w:rsidRPr="00646C19">
        <w:t>специальная подготовка сотрудников миссий по гендерным вопросам. При этом также предусматривается изучение вопросов борьбы с торго</w:t>
      </w:r>
      <w:r w:rsidRPr="00646C19">
        <w:t>в</w:t>
      </w:r>
      <w:r w:rsidRPr="00646C19">
        <w:t>лей людьми и их незаконной транспортировкой;</w:t>
      </w:r>
    </w:p>
    <w:p w:rsidR="00646C19" w:rsidRPr="00646C19" w:rsidRDefault="00646C19" w:rsidP="0059684D">
      <w:pPr>
        <w:pStyle w:val="Bullet1GR"/>
      </w:pPr>
      <w:r w:rsidRPr="00646C19">
        <w:t>соблюдение прав женщин и детей в условиях конфликта;</w:t>
      </w:r>
    </w:p>
    <w:p w:rsidR="00646C19" w:rsidRPr="00646C19" w:rsidRDefault="00646C19" w:rsidP="0059684D">
      <w:pPr>
        <w:pStyle w:val="Bullet1GR"/>
      </w:pPr>
      <w:r w:rsidRPr="00646C19">
        <w:t>соблюдение принципа равенства в процессах разоружения, демобилиз</w:t>
      </w:r>
      <w:r w:rsidRPr="00646C19">
        <w:t>а</w:t>
      </w:r>
      <w:r w:rsidRPr="00646C19">
        <w:t>ции и реинтеграции;</w:t>
      </w:r>
    </w:p>
    <w:p w:rsidR="00646C19" w:rsidRPr="00646C19" w:rsidRDefault="00646C19" w:rsidP="0059684D">
      <w:pPr>
        <w:pStyle w:val="Bullet1GR"/>
      </w:pPr>
      <w:r w:rsidRPr="00646C19">
        <w:t>активизация участия гражданского общества в этой деятельности.</w:t>
      </w:r>
    </w:p>
    <w:p w:rsidR="00B14ABC" w:rsidRDefault="00646C19" w:rsidP="00646C19">
      <w:pPr>
        <w:pStyle w:val="SingleTxtGR"/>
      </w:pPr>
      <w:r w:rsidRPr="00646C19">
        <w:t>195.</w:t>
      </w:r>
      <w:r w:rsidRPr="00646C19">
        <w:tab/>
        <w:t>Доля женщин среди служащих государственных Вооруженных сил и Сил безопасности выросла с 11,81</w:t>
      </w:r>
      <w:r w:rsidR="005507FC">
        <w:t>%</w:t>
      </w:r>
      <w:r w:rsidRPr="00646C19">
        <w:t xml:space="preserve"> в 2011</w:t>
      </w:r>
      <w:r w:rsidR="005507FC">
        <w:t xml:space="preserve"> </w:t>
      </w:r>
      <w:r w:rsidRPr="00646C19">
        <w:t>году до 12,66</w:t>
      </w:r>
      <w:r w:rsidR="005507FC">
        <w:t>%</w:t>
      </w:r>
      <w:r w:rsidRPr="00646C19">
        <w:t xml:space="preserve"> в 2013</w:t>
      </w:r>
      <w:r w:rsidR="005507FC">
        <w:t xml:space="preserve"> </w:t>
      </w:r>
      <w:r w:rsidRPr="00646C19">
        <w:t>году. Их доля ср</w:t>
      </w:r>
      <w:r w:rsidRPr="00646C19">
        <w:t>е</w:t>
      </w:r>
      <w:r w:rsidRPr="00646C19">
        <w:t>ди служащих Гражданской гвардии увеличилась с 6,27</w:t>
      </w:r>
      <w:r w:rsidR="005507FC">
        <w:t>%</w:t>
      </w:r>
      <w:r w:rsidRPr="00646C19">
        <w:t xml:space="preserve"> в 2011</w:t>
      </w:r>
      <w:r w:rsidR="005507FC">
        <w:t xml:space="preserve"> </w:t>
      </w:r>
      <w:r w:rsidRPr="00646C19">
        <w:t>году до 6,60</w:t>
      </w:r>
      <w:r w:rsidR="005507FC">
        <w:t>%</w:t>
      </w:r>
      <w:r w:rsidR="00003951">
        <w:t xml:space="preserve"> в </w:t>
      </w:r>
      <w:r w:rsidRPr="00646C19">
        <w:t>2013</w:t>
      </w:r>
      <w:r w:rsidR="005507FC">
        <w:t xml:space="preserve"> </w:t>
      </w:r>
      <w:r w:rsidRPr="00646C19">
        <w:t>году. Женщины получили высшие звания Главного комиссара (члена р</w:t>
      </w:r>
      <w:r w:rsidRPr="00646C19">
        <w:t>у</w:t>
      </w:r>
      <w:r w:rsidRPr="00646C19">
        <w:t>ководящего совета) Национального корпуса полиции и полковника Гражда</w:t>
      </w:r>
      <w:r w:rsidRPr="00646C19">
        <w:t>н</w:t>
      </w:r>
      <w:r w:rsidRPr="00646C19">
        <w:t>ской гвардии и занимают в обеих этих структурах различные ответственные должности. Доля женщин среди служащих Вооруженных сил выросла практ</w:t>
      </w:r>
      <w:r w:rsidRPr="00646C19">
        <w:t>и</w:t>
      </w:r>
      <w:r w:rsidRPr="00646C19">
        <w:t>чески в два раза – в 2000</w:t>
      </w:r>
      <w:r w:rsidR="005507FC">
        <w:t xml:space="preserve"> </w:t>
      </w:r>
      <w:r w:rsidRPr="00646C19">
        <w:t>году данный показатель составлял 6,6</w:t>
      </w:r>
      <w:r w:rsidR="005507FC">
        <w:t>%</w:t>
      </w:r>
      <w:r w:rsidRPr="00646C19">
        <w:t>, а по состо</w:t>
      </w:r>
      <w:r w:rsidRPr="00646C19">
        <w:t>я</w:t>
      </w:r>
      <w:r w:rsidRPr="00646C19">
        <w:t>нию на июль 2014</w:t>
      </w:r>
      <w:r w:rsidR="005507FC">
        <w:t xml:space="preserve"> </w:t>
      </w:r>
      <w:r w:rsidRPr="00646C19">
        <w:t>года достиг 12,5</w:t>
      </w:r>
      <w:r w:rsidR="005507FC">
        <w:t>%</w:t>
      </w:r>
      <w:r w:rsidRPr="00646C19">
        <w:t>. Кроме того, в настоящее время 192</w:t>
      </w:r>
      <w:r w:rsidR="005507FC">
        <w:t xml:space="preserve"> </w:t>
      </w:r>
      <w:r w:rsidRPr="00646C19">
        <w:t>же</w:t>
      </w:r>
      <w:r w:rsidRPr="00646C19">
        <w:t>н</w:t>
      </w:r>
      <w:r w:rsidRPr="00646C19">
        <w:t>щины-военнослужащие находятся в составе зарубежных миссий, составляя 8,22</w:t>
      </w:r>
      <w:r w:rsidR="005507FC">
        <w:t>%</w:t>
      </w:r>
      <w:r w:rsidRPr="00646C19">
        <w:t xml:space="preserve"> от общей численности военнослужащих в этих миссиях.</w:t>
      </w:r>
    </w:p>
    <w:p w:rsidR="00003951" w:rsidRPr="003B6359" w:rsidRDefault="00003951" w:rsidP="00003951">
      <w:pPr>
        <w:pStyle w:val="HChG"/>
        <w:rPr>
          <w:lang w:val="es-ES"/>
        </w:rPr>
      </w:pPr>
      <w:r w:rsidRPr="005259F3">
        <w:rPr>
          <w:lang w:val="es-ES"/>
        </w:rPr>
        <w:br w:type="page"/>
      </w:r>
      <w:r w:rsidR="00714E1F" w:rsidRPr="003B6359">
        <w:rPr>
          <w:lang w:val="es-ES"/>
        </w:rPr>
        <w:t>Anexo</w:t>
      </w:r>
      <w:r w:rsidR="00714E1F">
        <w:rPr>
          <w:lang w:val="es-ES"/>
        </w:rPr>
        <w:t>s</w:t>
      </w:r>
      <w:r w:rsidR="00714E1F" w:rsidRPr="00256FF3">
        <w:rPr>
          <w:lang w:val="es-ES"/>
        </w:rPr>
        <w:t xml:space="preserve"> </w:t>
      </w:r>
    </w:p>
    <w:p w:rsidR="00003951" w:rsidRPr="003B6359" w:rsidRDefault="00003951" w:rsidP="00003951">
      <w:pPr>
        <w:pStyle w:val="H1G"/>
        <w:rPr>
          <w:lang w:val="es-ES"/>
        </w:rPr>
      </w:pPr>
      <w:r>
        <w:rPr>
          <w:lang w:val="es-ES"/>
        </w:rPr>
        <w:t xml:space="preserve">Anexo </w:t>
      </w:r>
      <w:r w:rsidRPr="003B6359">
        <w:rPr>
          <w:lang w:val="es-ES"/>
        </w:rPr>
        <w:t>I</w:t>
      </w:r>
      <w:r w:rsidRPr="003B6359">
        <w:rPr>
          <w:lang w:val="es-ES"/>
        </w:rPr>
        <w:tab/>
      </w:r>
    </w:p>
    <w:p w:rsidR="00003951" w:rsidRPr="00003951" w:rsidRDefault="00003951" w:rsidP="00003951">
      <w:pPr>
        <w:pStyle w:val="H23G"/>
        <w:jc w:val="right"/>
        <w:rPr>
          <w:b w:val="0"/>
          <w:bCs/>
          <w:lang w:val="es-ES"/>
        </w:rPr>
      </w:pPr>
      <w:r w:rsidRPr="00003951">
        <w:rPr>
          <w:b w:val="0"/>
          <w:bCs/>
          <w:lang w:val="es-ES"/>
        </w:rPr>
        <w:t>[Español solamente]</w:t>
      </w:r>
    </w:p>
    <w:p w:rsidR="00003951" w:rsidRPr="003B6359" w:rsidRDefault="00003951" w:rsidP="00003951">
      <w:pPr>
        <w:pStyle w:val="H1G"/>
        <w:rPr>
          <w:lang w:val="es-ES"/>
        </w:rPr>
      </w:pPr>
      <w:r w:rsidRPr="005D1CDD">
        <w:rPr>
          <w:lang w:val="es-ES"/>
        </w:rPr>
        <w:tab/>
      </w:r>
      <w:r w:rsidRPr="003B6359">
        <w:rPr>
          <w:lang w:val="es-ES"/>
        </w:rPr>
        <w:tab/>
        <w:t xml:space="preserve">Partidos y coaliciones con representación en las Cortes Generales </w:t>
      </w:r>
      <w:r w:rsidRPr="003B6359">
        <w:rPr>
          <w:lang w:val="es-ES"/>
        </w:rPr>
        <w:br/>
        <w:t>(X Legislatura)</w:t>
      </w:r>
    </w:p>
    <w:p w:rsidR="00003951" w:rsidRPr="003B6359" w:rsidRDefault="00003951" w:rsidP="00003951">
      <w:pPr>
        <w:pStyle w:val="H23G"/>
      </w:pPr>
      <w:r w:rsidRPr="005D1CDD">
        <w:rPr>
          <w:lang w:val="es-ES"/>
        </w:rPr>
        <w:tab/>
      </w:r>
      <w:r w:rsidRPr="005D1CDD">
        <w:rPr>
          <w:lang w:val="es-ES"/>
        </w:rPr>
        <w:tab/>
      </w:r>
      <w:proofErr w:type="spellStart"/>
      <w:r w:rsidRPr="003B6359">
        <w:t>Congreso</w:t>
      </w:r>
      <w:proofErr w:type="spellEnd"/>
      <w:r w:rsidRPr="003B6359">
        <w:t xml:space="preserve"> </w:t>
      </w:r>
      <w:proofErr w:type="spellStart"/>
      <w:r w:rsidRPr="003B6359">
        <w:t>de</w:t>
      </w:r>
      <w:proofErr w:type="spellEnd"/>
      <w:r w:rsidRPr="003B6359">
        <w:t xml:space="preserve"> </w:t>
      </w:r>
      <w:proofErr w:type="spellStart"/>
      <w:r w:rsidRPr="003B6359">
        <w:t>los</w:t>
      </w:r>
      <w:proofErr w:type="spellEnd"/>
      <w:r w:rsidRPr="003B6359">
        <w:t xml:space="preserve"> </w:t>
      </w:r>
      <w:proofErr w:type="spellStart"/>
      <w:r w:rsidRPr="003B6359">
        <w:t>Diputados</w:t>
      </w:r>
      <w:proofErr w:type="spellEnd"/>
      <w:r w:rsidRPr="003B6359">
        <w:t xml:space="preserve"> </w:t>
      </w:r>
    </w:p>
    <w:p w:rsidR="00003951" w:rsidRPr="003B6359" w:rsidRDefault="00003951" w:rsidP="00003951">
      <w:pPr>
        <w:pStyle w:val="Bullet1G"/>
        <w:rPr>
          <w:lang w:val="es-ES"/>
        </w:rPr>
      </w:pPr>
      <w:r w:rsidRPr="003B6359">
        <w:rPr>
          <w:lang w:val="es-ES"/>
        </w:rPr>
        <w:t>Partido Popular: 170 diputados</w:t>
      </w:r>
      <w:r>
        <w:rPr>
          <w:lang w:val="es-ES"/>
        </w:rPr>
        <w:t>;</w:t>
      </w:r>
    </w:p>
    <w:p w:rsidR="00003951" w:rsidRPr="003B6359" w:rsidRDefault="00003951" w:rsidP="00003951">
      <w:pPr>
        <w:pStyle w:val="Bullet1G"/>
        <w:rPr>
          <w:lang w:val="es-ES"/>
        </w:rPr>
      </w:pPr>
      <w:r w:rsidRPr="003B6359">
        <w:rPr>
          <w:lang w:val="es-ES"/>
        </w:rPr>
        <w:t>Partido Socialista Obrero Español: 96 diputados</w:t>
      </w:r>
      <w:r>
        <w:rPr>
          <w:lang w:val="es-ES"/>
        </w:rPr>
        <w:t>;</w:t>
      </w:r>
    </w:p>
    <w:p w:rsidR="00003951" w:rsidRPr="003B6359" w:rsidRDefault="00003951" w:rsidP="00003951">
      <w:pPr>
        <w:pStyle w:val="Bullet1G"/>
        <w:rPr>
          <w:lang w:val="es-ES"/>
        </w:rPr>
      </w:pPr>
      <w:proofErr w:type="spellStart"/>
      <w:r w:rsidRPr="003B6359">
        <w:rPr>
          <w:lang w:val="es-ES"/>
        </w:rPr>
        <w:t>Convergència</w:t>
      </w:r>
      <w:proofErr w:type="spellEnd"/>
      <w:r w:rsidRPr="003B6359">
        <w:rPr>
          <w:lang w:val="es-ES"/>
        </w:rPr>
        <w:t xml:space="preserve"> i Unió: 16 diputados</w:t>
      </w:r>
      <w:r>
        <w:rPr>
          <w:lang w:val="es-ES"/>
        </w:rPr>
        <w:t>;</w:t>
      </w:r>
    </w:p>
    <w:p w:rsidR="00003951" w:rsidRPr="003B6359" w:rsidRDefault="00003951" w:rsidP="00003951">
      <w:pPr>
        <w:pStyle w:val="Bullet1G"/>
        <w:rPr>
          <w:lang w:val="es-ES"/>
        </w:rPr>
      </w:pPr>
      <w:proofErr w:type="spellStart"/>
      <w:r w:rsidRPr="003B6359">
        <w:rPr>
          <w:lang w:val="es-ES"/>
        </w:rPr>
        <w:t>Partit</w:t>
      </w:r>
      <w:proofErr w:type="spellEnd"/>
      <w:r w:rsidRPr="003B6359">
        <w:rPr>
          <w:lang w:val="es-ES"/>
        </w:rPr>
        <w:t xml:space="preserve"> </w:t>
      </w:r>
      <w:proofErr w:type="spellStart"/>
      <w:r w:rsidRPr="003B6359">
        <w:rPr>
          <w:lang w:val="es-ES"/>
        </w:rPr>
        <w:t>dels</w:t>
      </w:r>
      <w:proofErr w:type="spellEnd"/>
      <w:r w:rsidRPr="003B6359">
        <w:rPr>
          <w:lang w:val="es-ES"/>
        </w:rPr>
        <w:t xml:space="preserve"> </w:t>
      </w:r>
      <w:proofErr w:type="spellStart"/>
      <w:r w:rsidRPr="003B6359">
        <w:rPr>
          <w:lang w:val="es-ES"/>
        </w:rPr>
        <w:t>Socialistes</w:t>
      </w:r>
      <w:proofErr w:type="spellEnd"/>
      <w:r w:rsidRPr="003B6359">
        <w:rPr>
          <w:lang w:val="es-ES"/>
        </w:rPr>
        <w:t xml:space="preserve"> de Catalunya (</w:t>
      </w:r>
      <w:proofErr w:type="spellStart"/>
      <w:r w:rsidRPr="003B6359">
        <w:rPr>
          <w:lang w:val="es-ES"/>
        </w:rPr>
        <w:t>PSC</w:t>
      </w:r>
      <w:proofErr w:type="spellEnd"/>
      <w:r w:rsidRPr="003B6359">
        <w:rPr>
          <w:lang w:val="es-ES"/>
        </w:rPr>
        <w:t>-PSOE): 14 diputados</w:t>
      </w:r>
      <w:r>
        <w:rPr>
          <w:lang w:val="es-ES"/>
        </w:rPr>
        <w:t>;</w:t>
      </w:r>
    </w:p>
    <w:p w:rsidR="00003951" w:rsidRPr="003B6359" w:rsidRDefault="00003951" w:rsidP="00003951">
      <w:pPr>
        <w:pStyle w:val="Bullet1G"/>
        <w:rPr>
          <w:lang w:val="es-ES"/>
        </w:rPr>
      </w:pPr>
      <w:r w:rsidRPr="003B6359">
        <w:rPr>
          <w:lang w:val="es-ES"/>
        </w:rPr>
        <w:t>Coalición “La Izquierda Plural”: 11 diputados</w:t>
      </w:r>
      <w:r>
        <w:rPr>
          <w:lang w:val="es-ES"/>
        </w:rPr>
        <w:t>;</w:t>
      </w:r>
    </w:p>
    <w:p w:rsidR="00003951" w:rsidRPr="0022410A" w:rsidRDefault="00003951" w:rsidP="00003951">
      <w:pPr>
        <w:pStyle w:val="Bullet1G"/>
        <w:rPr>
          <w:lang w:val="es-ES"/>
        </w:rPr>
      </w:pPr>
      <w:r w:rsidRPr="0022410A">
        <w:rPr>
          <w:lang w:val="es-ES"/>
        </w:rPr>
        <w:t>Coalición “Partido Popular en coalición con el Partido Aragonés” (PP-PAR): 8</w:t>
      </w:r>
      <w:r>
        <w:rPr>
          <w:lang w:val="es-ES"/>
        </w:rPr>
        <w:t> </w:t>
      </w:r>
      <w:r w:rsidRPr="0022410A">
        <w:rPr>
          <w:lang w:val="es-ES"/>
        </w:rPr>
        <w:t>diputados</w:t>
      </w:r>
      <w:r>
        <w:rPr>
          <w:lang w:val="es-ES"/>
        </w:rPr>
        <w:t>;</w:t>
      </w:r>
    </w:p>
    <w:p w:rsidR="00003951" w:rsidRPr="003B6359" w:rsidRDefault="00003951" w:rsidP="00003951">
      <w:pPr>
        <w:pStyle w:val="Bullet1G"/>
        <w:rPr>
          <w:lang w:val="es-ES"/>
        </w:rPr>
      </w:pPr>
      <w:r w:rsidRPr="003B6359">
        <w:rPr>
          <w:lang w:val="es-ES"/>
        </w:rPr>
        <w:t xml:space="preserve">Coalición </w:t>
      </w:r>
      <w:proofErr w:type="spellStart"/>
      <w:r w:rsidRPr="003B6359">
        <w:rPr>
          <w:lang w:val="es-ES"/>
        </w:rPr>
        <w:t>AMAIUR</w:t>
      </w:r>
      <w:proofErr w:type="spellEnd"/>
      <w:r w:rsidRPr="003B6359">
        <w:rPr>
          <w:lang w:val="es-ES"/>
        </w:rPr>
        <w:t>: 7 diputados</w:t>
      </w:r>
      <w:r>
        <w:rPr>
          <w:lang w:val="es-ES"/>
        </w:rPr>
        <w:t>;</w:t>
      </w:r>
    </w:p>
    <w:p w:rsidR="00003951" w:rsidRPr="0022410A" w:rsidRDefault="00003951" w:rsidP="00003951">
      <w:pPr>
        <w:pStyle w:val="Bullet1G"/>
        <w:rPr>
          <w:lang w:val="es-ES"/>
        </w:rPr>
      </w:pPr>
      <w:r w:rsidRPr="0022410A">
        <w:rPr>
          <w:lang w:val="es-ES"/>
        </w:rPr>
        <w:t>Coalición “Partido Popular-Extremadura Unida” (PP-EU): 6 diputados</w:t>
      </w:r>
      <w:r>
        <w:rPr>
          <w:lang w:val="es-ES"/>
        </w:rPr>
        <w:t>;</w:t>
      </w:r>
    </w:p>
    <w:p w:rsidR="00003951" w:rsidRPr="0022410A" w:rsidRDefault="00003951" w:rsidP="00003951">
      <w:pPr>
        <w:pStyle w:val="Bullet1G"/>
        <w:rPr>
          <w:lang w:val="es-ES"/>
        </w:rPr>
      </w:pPr>
      <w:proofErr w:type="spellStart"/>
      <w:r w:rsidRPr="00A64D98">
        <w:rPr>
          <w:lang w:val="es-ES"/>
        </w:rPr>
        <w:t>Eusko</w:t>
      </w:r>
      <w:proofErr w:type="spellEnd"/>
      <w:r w:rsidRPr="00A64D98">
        <w:rPr>
          <w:lang w:val="es-ES"/>
        </w:rPr>
        <w:t xml:space="preserve"> </w:t>
      </w:r>
      <w:proofErr w:type="spellStart"/>
      <w:r w:rsidRPr="00A64D98">
        <w:rPr>
          <w:lang w:val="es-ES"/>
        </w:rPr>
        <w:t>Alder</w:t>
      </w:r>
      <w:r w:rsidRPr="007F215F">
        <w:rPr>
          <w:lang w:val="es-ES"/>
        </w:rPr>
        <w:t>di</w:t>
      </w:r>
      <w:proofErr w:type="spellEnd"/>
      <w:r w:rsidRPr="007F215F">
        <w:rPr>
          <w:lang w:val="es-ES"/>
        </w:rPr>
        <w:t xml:space="preserve"> </w:t>
      </w:r>
      <w:proofErr w:type="spellStart"/>
      <w:r w:rsidRPr="007F215F">
        <w:rPr>
          <w:lang w:val="es-ES"/>
        </w:rPr>
        <w:t>Jeltzalea</w:t>
      </w:r>
      <w:proofErr w:type="spellEnd"/>
      <w:r w:rsidRPr="007F215F">
        <w:rPr>
          <w:lang w:val="es-ES"/>
        </w:rPr>
        <w:t>-Partido Nacionalista Vasco (</w:t>
      </w:r>
      <w:proofErr w:type="spellStart"/>
      <w:r w:rsidRPr="007F215F">
        <w:rPr>
          <w:lang w:val="es-ES"/>
        </w:rPr>
        <w:t>EAJ</w:t>
      </w:r>
      <w:proofErr w:type="spellEnd"/>
      <w:r w:rsidRPr="007F215F">
        <w:rPr>
          <w:lang w:val="es-ES"/>
        </w:rPr>
        <w:t>-PNV): 5 diputados</w:t>
      </w:r>
      <w:r>
        <w:rPr>
          <w:lang w:val="es-ES"/>
        </w:rPr>
        <w:t>;</w:t>
      </w:r>
    </w:p>
    <w:p w:rsidR="00003951" w:rsidRPr="003B6359" w:rsidRDefault="00003951" w:rsidP="00003951">
      <w:pPr>
        <w:pStyle w:val="Bullet1G"/>
        <w:rPr>
          <w:lang w:val="es-ES"/>
        </w:rPr>
      </w:pPr>
      <w:r w:rsidRPr="003B6359">
        <w:rPr>
          <w:lang w:val="es-ES"/>
        </w:rPr>
        <w:t>Unión Progreso y Democracia: 5 diputados</w:t>
      </w:r>
      <w:r>
        <w:rPr>
          <w:lang w:val="es-ES"/>
        </w:rPr>
        <w:t>;</w:t>
      </w:r>
    </w:p>
    <w:p w:rsidR="00003951" w:rsidRPr="0022410A" w:rsidRDefault="00003951" w:rsidP="00003951">
      <w:pPr>
        <w:pStyle w:val="Bullet1G"/>
        <w:rPr>
          <w:lang w:val="es-ES"/>
        </w:rPr>
      </w:pPr>
      <w:r w:rsidRPr="0022410A">
        <w:rPr>
          <w:lang w:val="es-ES"/>
        </w:rPr>
        <w:t>Coalición “Esquerra Republicana de Catalunya” (ERC/ESQUERRA): 3 diputados</w:t>
      </w:r>
      <w:r>
        <w:rPr>
          <w:lang w:val="es-ES"/>
        </w:rPr>
        <w:t>;</w:t>
      </w:r>
    </w:p>
    <w:p w:rsidR="00003951" w:rsidRPr="0022410A" w:rsidRDefault="00003951" w:rsidP="00003951">
      <w:pPr>
        <w:pStyle w:val="Bullet1G"/>
        <w:rPr>
          <w:lang w:val="es-ES"/>
        </w:rPr>
      </w:pPr>
      <w:r w:rsidRPr="00A64D98">
        <w:rPr>
          <w:lang w:val="es-ES"/>
        </w:rPr>
        <w:t xml:space="preserve">Bloque Nacionalista </w:t>
      </w:r>
      <w:proofErr w:type="spellStart"/>
      <w:r w:rsidRPr="00A64D98">
        <w:rPr>
          <w:lang w:val="es-ES"/>
        </w:rPr>
        <w:t>Galego</w:t>
      </w:r>
      <w:proofErr w:type="spellEnd"/>
      <w:r w:rsidRPr="00A64D98">
        <w:rPr>
          <w:lang w:val="es-ES"/>
        </w:rPr>
        <w:t xml:space="preserve"> (</w:t>
      </w:r>
      <w:proofErr w:type="spellStart"/>
      <w:r w:rsidRPr="00A64D98">
        <w:rPr>
          <w:lang w:val="es-ES"/>
        </w:rPr>
        <w:t>BNG</w:t>
      </w:r>
      <w:proofErr w:type="spellEnd"/>
      <w:r w:rsidRPr="00A64D98">
        <w:rPr>
          <w:lang w:val="es-ES"/>
        </w:rPr>
        <w:t>): 2 diputados</w:t>
      </w:r>
      <w:r>
        <w:rPr>
          <w:lang w:val="es-ES"/>
        </w:rPr>
        <w:t>;</w:t>
      </w:r>
    </w:p>
    <w:p w:rsidR="00003951" w:rsidRPr="0022410A" w:rsidRDefault="00003951" w:rsidP="00003951">
      <w:pPr>
        <w:pStyle w:val="Bullet1G"/>
        <w:rPr>
          <w:lang w:val="es-ES"/>
        </w:rPr>
      </w:pPr>
      <w:r w:rsidRPr="00A64D98">
        <w:rPr>
          <w:lang w:val="es-ES"/>
        </w:rPr>
        <w:t>Coalición “Coalición Canaria</w:t>
      </w:r>
      <w:r w:rsidRPr="007F215F">
        <w:rPr>
          <w:lang w:val="es-ES"/>
        </w:rPr>
        <w:t>-Nueva Canarias (CC-</w:t>
      </w:r>
      <w:proofErr w:type="spellStart"/>
      <w:r w:rsidRPr="007F215F">
        <w:rPr>
          <w:lang w:val="es-ES"/>
        </w:rPr>
        <w:t>NC</w:t>
      </w:r>
      <w:proofErr w:type="spellEnd"/>
      <w:r w:rsidRPr="007F215F">
        <w:rPr>
          <w:lang w:val="es-ES"/>
        </w:rPr>
        <w:t>-PNC): 2 diputados</w:t>
      </w:r>
      <w:r>
        <w:rPr>
          <w:lang w:val="es-ES"/>
        </w:rPr>
        <w:t>;</w:t>
      </w:r>
    </w:p>
    <w:p w:rsidR="00003951" w:rsidRPr="0022410A" w:rsidRDefault="00003951" w:rsidP="00003951">
      <w:pPr>
        <w:pStyle w:val="Bullet1G"/>
        <w:rPr>
          <w:lang w:val="es-ES"/>
        </w:rPr>
      </w:pPr>
      <w:r w:rsidRPr="00A64D98">
        <w:rPr>
          <w:lang w:val="es-ES"/>
        </w:rPr>
        <w:t>Coalición “Unión del Pueblo Navarro en coalición con el Partido Popular” (</w:t>
      </w:r>
      <w:proofErr w:type="spellStart"/>
      <w:r w:rsidRPr="00A64D98">
        <w:rPr>
          <w:lang w:val="es-ES"/>
        </w:rPr>
        <w:t>UPN</w:t>
      </w:r>
      <w:proofErr w:type="spellEnd"/>
      <w:r w:rsidRPr="00A64D98">
        <w:rPr>
          <w:lang w:val="es-ES"/>
        </w:rPr>
        <w:t>-PP): 2 diputados</w:t>
      </w:r>
      <w:r>
        <w:rPr>
          <w:lang w:val="es-ES"/>
        </w:rPr>
        <w:t>;</w:t>
      </w:r>
    </w:p>
    <w:p w:rsidR="00003951" w:rsidRPr="0022410A" w:rsidRDefault="00003951" w:rsidP="00003951">
      <w:pPr>
        <w:pStyle w:val="Bullet1G"/>
        <w:rPr>
          <w:lang w:val="es-ES"/>
        </w:rPr>
      </w:pPr>
      <w:r w:rsidRPr="00A64D98">
        <w:rPr>
          <w:lang w:val="es-ES"/>
        </w:rPr>
        <w:t>Coalición “Bloc-Iniciativa-</w:t>
      </w:r>
      <w:proofErr w:type="spellStart"/>
      <w:r w:rsidRPr="00A64D98">
        <w:rPr>
          <w:lang w:val="es-ES"/>
        </w:rPr>
        <w:t>Verds</w:t>
      </w:r>
      <w:proofErr w:type="spellEnd"/>
      <w:r w:rsidRPr="00A64D98">
        <w:rPr>
          <w:lang w:val="es-ES"/>
        </w:rPr>
        <w:t>-</w:t>
      </w:r>
      <w:proofErr w:type="spellStart"/>
      <w:r w:rsidRPr="00A64D98">
        <w:rPr>
          <w:lang w:val="es-ES"/>
        </w:rPr>
        <w:t>Equo-Coalició</w:t>
      </w:r>
      <w:proofErr w:type="spellEnd"/>
      <w:r w:rsidRPr="00A64D98">
        <w:rPr>
          <w:lang w:val="es-ES"/>
        </w:rPr>
        <w:t xml:space="preserve"> </w:t>
      </w:r>
      <w:proofErr w:type="spellStart"/>
      <w:r w:rsidRPr="00A64D98">
        <w:rPr>
          <w:lang w:val="es-ES"/>
        </w:rPr>
        <w:t>Compromís</w:t>
      </w:r>
      <w:proofErr w:type="spellEnd"/>
      <w:r w:rsidRPr="00A64D98">
        <w:rPr>
          <w:lang w:val="es-ES"/>
        </w:rPr>
        <w:t>” (</w:t>
      </w:r>
      <w:proofErr w:type="spellStart"/>
      <w:r w:rsidRPr="00A64D98">
        <w:rPr>
          <w:lang w:val="es-ES"/>
        </w:rPr>
        <w:t>Compromis</w:t>
      </w:r>
      <w:proofErr w:type="spellEnd"/>
      <w:r w:rsidRPr="00A64D98">
        <w:rPr>
          <w:lang w:val="es-ES"/>
        </w:rPr>
        <w:t>-Q): 1</w:t>
      </w:r>
      <w:r>
        <w:rPr>
          <w:lang w:val="es-ES"/>
        </w:rPr>
        <w:t> </w:t>
      </w:r>
      <w:r w:rsidRPr="0022410A">
        <w:rPr>
          <w:lang w:val="es-ES"/>
        </w:rPr>
        <w:t>diputado</w:t>
      </w:r>
      <w:r>
        <w:rPr>
          <w:lang w:val="es-ES"/>
        </w:rPr>
        <w:t>;</w:t>
      </w:r>
    </w:p>
    <w:p w:rsidR="00003951" w:rsidRPr="003B6359" w:rsidRDefault="00003951" w:rsidP="00003951">
      <w:pPr>
        <w:pStyle w:val="Bullet1G"/>
        <w:rPr>
          <w:lang w:val="es-ES"/>
        </w:rPr>
      </w:pPr>
      <w:r w:rsidRPr="003B6359">
        <w:rPr>
          <w:lang w:val="es-ES"/>
        </w:rPr>
        <w:t>Foro de Ciudadanos (FORO): 1 diputado</w:t>
      </w:r>
      <w:r>
        <w:rPr>
          <w:lang w:val="es-ES"/>
        </w:rPr>
        <w:t>;</w:t>
      </w:r>
    </w:p>
    <w:p w:rsidR="00003951" w:rsidRPr="003B6359" w:rsidRDefault="00003951" w:rsidP="00003951">
      <w:pPr>
        <w:pStyle w:val="Bullet1G"/>
        <w:rPr>
          <w:lang w:val="es-ES"/>
        </w:rPr>
      </w:pPr>
      <w:proofErr w:type="spellStart"/>
      <w:r w:rsidRPr="003B6359">
        <w:rPr>
          <w:lang w:val="es-ES"/>
        </w:rPr>
        <w:t>Geroa</w:t>
      </w:r>
      <w:proofErr w:type="spellEnd"/>
      <w:r w:rsidRPr="003B6359">
        <w:rPr>
          <w:lang w:val="es-ES"/>
        </w:rPr>
        <w:t xml:space="preserve"> </w:t>
      </w:r>
      <w:proofErr w:type="spellStart"/>
      <w:r w:rsidRPr="003B6359">
        <w:rPr>
          <w:lang w:val="es-ES"/>
        </w:rPr>
        <w:t>Bai</w:t>
      </w:r>
      <w:proofErr w:type="spellEnd"/>
      <w:r w:rsidRPr="003B6359">
        <w:rPr>
          <w:lang w:val="es-ES"/>
        </w:rPr>
        <w:t xml:space="preserve"> (</w:t>
      </w:r>
      <w:proofErr w:type="spellStart"/>
      <w:r w:rsidRPr="003B6359">
        <w:rPr>
          <w:lang w:val="es-ES"/>
        </w:rPr>
        <w:t>GBAI</w:t>
      </w:r>
      <w:proofErr w:type="spellEnd"/>
      <w:r w:rsidRPr="003B6359">
        <w:rPr>
          <w:lang w:val="es-ES"/>
        </w:rPr>
        <w:t>): 1 diputado</w:t>
      </w:r>
      <w:r>
        <w:rPr>
          <w:lang w:val="es-ES"/>
        </w:rPr>
        <w:t>.</w:t>
      </w:r>
    </w:p>
    <w:p w:rsidR="00003951" w:rsidRPr="003B6359" w:rsidRDefault="00003951" w:rsidP="00003951">
      <w:pPr>
        <w:pStyle w:val="H23G"/>
      </w:pPr>
      <w:r>
        <w:tab/>
      </w:r>
      <w:r>
        <w:tab/>
      </w:r>
      <w:proofErr w:type="spellStart"/>
      <w:r w:rsidRPr="002A08F2">
        <w:t>Senado</w:t>
      </w:r>
      <w:proofErr w:type="spellEnd"/>
    </w:p>
    <w:p w:rsidR="00003951" w:rsidRPr="003B6359" w:rsidRDefault="00003951" w:rsidP="00003951">
      <w:pPr>
        <w:pStyle w:val="Bullet1G"/>
        <w:rPr>
          <w:lang w:val="es-ES"/>
        </w:rPr>
      </w:pPr>
      <w:r w:rsidRPr="003B6359">
        <w:rPr>
          <w:lang w:val="es-ES"/>
        </w:rPr>
        <w:t>Partido Popular: 156 senadores</w:t>
      </w:r>
      <w:r>
        <w:rPr>
          <w:lang w:val="es-ES"/>
        </w:rPr>
        <w:t>;</w:t>
      </w:r>
    </w:p>
    <w:p w:rsidR="00003951" w:rsidRPr="0022410A" w:rsidRDefault="00003951" w:rsidP="00003951">
      <w:pPr>
        <w:pStyle w:val="Bullet1G"/>
        <w:rPr>
          <w:lang w:val="es-ES"/>
        </w:rPr>
      </w:pPr>
      <w:r w:rsidRPr="0022410A">
        <w:rPr>
          <w:lang w:val="es-ES"/>
        </w:rPr>
        <w:t>Partido Socialista Obrero Español: 56 senadores</w:t>
      </w:r>
      <w:r>
        <w:rPr>
          <w:lang w:val="es-ES"/>
        </w:rPr>
        <w:t>;</w:t>
      </w:r>
    </w:p>
    <w:p w:rsidR="00003951" w:rsidRPr="0022410A" w:rsidRDefault="00003951" w:rsidP="00003951">
      <w:pPr>
        <w:pStyle w:val="Bullet1G"/>
        <w:rPr>
          <w:lang w:val="es-ES"/>
        </w:rPr>
      </w:pPr>
      <w:proofErr w:type="spellStart"/>
      <w:r w:rsidRPr="00A64D98">
        <w:rPr>
          <w:lang w:val="es-ES"/>
        </w:rPr>
        <w:t>Convergència</w:t>
      </w:r>
      <w:proofErr w:type="spellEnd"/>
      <w:r w:rsidRPr="00A64D98">
        <w:rPr>
          <w:lang w:val="es-ES"/>
        </w:rPr>
        <w:t xml:space="preserve"> </w:t>
      </w:r>
      <w:proofErr w:type="spellStart"/>
      <w:r w:rsidRPr="00A64D98">
        <w:rPr>
          <w:lang w:val="es-ES"/>
        </w:rPr>
        <w:t>Democràtica</w:t>
      </w:r>
      <w:proofErr w:type="spellEnd"/>
      <w:r w:rsidRPr="007F215F">
        <w:rPr>
          <w:lang w:val="es-ES"/>
        </w:rPr>
        <w:t xml:space="preserve"> de Catalunya: 8 senadores</w:t>
      </w:r>
      <w:r>
        <w:rPr>
          <w:lang w:val="es-ES"/>
        </w:rPr>
        <w:t>;</w:t>
      </w:r>
    </w:p>
    <w:p w:rsidR="00003951" w:rsidRPr="003B6359" w:rsidRDefault="00003951" w:rsidP="00003951">
      <w:pPr>
        <w:pStyle w:val="Bullet1G"/>
        <w:rPr>
          <w:lang w:val="es-ES"/>
        </w:rPr>
      </w:pPr>
      <w:proofErr w:type="spellStart"/>
      <w:r w:rsidRPr="003B6359">
        <w:rPr>
          <w:lang w:val="es-ES"/>
        </w:rPr>
        <w:t>Partit</w:t>
      </w:r>
      <w:proofErr w:type="spellEnd"/>
      <w:r w:rsidRPr="003B6359">
        <w:rPr>
          <w:lang w:val="es-ES"/>
        </w:rPr>
        <w:t xml:space="preserve"> del </w:t>
      </w:r>
      <w:proofErr w:type="spellStart"/>
      <w:r w:rsidRPr="003B6359">
        <w:rPr>
          <w:lang w:val="es-ES"/>
        </w:rPr>
        <w:t>Socialistes</w:t>
      </w:r>
      <w:proofErr w:type="spellEnd"/>
      <w:r w:rsidRPr="003B6359">
        <w:rPr>
          <w:lang w:val="es-ES"/>
        </w:rPr>
        <w:t xml:space="preserve"> de Catalunya: 7 senadores</w:t>
      </w:r>
      <w:r>
        <w:rPr>
          <w:lang w:val="es-ES"/>
        </w:rPr>
        <w:t>;</w:t>
      </w:r>
    </w:p>
    <w:p w:rsidR="00003951" w:rsidRPr="0022410A" w:rsidRDefault="00003951" w:rsidP="00003951">
      <w:pPr>
        <w:pStyle w:val="Bullet1G"/>
        <w:rPr>
          <w:lang w:val="es-ES"/>
        </w:rPr>
      </w:pPr>
      <w:proofErr w:type="spellStart"/>
      <w:r w:rsidRPr="0022410A">
        <w:rPr>
          <w:lang w:val="es-ES"/>
        </w:rPr>
        <w:t>Euzko</w:t>
      </w:r>
      <w:proofErr w:type="spellEnd"/>
      <w:r w:rsidRPr="0022410A">
        <w:rPr>
          <w:lang w:val="es-ES"/>
        </w:rPr>
        <w:t xml:space="preserve"> </w:t>
      </w:r>
      <w:proofErr w:type="spellStart"/>
      <w:r w:rsidRPr="0022410A">
        <w:rPr>
          <w:lang w:val="es-ES"/>
        </w:rPr>
        <w:t>Alderdi</w:t>
      </w:r>
      <w:proofErr w:type="spellEnd"/>
      <w:r w:rsidRPr="0022410A">
        <w:rPr>
          <w:lang w:val="es-ES"/>
        </w:rPr>
        <w:t xml:space="preserve"> </w:t>
      </w:r>
      <w:proofErr w:type="spellStart"/>
      <w:r w:rsidRPr="0022410A">
        <w:rPr>
          <w:lang w:val="es-ES"/>
        </w:rPr>
        <w:t>Jeltzalea</w:t>
      </w:r>
      <w:proofErr w:type="spellEnd"/>
      <w:r w:rsidRPr="0022410A">
        <w:rPr>
          <w:lang w:val="es-ES"/>
        </w:rPr>
        <w:t>-Partido Nacionalista Vasco: 5 senadores</w:t>
      </w:r>
      <w:r>
        <w:rPr>
          <w:lang w:val="es-ES"/>
        </w:rPr>
        <w:t>;</w:t>
      </w:r>
    </w:p>
    <w:p w:rsidR="00003951" w:rsidRPr="0022410A" w:rsidRDefault="00003951" w:rsidP="00003951">
      <w:pPr>
        <w:pStyle w:val="Bullet1G"/>
        <w:rPr>
          <w:lang w:val="es-ES"/>
        </w:rPr>
      </w:pPr>
      <w:r w:rsidRPr="00A64D98">
        <w:rPr>
          <w:lang w:val="es-ES"/>
        </w:rPr>
        <w:t>Partido dos Socialistas de Galicia- Partido Socialista Obrero Español: 5 senadores</w:t>
      </w:r>
      <w:r>
        <w:rPr>
          <w:lang w:val="es-ES"/>
        </w:rPr>
        <w:t>;</w:t>
      </w:r>
    </w:p>
    <w:p w:rsidR="00003951" w:rsidRPr="0022410A" w:rsidRDefault="00003951" w:rsidP="00003951">
      <w:pPr>
        <w:pStyle w:val="Bullet1G"/>
        <w:rPr>
          <w:lang w:val="es-ES"/>
        </w:rPr>
      </w:pPr>
      <w:r w:rsidRPr="00A64D98">
        <w:rPr>
          <w:lang w:val="es-ES"/>
        </w:rPr>
        <w:t>Partido Socialista de Euskadi</w:t>
      </w:r>
      <w:r w:rsidRPr="007F215F">
        <w:rPr>
          <w:lang w:val="es-ES"/>
        </w:rPr>
        <w:t>-</w:t>
      </w:r>
      <w:proofErr w:type="spellStart"/>
      <w:r w:rsidRPr="007F215F">
        <w:rPr>
          <w:lang w:val="es-ES"/>
        </w:rPr>
        <w:t>Euskadiko</w:t>
      </w:r>
      <w:proofErr w:type="spellEnd"/>
      <w:r w:rsidRPr="007F215F">
        <w:rPr>
          <w:lang w:val="es-ES"/>
        </w:rPr>
        <w:t xml:space="preserve"> </w:t>
      </w:r>
      <w:proofErr w:type="spellStart"/>
      <w:r w:rsidRPr="007F215F">
        <w:rPr>
          <w:lang w:val="es-ES"/>
        </w:rPr>
        <w:t>Ezkerra</w:t>
      </w:r>
      <w:proofErr w:type="spellEnd"/>
      <w:r w:rsidRPr="007F215F">
        <w:rPr>
          <w:lang w:val="es-ES"/>
        </w:rPr>
        <w:t xml:space="preserve"> (PSOE): 3 senadores</w:t>
      </w:r>
      <w:r>
        <w:rPr>
          <w:lang w:val="es-ES"/>
        </w:rPr>
        <w:t>;</w:t>
      </w:r>
    </w:p>
    <w:p w:rsidR="00003951" w:rsidRPr="003B6359" w:rsidRDefault="00003951" w:rsidP="00003951">
      <w:pPr>
        <w:pStyle w:val="Bullet1G"/>
        <w:rPr>
          <w:lang w:val="es-ES"/>
        </w:rPr>
      </w:pPr>
      <w:proofErr w:type="spellStart"/>
      <w:r w:rsidRPr="003B6359">
        <w:rPr>
          <w:lang w:val="es-ES"/>
        </w:rPr>
        <w:t>Convergència</w:t>
      </w:r>
      <w:proofErr w:type="spellEnd"/>
      <w:r w:rsidRPr="003B6359">
        <w:rPr>
          <w:lang w:val="es-ES"/>
        </w:rPr>
        <w:t xml:space="preserve"> i Unió: 3 senadores</w:t>
      </w:r>
      <w:r>
        <w:rPr>
          <w:lang w:val="es-ES"/>
        </w:rPr>
        <w:t>;</w:t>
      </w:r>
    </w:p>
    <w:p w:rsidR="00003951" w:rsidRPr="003B6359" w:rsidRDefault="00003951" w:rsidP="00003951">
      <w:pPr>
        <w:pStyle w:val="Bullet1G"/>
        <w:rPr>
          <w:lang w:val="es-ES"/>
        </w:rPr>
      </w:pPr>
      <w:r w:rsidRPr="003B6359">
        <w:rPr>
          <w:lang w:val="es-ES"/>
        </w:rPr>
        <w:t>Partido Aragonés: 3 senadores</w:t>
      </w:r>
      <w:r>
        <w:rPr>
          <w:lang w:val="es-ES"/>
        </w:rPr>
        <w:t>;</w:t>
      </w:r>
    </w:p>
    <w:p w:rsidR="00003951" w:rsidRPr="0022410A" w:rsidRDefault="00003951" w:rsidP="00003951">
      <w:pPr>
        <w:pStyle w:val="Bullet1G"/>
        <w:rPr>
          <w:lang w:val="es-ES"/>
        </w:rPr>
      </w:pPr>
      <w:r w:rsidRPr="0022410A">
        <w:rPr>
          <w:lang w:val="es-ES"/>
        </w:rPr>
        <w:t>Unión del Pueblo Navarro: 3 senadores</w:t>
      </w:r>
      <w:r>
        <w:rPr>
          <w:lang w:val="es-ES"/>
        </w:rPr>
        <w:t>;</w:t>
      </w:r>
    </w:p>
    <w:p w:rsidR="00003951" w:rsidRPr="003B6359" w:rsidRDefault="00003951" w:rsidP="00003951">
      <w:pPr>
        <w:pStyle w:val="Bullet1G"/>
        <w:rPr>
          <w:lang w:val="es-ES"/>
        </w:rPr>
      </w:pPr>
      <w:r w:rsidRPr="003B6359">
        <w:rPr>
          <w:lang w:val="es-ES"/>
        </w:rPr>
        <w:t>Coalición Canaria: 2 senadores</w:t>
      </w:r>
      <w:r>
        <w:rPr>
          <w:lang w:val="es-ES"/>
        </w:rPr>
        <w:t>;</w:t>
      </w:r>
    </w:p>
    <w:p w:rsidR="00003951" w:rsidRPr="0022410A" w:rsidRDefault="00003951" w:rsidP="00003951">
      <w:pPr>
        <w:pStyle w:val="Bullet1G"/>
        <w:rPr>
          <w:lang w:val="es-ES"/>
        </w:rPr>
      </w:pPr>
      <w:r w:rsidRPr="0022410A">
        <w:rPr>
          <w:lang w:val="es-ES"/>
        </w:rPr>
        <w:t xml:space="preserve">Iniciativa per Catalunya </w:t>
      </w:r>
      <w:proofErr w:type="spellStart"/>
      <w:r w:rsidRPr="0022410A">
        <w:rPr>
          <w:lang w:val="es-ES"/>
        </w:rPr>
        <w:t>Verds</w:t>
      </w:r>
      <w:proofErr w:type="spellEnd"/>
      <w:r w:rsidRPr="0022410A">
        <w:rPr>
          <w:lang w:val="es-ES"/>
        </w:rPr>
        <w:t>: 2 senadores</w:t>
      </w:r>
      <w:r>
        <w:rPr>
          <w:lang w:val="es-ES"/>
        </w:rPr>
        <w:t>;</w:t>
      </w:r>
    </w:p>
    <w:p w:rsidR="00003951" w:rsidRPr="003B6359" w:rsidRDefault="00003951" w:rsidP="00003951">
      <w:pPr>
        <w:pStyle w:val="Bullet1G"/>
        <w:rPr>
          <w:lang w:val="es-ES"/>
        </w:rPr>
      </w:pPr>
      <w:r w:rsidRPr="003B6359">
        <w:rPr>
          <w:lang w:val="es-ES"/>
        </w:rPr>
        <w:t>Izquierda Unida: 2 senadores</w:t>
      </w:r>
      <w:r>
        <w:rPr>
          <w:lang w:val="es-ES"/>
        </w:rPr>
        <w:t>;</w:t>
      </w:r>
    </w:p>
    <w:p w:rsidR="00003951" w:rsidRPr="0022410A" w:rsidRDefault="00003951" w:rsidP="00003951">
      <w:pPr>
        <w:pStyle w:val="Bullet1G"/>
        <w:rPr>
          <w:lang w:val="es-ES"/>
        </w:rPr>
      </w:pPr>
      <w:r w:rsidRPr="0022410A">
        <w:rPr>
          <w:lang w:val="es-ES"/>
        </w:rPr>
        <w:t xml:space="preserve">Unió </w:t>
      </w:r>
      <w:proofErr w:type="spellStart"/>
      <w:r w:rsidRPr="00A64D98">
        <w:rPr>
          <w:lang w:val="es-ES"/>
        </w:rPr>
        <w:t>Democràtica</w:t>
      </w:r>
      <w:proofErr w:type="spellEnd"/>
      <w:r w:rsidRPr="00A64D98">
        <w:rPr>
          <w:lang w:val="es-ES"/>
        </w:rPr>
        <w:t xml:space="preserve"> de Catalunya: 2 senadores</w:t>
      </w:r>
      <w:r>
        <w:rPr>
          <w:lang w:val="es-ES"/>
        </w:rPr>
        <w:t>;</w:t>
      </w:r>
    </w:p>
    <w:p w:rsidR="00003951" w:rsidRPr="0022410A" w:rsidRDefault="00003951" w:rsidP="00003951">
      <w:pPr>
        <w:pStyle w:val="Bullet1G"/>
        <w:rPr>
          <w:lang w:val="es-ES"/>
        </w:rPr>
      </w:pPr>
      <w:r w:rsidRPr="00A64D98">
        <w:rPr>
          <w:lang w:val="es-ES"/>
        </w:rPr>
        <w:t>Asambleas Municipales de Fuerteventura: 1 senador</w:t>
      </w:r>
      <w:r>
        <w:rPr>
          <w:lang w:val="es-ES"/>
        </w:rPr>
        <w:t>;</w:t>
      </w:r>
    </w:p>
    <w:p w:rsidR="00003951" w:rsidRPr="003B6359" w:rsidRDefault="00003951" w:rsidP="00003951">
      <w:pPr>
        <w:pStyle w:val="Bullet1G"/>
        <w:rPr>
          <w:lang w:val="es-ES"/>
        </w:rPr>
      </w:pPr>
      <w:r w:rsidRPr="003B6359">
        <w:rPr>
          <w:lang w:val="es-ES"/>
        </w:rPr>
        <w:t>Centro Canario Nacionalista: 1 senador</w:t>
      </w:r>
      <w:r>
        <w:rPr>
          <w:lang w:val="es-ES"/>
        </w:rPr>
        <w:t>;</w:t>
      </w:r>
    </w:p>
    <w:p w:rsidR="00003951" w:rsidRPr="0022410A" w:rsidRDefault="00003951" w:rsidP="00003951">
      <w:pPr>
        <w:pStyle w:val="Bullet1G"/>
        <w:rPr>
          <w:lang w:val="es-ES"/>
        </w:rPr>
      </w:pPr>
      <w:r w:rsidRPr="0022410A">
        <w:rPr>
          <w:lang w:val="es-ES"/>
        </w:rPr>
        <w:t>Esquerra Republicana de Catalunya: 1 senador</w:t>
      </w:r>
      <w:r>
        <w:rPr>
          <w:lang w:val="es-ES"/>
        </w:rPr>
        <w:t>;</w:t>
      </w:r>
    </w:p>
    <w:p w:rsidR="00003951" w:rsidRPr="003B6359" w:rsidRDefault="00003951" w:rsidP="00003951">
      <w:pPr>
        <w:pStyle w:val="Bullet1G"/>
        <w:rPr>
          <w:lang w:val="es-ES"/>
        </w:rPr>
      </w:pPr>
      <w:proofErr w:type="spellStart"/>
      <w:r w:rsidRPr="003B6359">
        <w:rPr>
          <w:lang w:val="es-ES"/>
        </w:rPr>
        <w:t>Eukal</w:t>
      </w:r>
      <w:proofErr w:type="spellEnd"/>
      <w:r w:rsidRPr="003B6359">
        <w:rPr>
          <w:lang w:val="es-ES"/>
        </w:rPr>
        <w:t xml:space="preserve"> </w:t>
      </w:r>
      <w:proofErr w:type="spellStart"/>
      <w:r w:rsidRPr="003B6359">
        <w:rPr>
          <w:lang w:val="es-ES"/>
        </w:rPr>
        <w:t>Herria</w:t>
      </w:r>
      <w:proofErr w:type="spellEnd"/>
      <w:r w:rsidRPr="003B6359">
        <w:rPr>
          <w:lang w:val="es-ES"/>
        </w:rPr>
        <w:t xml:space="preserve"> Bildu: 1 senador</w:t>
      </w:r>
      <w:r>
        <w:rPr>
          <w:lang w:val="es-ES"/>
        </w:rPr>
        <w:t>;</w:t>
      </w:r>
    </w:p>
    <w:p w:rsidR="00003951" w:rsidRPr="0022410A" w:rsidRDefault="00003951" w:rsidP="00003951">
      <w:pPr>
        <w:pStyle w:val="Bullet1G"/>
        <w:rPr>
          <w:lang w:val="es-ES"/>
        </w:rPr>
      </w:pPr>
      <w:proofErr w:type="spellStart"/>
      <w:r w:rsidRPr="0022410A">
        <w:rPr>
          <w:lang w:val="es-ES"/>
        </w:rPr>
        <w:t>Eusko</w:t>
      </w:r>
      <w:proofErr w:type="spellEnd"/>
      <w:r w:rsidRPr="0022410A">
        <w:rPr>
          <w:lang w:val="es-ES"/>
        </w:rPr>
        <w:t xml:space="preserve"> </w:t>
      </w:r>
      <w:proofErr w:type="spellStart"/>
      <w:r w:rsidRPr="0022410A">
        <w:rPr>
          <w:lang w:val="es-ES"/>
        </w:rPr>
        <w:t>Alkartasuna</w:t>
      </w:r>
      <w:proofErr w:type="spellEnd"/>
      <w:r w:rsidRPr="0022410A">
        <w:rPr>
          <w:lang w:val="es-ES"/>
        </w:rPr>
        <w:t>-Solidaridad Vasca: 1 senador</w:t>
      </w:r>
      <w:r>
        <w:rPr>
          <w:lang w:val="es-ES"/>
        </w:rPr>
        <w:t>;</w:t>
      </w:r>
    </w:p>
    <w:p w:rsidR="00003951" w:rsidRPr="0022410A" w:rsidRDefault="00003951" w:rsidP="00003951">
      <w:pPr>
        <w:pStyle w:val="Bullet1G"/>
        <w:rPr>
          <w:lang w:val="es-ES"/>
        </w:rPr>
      </w:pPr>
      <w:r w:rsidRPr="00A64D98">
        <w:rPr>
          <w:lang w:val="es-ES"/>
        </w:rPr>
        <w:t>F</w:t>
      </w:r>
      <w:r w:rsidRPr="007F215F">
        <w:rPr>
          <w:lang w:val="es-ES"/>
        </w:rPr>
        <w:t>oro de Ciudadanos- Foro Asturias: 1 senador</w:t>
      </w:r>
      <w:r>
        <w:rPr>
          <w:lang w:val="es-ES"/>
        </w:rPr>
        <w:t>;</w:t>
      </w:r>
    </w:p>
    <w:p w:rsidR="00003951" w:rsidRPr="003B6359" w:rsidRDefault="00003951" w:rsidP="00003951">
      <w:pPr>
        <w:pStyle w:val="Bullet1G"/>
        <w:rPr>
          <w:lang w:val="es-ES"/>
        </w:rPr>
      </w:pPr>
      <w:r w:rsidRPr="003B6359">
        <w:rPr>
          <w:lang w:val="es-ES"/>
        </w:rPr>
        <w:t>3 senadores independientes</w:t>
      </w:r>
      <w:r>
        <w:rPr>
          <w:lang w:val="es-ES"/>
        </w:rPr>
        <w:t>.</w:t>
      </w:r>
    </w:p>
    <w:p w:rsidR="00003951" w:rsidRPr="005D1CDD" w:rsidRDefault="00003951" w:rsidP="00003951">
      <w:pPr>
        <w:pStyle w:val="H1G"/>
        <w:rPr>
          <w:lang w:val="es-ES"/>
        </w:rPr>
      </w:pPr>
      <w:r>
        <w:rPr>
          <w:lang w:val="es-ES"/>
        </w:rPr>
        <w:br w:type="page"/>
      </w:r>
      <w:r w:rsidRPr="005D1CDD">
        <w:rPr>
          <w:lang w:val="es-ES"/>
        </w:rPr>
        <w:tab/>
      </w:r>
      <w:r>
        <w:rPr>
          <w:lang w:val="es-ES"/>
        </w:rPr>
        <w:t xml:space="preserve">Anexo </w:t>
      </w:r>
      <w:r w:rsidRPr="005D1CDD">
        <w:rPr>
          <w:lang w:val="es-ES"/>
        </w:rPr>
        <w:t>II</w:t>
      </w:r>
      <w:r w:rsidRPr="005D1CDD">
        <w:rPr>
          <w:lang w:val="es-ES"/>
        </w:rPr>
        <w:tab/>
      </w:r>
    </w:p>
    <w:p w:rsidR="00003951" w:rsidRPr="005D1CDD" w:rsidRDefault="00003951" w:rsidP="00003951">
      <w:pPr>
        <w:pStyle w:val="H23G"/>
        <w:jc w:val="right"/>
        <w:rPr>
          <w:b w:val="0"/>
          <w:bCs/>
          <w:lang w:val="es-ES"/>
        </w:rPr>
      </w:pPr>
      <w:r w:rsidRPr="005D1CDD">
        <w:rPr>
          <w:b w:val="0"/>
          <w:bCs/>
          <w:lang w:val="es-ES"/>
        </w:rPr>
        <w:t>[Español solamente]</w:t>
      </w:r>
    </w:p>
    <w:p w:rsidR="00003951" w:rsidRPr="005D1CDD" w:rsidRDefault="00003951" w:rsidP="00003951">
      <w:pPr>
        <w:pStyle w:val="H1G"/>
        <w:rPr>
          <w:lang w:val="es-ES"/>
        </w:rPr>
      </w:pPr>
      <w:r w:rsidRPr="005D1CDD">
        <w:rPr>
          <w:lang w:val="es-ES"/>
        </w:rPr>
        <w:tab/>
      </w:r>
      <w:r w:rsidRPr="005D1CDD">
        <w:rPr>
          <w:lang w:val="es-ES"/>
        </w:rPr>
        <w:tab/>
        <w:t>Presencia de organizaciones no gubernamentales en España</w:t>
      </w:r>
    </w:p>
    <w:p w:rsidR="00003951" w:rsidRPr="003B6359" w:rsidRDefault="00003951" w:rsidP="00003951">
      <w:pPr>
        <w:pStyle w:val="SingleTxtG"/>
        <w:rPr>
          <w:lang w:val="es-ES"/>
        </w:rPr>
      </w:pPr>
      <w:r w:rsidRPr="005D1CDD">
        <w:rPr>
          <w:lang w:val="es-ES"/>
        </w:rPr>
        <w:t>Actualmente</w:t>
      </w:r>
      <w:r w:rsidRPr="003B6359">
        <w:rPr>
          <w:lang w:val="es-ES"/>
        </w:rPr>
        <w:t xml:space="preserve"> hay más de 3</w:t>
      </w:r>
      <w:r>
        <w:rPr>
          <w:lang w:val="es-ES"/>
        </w:rPr>
        <w:t>.</w:t>
      </w:r>
      <w:r w:rsidRPr="003B6359">
        <w:rPr>
          <w:lang w:val="es-ES"/>
        </w:rPr>
        <w:t>000 ONG en España</w:t>
      </w:r>
      <w:r>
        <w:rPr>
          <w:lang w:val="es-ES"/>
        </w:rPr>
        <w:t>.</w:t>
      </w:r>
      <w:r w:rsidRPr="003B6359">
        <w:rPr>
          <w:lang w:val="es-ES"/>
        </w:rPr>
        <w:t xml:space="preserve"> </w:t>
      </w:r>
      <w:r>
        <w:rPr>
          <w:lang w:val="es-ES"/>
        </w:rPr>
        <w:t>L</w:t>
      </w:r>
      <w:r w:rsidRPr="003B6359">
        <w:rPr>
          <w:lang w:val="es-ES"/>
        </w:rPr>
        <w:t>as más importantes (por el número de socios) son las que siguen:</w:t>
      </w:r>
    </w:p>
    <w:p w:rsidR="00003951" w:rsidRPr="003B6359" w:rsidRDefault="00003951" w:rsidP="00003951">
      <w:pPr>
        <w:pStyle w:val="Bullet1G"/>
        <w:rPr>
          <w:lang w:val="es-ES"/>
        </w:rPr>
      </w:pPr>
      <w:r w:rsidRPr="003B6359">
        <w:rPr>
          <w:lang w:val="es-ES"/>
        </w:rPr>
        <w:t>Fundación Plan Internacional España</w:t>
      </w:r>
      <w:r>
        <w:rPr>
          <w:lang w:val="es-ES"/>
        </w:rPr>
        <w:t>;</w:t>
      </w:r>
    </w:p>
    <w:p w:rsidR="00003951" w:rsidRPr="0022410A" w:rsidRDefault="00003951" w:rsidP="00003951">
      <w:pPr>
        <w:pStyle w:val="Bullet1G"/>
        <w:rPr>
          <w:lang w:val="es-ES"/>
        </w:rPr>
      </w:pPr>
      <w:proofErr w:type="spellStart"/>
      <w:r w:rsidRPr="0022410A">
        <w:rPr>
          <w:lang w:val="es-ES"/>
        </w:rPr>
        <w:t>UDP</w:t>
      </w:r>
      <w:proofErr w:type="spellEnd"/>
      <w:r w:rsidRPr="0022410A">
        <w:rPr>
          <w:lang w:val="es-ES"/>
        </w:rPr>
        <w:t>. Unión Democrática de Pensionistas y Jubilados de España</w:t>
      </w:r>
      <w:r>
        <w:rPr>
          <w:lang w:val="es-ES"/>
        </w:rPr>
        <w:t>;</w:t>
      </w:r>
    </w:p>
    <w:p w:rsidR="00003951" w:rsidRPr="003B6359" w:rsidRDefault="00003951" w:rsidP="00003951">
      <w:pPr>
        <w:pStyle w:val="Bullet1G"/>
        <w:rPr>
          <w:lang w:val="es-ES"/>
        </w:rPr>
      </w:pPr>
      <w:r w:rsidRPr="003B6359">
        <w:rPr>
          <w:lang w:val="es-ES"/>
        </w:rPr>
        <w:t>Cruz Roja Española</w:t>
      </w:r>
      <w:r>
        <w:rPr>
          <w:lang w:val="es-ES"/>
        </w:rPr>
        <w:t>;</w:t>
      </w:r>
    </w:p>
    <w:p w:rsidR="00003951" w:rsidRPr="003B6359" w:rsidRDefault="00003951" w:rsidP="00003951">
      <w:pPr>
        <w:pStyle w:val="Bullet1G"/>
        <w:rPr>
          <w:lang w:val="es-ES"/>
        </w:rPr>
      </w:pPr>
      <w:r w:rsidRPr="003B6359">
        <w:rPr>
          <w:lang w:val="es-ES"/>
        </w:rPr>
        <w:t>Médicos Sin Fronteras España</w:t>
      </w:r>
      <w:r>
        <w:rPr>
          <w:lang w:val="es-ES"/>
        </w:rPr>
        <w:t>;</w:t>
      </w:r>
    </w:p>
    <w:p w:rsidR="00003951" w:rsidRPr="003B6359" w:rsidRDefault="00003951" w:rsidP="00003951">
      <w:pPr>
        <w:pStyle w:val="Bullet1G"/>
        <w:rPr>
          <w:lang w:val="es-ES"/>
        </w:rPr>
      </w:pPr>
      <w:proofErr w:type="spellStart"/>
      <w:r w:rsidRPr="003B6359">
        <w:rPr>
          <w:lang w:val="es-ES"/>
        </w:rPr>
        <w:t>Intermón</w:t>
      </w:r>
      <w:proofErr w:type="spellEnd"/>
      <w:r w:rsidRPr="003B6359">
        <w:rPr>
          <w:lang w:val="es-ES"/>
        </w:rPr>
        <w:t xml:space="preserve"> </w:t>
      </w:r>
      <w:proofErr w:type="spellStart"/>
      <w:r w:rsidRPr="003B6359">
        <w:rPr>
          <w:lang w:val="es-ES"/>
        </w:rPr>
        <w:t>Oxfam</w:t>
      </w:r>
      <w:proofErr w:type="spellEnd"/>
      <w:r>
        <w:rPr>
          <w:lang w:val="es-ES"/>
        </w:rPr>
        <w:t>;</w:t>
      </w:r>
    </w:p>
    <w:p w:rsidR="00003951" w:rsidRPr="003B6359" w:rsidRDefault="00003951" w:rsidP="00003951">
      <w:pPr>
        <w:pStyle w:val="Bullet1G"/>
        <w:rPr>
          <w:lang w:val="es-ES"/>
        </w:rPr>
      </w:pPr>
      <w:proofErr w:type="spellStart"/>
      <w:r w:rsidRPr="003B6359">
        <w:rPr>
          <w:lang w:val="es-ES"/>
        </w:rPr>
        <w:t>FEAPS</w:t>
      </w:r>
      <w:proofErr w:type="spellEnd"/>
      <w:r w:rsidRPr="003B6359">
        <w:rPr>
          <w:lang w:val="es-ES"/>
        </w:rPr>
        <w:t>. Confederación Española de Organizaciones en favor de las Personas con Discapacidad Intelectual</w:t>
      </w:r>
      <w:r>
        <w:rPr>
          <w:lang w:val="es-ES"/>
        </w:rPr>
        <w:t>;</w:t>
      </w:r>
    </w:p>
    <w:p w:rsidR="00003951" w:rsidRPr="003B6359" w:rsidRDefault="00003951" w:rsidP="00003951">
      <w:pPr>
        <w:pStyle w:val="Bullet1G"/>
        <w:rPr>
          <w:lang w:val="es-ES"/>
        </w:rPr>
      </w:pPr>
      <w:r w:rsidRPr="003B6359">
        <w:rPr>
          <w:lang w:val="es-ES"/>
        </w:rPr>
        <w:t>Ayuda en Acción</w:t>
      </w:r>
      <w:r>
        <w:rPr>
          <w:lang w:val="es-ES"/>
        </w:rPr>
        <w:t>;</w:t>
      </w:r>
    </w:p>
    <w:p w:rsidR="00003951" w:rsidRPr="003B6359" w:rsidRDefault="00003951" w:rsidP="00003951">
      <w:pPr>
        <w:pStyle w:val="Bullet1G"/>
        <w:rPr>
          <w:lang w:val="es-ES"/>
        </w:rPr>
      </w:pPr>
      <w:r w:rsidRPr="003B6359">
        <w:rPr>
          <w:lang w:val="es-ES"/>
        </w:rPr>
        <w:t>UNICEF</w:t>
      </w:r>
      <w:r>
        <w:rPr>
          <w:lang w:val="es-ES"/>
        </w:rPr>
        <w:t>;</w:t>
      </w:r>
    </w:p>
    <w:p w:rsidR="00003951" w:rsidRPr="003B6359" w:rsidRDefault="00003951" w:rsidP="00003951">
      <w:pPr>
        <w:pStyle w:val="Bullet1G"/>
        <w:rPr>
          <w:lang w:val="es-ES"/>
        </w:rPr>
      </w:pPr>
      <w:r w:rsidRPr="003B6359">
        <w:rPr>
          <w:lang w:val="es-ES"/>
        </w:rPr>
        <w:t xml:space="preserve">Fundación </w:t>
      </w:r>
      <w:proofErr w:type="spellStart"/>
      <w:r w:rsidRPr="003B6359">
        <w:rPr>
          <w:lang w:val="es-ES"/>
        </w:rPr>
        <w:t>Intervida</w:t>
      </w:r>
      <w:proofErr w:type="spellEnd"/>
      <w:r>
        <w:rPr>
          <w:lang w:val="es-ES"/>
        </w:rPr>
        <w:t>;</w:t>
      </w:r>
    </w:p>
    <w:p w:rsidR="00003951" w:rsidRPr="003B6359" w:rsidRDefault="00003951" w:rsidP="00003951">
      <w:pPr>
        <w:pStyle w:val="Bullet1G"/>
        <w:rPr>
          <w:lang w:val="es-ES"/>
        </w:rPr>
      </w:pPr>
      <w:r w:rsidRPr="003B6359">
        <w:rPr>
          <w:lang w:val="es-ES"/>
        </w:rPr>
        <w:t>Cáritas Española</w:t>
      </w:r>
      <w:r>
        <w:rPr>
          <w:lang w:val="es-ES"/>
        </w:rPr>
        <w:t>;</w:t>
      </w:r>
    </w:p>
    <w:p w:rsidR="00003951" w:rsidRPr="003B6359" w:rsidRDefault="00003951" w:rsidP="00003951">
      <w:pPr>
        <w:pStyle w:val="Bullet1G"/>
        <w:rPr>
          <w:lang w:val="es-ES"/>
        </w:rPr>
      </w:pPr>
      <w:proofErr w:type="spellStart"/>
      <w:r w:rsidRPr="003B6359">
        <w:rPr>
          <w:lang w:val="es-ES"/>
        </w:rPr>
        <w:t>AECC</w:t>
      </w:r>
      <w:proofErr w:type="spellEnd"/>
      <w:r w:rsidRPr="003B6359">
        <w:rPr>
          <w:lang w:val="es-ES"/>
        </w:rPr>
        <w:t>. Asociación Española Contra el Cáncer</w:t>
      </w:r>
      <w:r>
        <w:rPr>
          <w:lang w:val="es-ES"/>
        </w:rPr>
        <w:t>;</w:t>
      </w:r>
    </w:p>
    <w:p w:rsidR="00003951" w:rsidRPr="003B6359" w:rsidRDefault="00003951" w:rsidP="00003951">
      <w:pPr>
        <w:pStyle w:val="Bullet1G"/>
        <w:rPr>
          <w:lang w:val="es-ES"/>
        </w:rPr>
      </w:pPr>
      <w:r w:rsidRPr="003B6359">
        <w:rPr>
          <w:lang w:val="es-ES"/>
        </w:rPr>
        <w:t xml:space="preserve"> Greenpeace</w:t>
      </w:r>
      <w:r>
        <w:rPr>
          <w:lang w:val="es-ES"/>
        </w:rPr>
        <w:t>;</w:t>
      </w:r>
    </w:p>
    <w:p w:rsidR="00003951" w:rsidRPr="003B6359" w:rsidRDefault="00003951" w:rsidP="00003951">
      <w:pPr>
        <w:pStyle w:val="Bullet1G"/>
        <w:rPr>
          <w:lang w:val="es-ES"/>
        </w:rPr>
      </w:pPr>
      <w:r w:rsidRPr="003B6359">
        <w:rPr>
          <w:lang w:val="es-ES"/>
        </w:rPr>
        <w:t>Manos Unidas</w:t>
      </w:r>
      <w:r>
        <w:rPr>
          <w:lang w:val="es-ES"/>
        </w:rPr>
        <w:t>;</w:t>
      </w:r>
    </w:p>
    <w:p w:rsidR="00003951" w:rsidRPr="003B6359" w:rsidRDefault="00003951" w:rsidP="00003951">
      <w:pPr>
        <w:pStyle w:val="Bullet1G"/>
        <w:rPr>
          <w:lang w:val="es-ES"/>
        </w:rPr>
      </w:pPr>
      <w:proofErr w:type="spellStart"/>
      <w:r w:rsidRPr="003B6359">
        <w:rPr>
          <w:lang w:val="es-ES"/>
        </w:rPr>
        <w:t>Anesvad</w:t>
      </w:r>
      <w:proofErr w:type="spellEnd"/>
      <w:r>
        <w:rPr>
          <w:lang w:val="es-ES"/>
        </w:rPr>
        <w:t>;</w:t>
      </w:r>
    </w:p>
    <w:p w:rsidR="00003951" w:rsidRPr="003B6359" w:rsidRDefault="00003951" w:rsidP="00003951">
      <w:pPr>
        <w:pStyle w:val="Bullet1G"/>
        <w:rPr>
          <w:lang w:val="es-ES"/>
        </w:rPr>
      </w:pPr>
      <w:proofErr w:type="spellStart"/>
      <w:r w:rsidRPr="003B6359">
        <w:rPr>
          <w:lang w:val="es-ES"/>
        </w:rPr>
        <w:t>FACUA</w:t>
      </w:r>
      <w:proofErr w:type="spellEnd"/>
      <w:r w:rsidRPr="003B6359">
        <w:rPr>
          <w:lang w:val="es-ES"/>
        </w:rPr>
        <w:t>. Consumidores en Acción</w:t>
      </w:r>
      <w:r>
        <w:rPr>
          <w:lang w:val="es-ES"/>
        </w:rPr>
        <w:t>;</w:t>
      </w:r>
    </w:p>
    <w:p w:rsidR="00003951" w:rsidRPr="003B6359" w:rsidRDefault="00003951" w:rsidP="00003951">
      <w:pPr>
        <w:pStyle w:val="Bullet1G"/>
        <w:rPr>
          <w:lang w:val="es-ES"/>
        </w:rPr>
      </w:pPr>
      <w:r w:rsidRPr="003B6359">
        <w:rPr>
          <w:lang w:val="es-ES"/>
        </w:rPr>
        <w:t>Global Humanitaria</w:t>
      </w:r>
      <w:r>
        <w:rPr>
          <w:lang w:val="es-ES"/>
        </w:rPr>
        <w:t>;</w:t>
      </w:r>
    </w:p>
    <w:p w:rsidR="00003951" w:rsidRPr="003B6359" w:rsidRDefault="00003951" w:rsidP="00003951">
      <w:pPr>
        <w:pStyle w:val="Bullet1G"/>
        <w:rPr>
          <w:lang w:val="es-ES"/>
        </w:rPr>
      </w:pPr>
      <w:r w:rsidRPr="003B6359">
        <w:rPr>
          <w:lang w:val="es-ES"/>
        </w:rPr>
        <w:t>Amnistía Internacional, sección española</w:t>
      </w:r>
      <w:r>
        <w:rPr>
          <w:lang w:val="es-ES"/>
        </w:rPr>
        <w:t>;</w:t>
      </w:r>
    </w:p>
    <w:p w:rsidR="00003951" w:rsidRPr="003B6359" w:rsidRDefault="00003951" w:rsidP="00003951">
      <w:pPr>
        <w:pStyle w:val="Bullet1G"/>
        <w:rPr>
          <w:lang w:val="es-ES"/>
        </w:rPr>
      </w:pPr>
      <w:r w:rsidRPr="003B6359">
        <w:rPr>
          <w:lang w:val="es-ES"/>
        </w:rPr>
        <w:t>Médicos del Mundo</w:t>
      </w:r>
      <w:r>
        <w:rPr>
          <w:lang w:val="es-ES"/>
        </w:rPr>
        <w:t>;</w:t>
      </w:r>
    </w:p>
    <w:p w:rsidR="00003951" w:rsidRPr="003B6359" w:rsidRDefault="00003951" w:rsidP="00003951">
      <w:pPr>
        <w:pStyle w:val="Bullet1G"/>
        <w:rPr>
          <w:lang w:val="es-ES"/>
        </w:rPr>
      </w:pPr>
      <w:r w:rsidRPr="003B6359">
        <w:rPr>
          <w:lang w:val="es-ES"/>
        </w:rPr>
        <w:t>Ecologistas en Acción</w:t>
      </w:r>
      <w:r>
        <w:rPr>
          <w:lang w:val="es-ES"/>
        </w:rPr>
        <w:t>;</w:t>
      </w:r>
    </w:p>
    <w:p w:rsidR="00003951" w:rsidRPr="003B6359" w:rsidRDefault="00003951" w:rsidP="00003951">
      <w:pPr>
        <w:pStyle w:val="Bullet1G"/>
        <w:rPr>
          <w:lang w:val="es-ES"/>
        </w:rPr>
      </w:pPr>
      <w:proofErr w:type="spellStart"/>
      <w:r w:rsidRPr="003B6359">
        <w:rPr>
          <w:lang w:val="es-ES"/>
        </w:rPr>
        <w:t>ASDE</w:t>
      </w:r>
      <w:proofErr w:type="spellEnd"/>
      <w:r w:rsidRPr="003B6359">
        <w:rPr>
          <w:lang w:val="es-ES"/>
        </w:rPr>
        <w:t>. Federación de Asociaciones de Scouts de España</w:t>
      </w:r>
      <w:r>
        <w:rPr>
          <w:lang w:val="es-ES"/>
        </w:rPr>
        <w:t>;</w:t>
      </w:r>
    </w:p>
    <w:p w:rsidR="00003951" w:rsidRPr="003B6359" w:rsidRDefault="00003951" w:rsidP="00003951">
      <w:pPr>
        <w:pStyle w:val="Bullet1G"/>
        <w:rPr>
          <w:lang w:val="es-ES"/>
        </w:rPr>
      </w:pPr>
      <w:r w:rsidRPr="003B6359">
        <w:rPr>
          <w:lang w:val="es-ES"/>
        </w:rPr>
        <w:t>Fundación Vicente Ferrer</w:t>
      </w:r>
      <w:r>
        <w:rPr>
          <w:lang w:val="es-ES"/>
        </w:rPr>
        <w:t>;</w:t>
      </w:r>
    </w:p>
    <w:p w:rsidR="00003951" w:rsidRPr="0022410A" w:rsidRDefault="00003951" w:rsidP="00003951">
      <w:pPr>
        <w:pStyle w:val="Bullet1G"/>
        <w:rPr>
          <w:lang w:val="es-ES"/>
        </w:rPr>
      </w:pPr>
      <w:r w:rsidRPr="0022410A">
        <w:rPr>
          <w:lang w:val="es-ES"/>
        </w:rPr>
        <w:t>Federación de Asociaciones de Celiacos de España</w:t>
      </w:r>
      <w:r>
        <w:rPr>
          <w:lang w:val="es-ES"/>
        </w:rPr>
        <w:t>;</w:t>
      </w:r>
    </w:p>
    <w:p w:rsidR="00003951" w:rsidRPr="003B6359" w:rsidRDefault="00003951" w:rsidP="00003951">
      <w:pPr>
        <w:pStyle w:val="Bullet1G"/>
        <w:rPr>
          <w:lang w:val="es-ES"/>
        </w:rPr>
      </w:pPr>
      <w:proofErr w:type="spellStart"/>
      <w:r w:rsidRPr="003B6359">
        <w:rPr>
          <w:lang w:val="es-ES"/>
        </w:rPr>
        <w:t>Save</w:t>
      </w:r>
      <w:proofErr w:type="spellEnd"/>
      <w:r w:rsidRPr="003B6359">
        <w:rPr>
          <w:lang w:val="es-ES"/>
        </w:rPr>
        <w:t xml:space="preserve"> </w:t>
      </w:r>
      <w:proofErr w:type="spellStart"/>
      <w:r w:rsidRPr="003B6359">
        <w:rPr>
          <w:lang w:val="es-ES"/>
        </w:rPr>
        <w:t>the</w:t>
      </w:r>
      <w:proofErr w:type="spellEnd"/>
      <w:r w:rsidRPr="003B6359">
        <w:rPr>
          <w:lang w:val="es-ES"/>
        </w:rPr>
        <w:t xml:space="preserve"> </w:t>
      </w:r>
      <w:proofErr w:type="spellStart"/>
      <w:r w:rsidRPr="003B6359">
        <w:rPr>
          <w:lang w:val="es-ES"/>
        </w:rPr>
        <w:t>Children</w:t>
      </w:r>
      <w:proofErr w:type="spellEnd"/>
      <w:r>
        <w:rPr>
          <w:lang w:val="es-ES"/>
        </w:rPr>
        <w:t>;</w:t>
      </w:r>
    </w:p>
    <w:p w:rsidR="00003951" w:rsidRPr="0022410A" w:rsidRDefault="00003951" w:rsidP="00003951">
      <w:pPr>
        <w:pStyle w:val="Bullet1G"/>
        <w:rPr>
          <w:lang w:val="es-ES"/>
        </w:rPr>
      </w:pPr>
      <w:r w:rsidRPr="0022410A">
        <w:rPr>
          <w:lang w:val="es-ES"/>
        </w:rPr>
        <w:t>Fondo para la Protección de los Animales Salvajes (</w:t>
      </w:r>
      <w:proofErr w:type="spellStart"/>
      <w:r w:rsidRPr="0022410A">
        <w:rPr>
          <w:lang w:val="es-ES"/>
        </w:rPr>
        <w:t>FAPAS</w:t>
      </w:r>
      <w:proofErr w:type="spellEnd"/>
      <w:r w:rsidRPr="0022410A">
        <w:rPr>
          <w:lang w:val="es-ES"/>
        </w:rPr>
        <w:t>)</w:t>
      </w:r>
      <w:r>
        <w:rPr>
          <w:lang w:val="es-ES"/>
        </w:rPr>
        <w:t>;</w:t>
      </w:r>
    </w:p>
    <w:p w:rsidR="00003951" w:rsidRPr="003B6359" w:rsidRDefault="00003951" w:rsidP="00003951">
      <w:pPr>
        <w:pStyle w:val="Bullet1G"/>
        <w:rPr>
          <w:lang w:val="es-ES"/>
        </w:rPr>
      </w:pPr>
      <w:proofErr w:type="spellStart"/>
      <w:r w:rsidRPr="003B6359">
        <w:rPr>
          <w:lang w:val="es-ES"/>
        </w:rPr>
        <w:t>WWF</w:t>
      </w:r>
      <w:proofErr w:type="spellEnd"/>
      <w:r w:rsidRPr="003B6359">
        <w:rPr>
          <w:lang w:val="es-ES"/>
        </w:rPr>
        <w:t>;</w:t>
      </w:r>
    </w:p>
    <w:p w:rsidR="00003951" w:rsidRPr="007F215F" w:rsidRDefault="00003951" w:rsidP="00003951">
      <w:pPr>
        <w:pStyle w:val="Bullet1G"/>
        <w:rPr>
          <w:lang w:val="es-ES"/>
        </w:rPr>
      </w:pPr>
      <w:r w:rsidRPr="0022410A">
        <w:rPr>
          <w:lang w:val="es-ES"/>
        </w:rPr>
        <w:t>Federación Español</w:t>
      </w:r>
      <w:r w:rsidRPr="00A64D98">
        <w:rPr>
          <w:lang w:val="es-ES"/>
        </w:rPr>
        <w:t>a de Padres de Niños con Cáncer</w:t>
      </w:r>
      <w:r w:rsidRPr="007F215F">
        <w:rPr>
          <w:lang w:val="es-ES"/>
        </w:rPr>
        <w:t>;</w:t>
      </w:r>
    </w:p>
    <w:p w:rsidR="00003951" w:rsidRPr="00003951" w:rsidRDefault="00003951" w:rsidP="00003951">
      <w:pPr>
        <w:pStyle w:val="Bullet1G"/>
        <w:rPr>
          <w:lang w:val="es-ES"/>
        </w:rPr>
      </w:pPr>
      <w:r w:rsidRPr="007F215F">
        <w:rPr>
          <w:lang w:val="es-ES"/>
        </w:rPr>
        <w:t>SEO/</w:t>
      </w:r>
      <w:proofErr w:type="spellStart"/>
      <w:r w:rsidRPr="007F215F">
        <w:rPr>
          <w:lang w:val="es-ES"/>
        </w:rPr>
        <w:t>BirdLife</w:t>
      </w:r>
      <w:proofErr w:type="spellEnd"/>
      <w:r w:rsidRPr="007F215F">
        <w:rPr>
          <w:lang w:val="es-ES"/>
        </w:rPr>
        <w:t>. S</w:t>
      </w:r>
      <w:r w:rsidRPr="00E95DC5">
        <w:rPr>
          <w:lang w:val="es-ES"/>
        </w:rPr>
        <w:t>ociedad Española de Ornitología</w:t>
      </w:r>
      <w:r w:rsidRPr="008E2F20">
        <w:rPr>
          <w:lang w:val="es-ES"/>
        </w:rPr>
        <w:t>.</w:t>
      </w:r>
    </w:p>
    <w:p w:rsidR="00003951" w:rsidRPr="00003951" w:rsidRDefault="00003951" w:rsidP="00003951">
      <w:pPr>
        <w:spacing w:before="240"/>
        <w:jc w:val="center"/>
        <w:rPr>
          <w:u w:val="single"/>
          <w:lang w:val="es-ES"/>
        </w:rPr>
      </w:pPr>
      <w:r>
        <w:rPr>
          <w:u w:val="single"/>
          <w:lang w:val="es-ES"/>
        </w:rPr>
        <w:tab/>
      </w:r>
      <w:r>
        <w:rPr>
          <w:u w:val="single"/>
          <w:lang w:val="es-ES"/>
        </w:rPr>
        <w:tab/>
      </w:r>
      <w:r>
        <w:rPr>
          <w:u w:val="single"/>
          <w:lang w:val="es-ES"/>
        </w:rPr>
        <w:tab/>
      </w:r>
    </w:p>
    <w:sectPr w:rsidR="00003951" w:rsidRPr="00003951" w:rsidSect="005709C6">
      <w:headerReference w:type="even" r:id="rId12"/>
      <w:headerReference w:type="default" r:id="rId13"/>
      <w:footerReference w:type="even" r:id="rId14"/>
      <w:footerReference w:type="default" r:id="rId15"/>
      <w:footerReference w:type="first" r:id="rId16"/>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A8" w:rsidRDefault="006D22A8">
      <w:r>
        <w:rPr>
          <w:lang w:val="en-US"/>
        </w:rPr>
        <w:tab/>
      </w:r>
      <w:r>
        <w:separator/>
      </w:r>
    </w:p>
  </w:endnote>
  <w:endnote w:type="continuationSeparator" w:id="0">
    <w:p w:rsidR="006D22A8" w:rsidRDefault="006D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iavlo Light">
    <w:altName w:val="Arial"/>
    <w:panose1 w:val="00000000000000000000"/>
    <w:charset w:val="00"/>
    <w:family w:val="swiss"/>
    <w:notTrueType/>
    <w:pitch w:val="default"/>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A8" w:rsidRPr="009A6F4A" w:rsidRDefault="006D22A8" w:rsidP="00011EC8">
    <w:pPr>
      <w:pStyle w:val="ad"/>
      <w:rPr>
        <w:lang w:val="en-US"/>
      </w:rPr>
    </w:pPr>
    <w:r>
      <w:rPr>
        <w:rStyle w:val="af"/>
      </w:rPr>
      <w:fldChar w:fldCharType="begin"/>
    </w:r>
    <w:r>
      <w:rPr>
        <w:rStyle w:val="af"/>
      </w:rPr>
      <w:instrText xml:space="preserve"> PAGE </w:instrText>
    </w:r>
    <w:r>
      <w:rPr>
        <w:rStyle w:val="af"/>
      </w:rPr>
      <w:fldChar w:fldCharType="separate"/>
    </w:r>
    <w:r w:rsidR="00481514">
      <w:rPr>
        <w:rStyle w:val="af"/>
        <w:noProof/>
      </w:rPr>
      <w:t>2</w:t>
    </w:r>
    <w:r>
      <w:rPr>
        <w:rStyle w:val="af"/>
      </w:rPr>
      <w:fldChar w:fldCharType="end"/>
    </w:r>
    <w:r>
      <w:rPr>
        <w:lang w:val="en-US"/>
      </w:rPr>
      <w:tab/>
      <w:t>GE.15-05017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A8" w:rsidRPr="009A6F4A" w:rsidRDefault="006D22A8" w:rsidP="00011EC8">
    <w:pPr>
      <w:pStyle w:val="ad"/>
      <w:rPr>
        <w:lang w:val="en-US"/>
      </w:rPr>
    </w:pPr>
    <w:r>
      <w:rPr>
        <w:lang w:val="en-US"/>
      </w:rPr>
      <w:t>GE.15-05017</w:t>
    </w:r>
    <w:r>
      <w:rPr>
        <w:lang w:val="en-US"/>
      </w:rPr>
      <w:tab/>
    </w:r>
    <w:r>
      <w:rPr>
        <w:rStyle w:val="af"/>
      </w:rPr>
      <w:fldChar w:fldCharType="begin"/>
    </w:r>
    <w:r>
      <w:rPr>
        <w:rStyle w:val="af"/>
      </w:rPr>
      <w:instrText xml:space="preserve"> PAGE </w:instrText>
    </w:r>
    <w:r>
      <w:rPr>
        <w:rStyle w:val="af"/>
      </w:rPr>
      <w:fldChar w:fldCharType="separate"/>
    </w:r>
    <w:r w:rsidR="00481514">
      <w:rPr>
        <w:rStyle w:val="af"/>
        <w:noProof/>
      </w:rPr>
      <w:t>65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bottom w:val="none" w:sz="0" w:space="0" w:color="auto"/>
      </w:tblBorders>
      <w:tblLook w:val="01E0" w:firstRow="1" w:lastRow="1" w:firstColumn="1" w:lastColumn="1" w:noHBand="0" w:noVBand="0"/>
    </w:tblPr>
    <w:tblGrid>
      <w:gridCol w:w="3634"/>
      <w:gridCol w:w="4625"/>
      <w:gridCol w:w="1596"/>
    </w:tblGrid>
    <w:tr w:rsidR="006D22A8" w:rsidTr="0059464F">
      <w:trPr>
        <w:cnfStyle w:val="100000000000" w:firstRow="1" w:lastRow="0" w:firstColumn="0" w:lastColumn="0" w:oddVBand="0" w:evenVBand="0" w:oddHBand="0" w:evenHBand="0" w:firstRowFirstColumn="0" w:firstRowLastColumn="0" w:lastRowFirstColumn="0" w:lastRowLastColumn="0"/>
        <w:trHeight w:val="438"/>
      </w:trPr>
      <w:tc>
        <w:tcPr>
          <w:tcW w:w="4068" w:type="dxa"/>
          <w:vAlign w:val="bottom"/>
        </w:tcPr>
        <w:p w:rsidR="006D22A8" w:rsidRPr="00AE5855" w:rsidRDefault="006D22A8" w:rsidP="004D7F6D">
          <w:pPr>
            <w:rPr>
              <w:sz w:val="20"/>
            </w:rPr>
          </w:pPr>
          <w:r>
            <w:rPr>
              <w:sz w:val="20"/>
              <w:lang w:val="en-US"/>
            </w:rPr>
            <w:t>GE.15</w:t>
          </w:r>
          <w:r w:rsidRPr="00AE5855">
            <w:rPr>
              <w:sz w:val="20"/>
              <w:lang w:val="en-US"/>
            </w:rPr>
            <w:t>-</w:t>
          </w:r>
          <w:r>
            <w:rPr>
              <w:sz w:val="20"/>
              <w:lang w:val="en-US"/>
            </w:rPr>
            <w:t>05017</w:t>
          </w:r>
          <w:r w:rsidRPr="00AE5855">
            <w:rPr>
              <w:sz w:val="20"/>
              <w:lang w:val="en-US"/>
            </w:rPr>
            <w:t xml:space="preserve">  (R)</w:t>
          </w:r>
          <w:r>
            <w:rPr>
              <w:sz w:val="20"/>
              <w:lang w:val="en-US"/>
            </w:rPr>
            <w:t xml:space="preserve">  180615  180615</w:t>
          </w:r>
        </w:p>
      </w:tc>
      <w:tc>
        <w:tcPr>
          <w:tcW w:w="4663" w:type="dxa"/>
          <w:vMerge w:val="restart"/>
          <w:vAlign w:val="bottom"/>
        </w:tcPr>
        <w:p w:rsidR="006D22A8" w:rsidRDefault="006D22A8" w:rsidP="0059464F">
          <w:pPr>
            <w:spacing w:after="120"/>
            <w:jc w:val="right"/>
          </w:pPr>
          <w:r>
            <w:rPr>
              <w:b/>
              <w:noProof/>
              <w:lang w:eastAsia="ru-RU"/>
            </w:rPr>
            <w:drawing>
              <wp:inline distT="0" distB="0" distL="0" distR="0" wp14:anchorId="7975E2E8" wp14:editId="3A8EE348">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22A8" w:rsidRDefault="006D22A8" w:rsidP="0059464F">
          <w:pPr>
            <w:jc w:val="right"/>
          </w:pPr>
          <w:r>
            <w:rPr>
              <w:noProof/>
              <w:lang w:eastAsia="ru-RU"/>
            </w:rPr>
            <w:drawing>
              <wp:inline distT="0" distB="0" distL="0" distR="0">
                <wp:extent cx="869315" cy="869315"/>
                <wp:effectExtent l="0" t="0" r="6985" b="6985"/>
                <wp:docPr id="3" name="Рисунок 3" descr="http://undocs.org/m2/QRCode2.ashx?DS=HRI/CORE/ESP/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ESP/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6D22A8" w:rsidRPr="00797A78" w:rsidTr="0059464F">
      <w:tc>
        <w:tcPr>
          <w:tcW w:w="4068" w:type="dxa"/>
          <w:vAlign w:val="bottom"/>
        </w:tcPr>
        <w:p w:rsidR="006D22A8" w:rsidRPr="009449FE" w:rsidRDefault="006D22A8" w:rsidP="0059464F">
          <w:pPr>
            <w:rPr>
              <w:rFonts w:ascii="C39T30Lfz" w:hAnsi="C39T30Lfz"/>
              <w:spacing w:val="0"/>
              <w:w w:val="100"/>
              <w:kern w:val="0"/>
              <w:sz w:val="56"/>
              <w:szCs w:val="56"/>
              <w:lang w:val="en-US" w:eastAsia="ru-RU"/>
            </w:rPr>
          </w:pPr>
          <w:r w:rsidRPr="009449FE">
            <w:rPr>
              <w:rFonts w:ascii="C39T30Lfz" w:hAnsi="C39T30Lfz"/>
              <w:spacing w:val="0"/>
              <w:w w:val="100"/>
              <w:kern w:val="0"/>
              <w:sz w:val="56"/>
              <w:szCs w:val="56"/>
              <w:lang w:val="en-US" w:eastAsia="ru-RU"/>
            </w:rPr>
            <w:t></w:t>
          </w:r>
          <w:r w:rsidRPr="009449FE">
            <w:rPr>
              <w:rFonts w:ascii="C39T30Lfz" w:hAnsi="C39T30Lfz"/>
              <w:spacing w:val="0"/>
              <w:w w:val="100"/>
              <w:kern w:val="0"/>
              <w:sz w:val="56"/>
              <w:szCs w:val="56"/>
              <w:lang w:val="en-US" w:eastAsia="ru-RU"/>
            </w:rPr>
            <w:t></w:t>
          </w:r>
          <w:r w:rsidRPr="009449FE">
            <w:rPr>
              <w:rFonts w:ascii="C39T30Lfz" w:hAnsi="C39T30Lfz"/>
              <w:spacing w:val="0"/>
              <w:w w:val="100"/>
              <w:kern w:val="0"/>
              <w:sz w:val="56"/>
              <w:szCs w:val="56"/>
              <w:lang w:val="en-US" w:eastAsia="ru-RU"/>
            </w:rPr>
            <w:t></w:t>
          </w:r>
          <w:r w:rsidRPr="009449FE">
            <w:rPr>
              <w:rFonts w:ascii="C39T30Lfz" w:hAnsi="C39T30Lfz"/>
              <w:spacing w:val="0"/>
              <w:w w:val="100"/>
              <w:kern w:val="0"/>
              <w:sz w:val="56"/>
              <w:szCs w:val="56"/>
              <w:lang w:val="en-US" w:eastAsia="ru-RU"/>
            </w:rPr>
            <w:t></w:t>
          </w:r>
          <w:r w:rsidRPr="009449FE">
            <w:rPr>
              <w:rFonts w:ascii="C39T30Lfz" w:hAnsi="C39T30Lfz"/>
              <w:spacing w:val="0"/>
              <w:w w:val="100"/>
              <w:kern w:val="0"/>
              <w:sz w:val="56"/>
              <w:szCs w:val="56"/>
              <w:lang w:val="en-US" w:eastAsia="ru-RU"/>
            </w:rPr>
            <w:t></w:t>
          </w:r>
          <w:r w:rsidRPr="009449FE">
            <w:rPr>
              <w:rFonts w:ascii="C39T30Lfz" w:hAnsi="C39T30Lfz"/>
              <w:spacing w:val="0"/>
              <w:w w:val="100"/>
              <w:kern w:val="0"/>
              <w:sz w:val="56"/>
              <w:szCs w:val="56"/>
              <w:lang w:val="en-US" w:eastAsia="ru-RU"/>
            </w:rPr>
            <w:t></w:t>
          </w:r>
          <w:r w:rsidRPr="009449FE">
            <w:rPr>
              <w:rFonts w:ascii="C39T30Lfz" w:hAnsi="C39T30Lfz"/>
              <w:spacing w:val="0"/>
              <w:w w:val="100"/>
              <w:kern w:val="0"/>
              <w:sz w:val="56"/>
              <w:szCs w:val="56"/>
              <w:lang w:val="en-US" w:eastAsia="ru-RU"/>
            </w:rPr>
            <w:t></w:t>
          </w:r>
          <w:r w:rsidRPr="009449FE">
            <w:rPr>
              <w:rFonts w:ascii="C39T30Lfz" w:hAnsi="C39T30Lfz"/>
              <w:spacing w:val="0"/>
              <w:w w:val="100"/>
              <w:kern w:val="0"/>
              <w:sz w:val="56"/>
              <w:szCs w:val="56"/>
              <w:lang w:val="en-US" w:eastAsia="ru-RU"/>
            </w:rPr>
            <w:t></w:t>
          </w:r>
          <w:r w:rsidRPr="009449FE">
            <w:rPr>
              <w:rFonts w:ascii="C39T30Lfz" w:hAnsi="C39T30Lfz"/>
              <w:spacing w:val="0"/>
              <w:w w:val="100"/>
              <w:kern w:val="0"/>
              <w:sz w:val="56"/>
              <w:szCs w:val="56"/>
              <w:lang w:val="en-US" w:eastAsia="ru-RU"/>
            </w:rPr>
            <w:t></w:t>
          </w:r>
        </w:p>
      </w:tc>
      <w:tc>
        <w:tcPr>
          <w:tcW w:w="4663" w:type="dxa"/>
          <w:vMerge/>
        </w:tcPr>
        <w:p w:rsidR="006D22A8" w:rsidRDefault="006D22A8" w:rsidP="0059464F"/>
      </w:tc>
      <w:tc>
        <w:tcPr>
          <w:tcW w:w="1124" w:type="dxa"/>
          <w:vMerge/>
        </w:tcPr>
        <w:p w:rsidR="006D22A8" w:rsidRDefault="006D22A8" w:rsidP="0059464F"/>
      </w:tc>
    </w:tr>
  </w:tbl>
  <w:p w:rsidR="006D22A8" w:rsidRDefault="006D22A8" w:rsidP="00AE5855">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A8" w:rsidRPr="00F71F63" w:rsidRDefault="006D22A8"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D22A8" w:rsidRPr="00F71F63" w:rsidRDefault="006D22A8" w:rsidP="00635E86">
      <w:pPr>
        <w:tabs>
          <w:tab w:val="right" w:pos="2155"/>
        </w:tabs>
        <w:spacing w:after="80" w:line="240" w:lineRule="auto"/>
        <w:rPr>
          <w:u w:val="single"/>
          <w:lang w:val="en-US"/>
        </w:rPr>
      </w:pPr>
      <w:r w:rsidRPr="00F71F63">
        <w:rPr>
          <w:u w:val="single"/>
          <w:lang w:val="en-US"/>
        </w:rPr>
        <w:tab/>
      </w:r>
    </w:p>
    <w:p w:rsidR="006D22A8" w:rsidRPr="00635E86" w:rsidRDefault="006D22A8" w:rsidP="00635E86">
      <w:pPr>
        <w:pStyle w:val="ad"/>
      </w:pPr>
    </w:p>
  </w:footnote>
  <w:footnote w:id="1">
    <w:p w:rsidR="006D22A8" w:rsidRPr="000231A1" w:rsidRDefault="006D22A8" w:rsidP="000231A1">
      <w:pPr>
        <w:pStyle w:val="af1"/>
        <w:rPr>
          <w:szCs w:val="18"/>
          <w:lang w:val="ru-RU"/>
        </w:rPr>
      </w:pPr>
      <w:r w:rsidRPr="00F66DA7">
        <w:rPr>
          <w:szCs w:val="18"/>
          <w:lang w:val="es-ES"/>
        </w:rPr>
        <w:tab/>
      </w:r>
      <w:r w:rsidRPr="00B1005E">
        <w:rPr>
          <w:rStyle w:val="ac"/>
          <w:sz w:val="20"/>
          <w:vertAlign w:val="baseline"/>
          <w:lang w:val="ru-RU"/>
        </w:rPr>
        <w:t>*</w:t>
      </w:r>
      <w:r w:rsidRPr="000231A1">
        <w:rPr>
          <w:szCs w:val="18"/>
          <w:lang w:val="ru-RU"/>
        </w:rPr>
        <w:tab/>
      </w:r>
      <w:r w:rsidRPr="00F66DA7">
        <w:rPr>
          <w:szCs w:val="18"/>
          <w:lang w:val="ru-RU"/>
        </w:rPr>
        <w:t>Настоящий документ выпускается без официального редактирования</w:t>
      </w:r>
      <w:r w:rsidRPr="000231A1">
        <w:rPr>
          <w:szCs w:val="18"/>
          <w:lang w:val="ru-RU"/>
        </w:rPr>
        <w:t>.</w:t>
      </w:r>
    </w:p>
  </w:footnote>
  <w:footnote w:id="2">
    <w:p w:rsidR="006D22A8" w:rsidRPr="000231A1" w:rsidRDefault="006D22A8" w:rsidP="000231A1">
      <w:pPr>
        <w:pStyle w:val="af1"/>
        <w:rPr>
          <w:szCs w:val="18"/>
          <w:lang w:val="ru-RU"/>
        </w:rPr>
      </w:pPr>
      <w:r w:rsidRPr="00B1005E">
        <w:rPr>
          <w:rStyle w:val="ac"/>
          <w:sz w:val="20"/>
          <w:vertAlign w:val="baseline"/>
          <w:lang w:val="ru-RU"/>
        </w:rPr>
        <w:tab/>
        <w:t>**</w:t>
      </w:r>
      <w:r w:rsidRPr="000231A1">
        <w:rPr>
          <w:rStyle w:val="ac"/>
          <w:szCs w:val="18"/>
          <w:lang w:val="ru-RU"/>
        </w:rPr>
        <w:tab/>
      </w:r>
      <w:r w:rsidRPr="00F66DA7">
        <w:rPr>
          <w:szCs w:val="18"/>
          <w:lang w:val="ru-RU"/>
        </w:rPr>
        <w:t>Приложения распространяются только на том языке, на котором они представлены</w:t>
      </w:r>
      <w:r w:rsidRPr="000231A1">
        <w:rPr>
          <w:szCs w:val="18"/>
          <w:lang w:val="ru-RU"/>
        </w:rPr>
        <w:t>.</w:t>
      </w:r>
    </w:p>
  </w:footnote>
  <w:footnote w:id="3">
    <w:p w:rsidR="006D22A8" w:rsidRPr="00D757EA" w:rsidRDefault="006D22A8">
      <w:pPr>
        <w:pStyle w:val="af1"/>
        <w:rPr>
          <w:lang w:val="ru-RU"/>
        </w:rPr>
      </w:pPr>
      <w:r w:rsidRPr="00256FF3">
        <w:rPr>
          <w:lang w:val="ru-RU"/>
        </w:rPr>
        <w:tab/>
      </w:r>
      <w:r>
        <w:rPr>
          <w:rStyle w:val="ac"/>
        </w:rPr>
        <w:footnoteRef/>
      </w:r>
      <w:r w:rsidRPr="00D757EA">
        <w:rPr>
          <w:lang w:val="ru-RU"/>
        </w:rPr>
        <w:tab/>
      </w:r>
      <w:r w:rsidRPr="00F66DA7">
        <w:rPr>
          <w:szCs w:val="18"/>
          <w:lang w:val="ru-RU"/>
        </w:rPr>
        <w:t xml:space="preserve">Согласно статье </w:t>
      </w:r>
      <w:r w:rsidRPr="00461732">
        <w:rPr>
          <w:szCs w:val="18"/>
          <w:lang w:val="ru-RU"/>
        </w:rPr>
        <w:t>2.1.</w:t>
      </w:r>
      <w:r w:rsidRPr="00F66DA7">
        <w:rPr>
          <w:szCs w:val="18"/>
          <w:lang w:val="es-ES"/>
        </w:rPr>
        <w:t>b</w:t>
      </w:r>
      <w:r w:rsidRPr="00461732">
        <w:rPr>
          <w:szCs w:val="18"/>
          <w:lang w:val="ru-RU"/>
        </w:rPr>
        <w:t xml:space="preserve">) </w:t>
      </w:r>
      <w:r w:rsidRPr="00F66DA7">
        <w:rPr>
          <w:szCs w:val="18"/>
          <w:lang w:val="ru-RU"/>
        </w:rPr>
        <w:t xml:space="preserve">Королевского законодательного указа № </w:t>
      </w:r>
      <w:r w:rsidRPr="00461732">
        <w:rPr>
          <w:szCs w:val="18"/>
          <w:lang w:val="ru-RU"/>
        </w:rPr>
        <w:t>1192/2012</w:t>
      </w:r>
      <w:r>
        <w:rPr>
          <w:szCs w:val="18"/>
          <w:lang w:val="ru-RU"/>
        </w:rPr>
        <w:t xml:space="preserve"> </w:t>
      </w:r>
      <w:r w:rsidRPr="00F66DA7">
        <w:rPr>
          <w:szCs w:val="18"/>
          <w:lang w:val="ru-RU"/>
        </w:rPr>
        <w:t>от</w:t>
      </w:r>
      <w:r w:rsidRPr="00461732">
        <w:rPr>
          <w:szCs w:val="18"/>
          <w:lang w:val="ru-RU"/>
        </w:rPr>
        <w:t xml:space="preserve"> 3 </w:t>
      </w:r>
      <w:r w:rsidRPr="00F66DA7">
        <w:rPr>
          <w:szCs w:val="18"/>
          <w:lang w:val="ru-RU"/>
        </w:rPr>
        <w:t xml:space="preserve">августа, этот предел установлен в размере </w:t>
      </w:r>
      <w:r w:rsidRPr="00461732">
        <w:rPr>
          <w:szCs w:val="18"/>
          <w:lang w:val="ru-RU"/>
        </w:rPr>
        <w:t>100</w:t>
      </w:r>
      <w:r w:rsidRPr="00F66DA7">
        <w:rPr>
          <w:szCs w:val="18"/>
          <w:lang w:val="ru-RU"/>
        </w:rPr>
        <w:t> </w:t>
      </w:r>
      <w:r w:rsidRPr="00461732">
        <w:rPr>
          <w:szCs w:val="18"/>
          <w:lang w:val="ru-RU"/>
        </w:rPr>
        <w:t>000</w:t>
      </w:r>
      <w:r w:rsidRPr="00F66DA7">
        <w:rPr>
          <w:szCs w:val="18"/>
          <w:lang w:val="ru-RU"/>
        </w:rPr>
        <w:t xml:space="preserve"> евро в</w:t>
      </w:r>
      <w:r>
        <w:rPr>
          <w:szCs w:val="18"/>
          <w:lang w:val="ru-RU"/>
        </w:rPr>
        <w:t xml:space="preserve"> </w:t>
      </w:r>
      <w:r w:rsidRPr="00F66DA7">
        <w:rPr>
          <w:szCs w:val="18"/>
          <w:lang w:val="ru-RU"/>
        </w:rPr>
        <w:t>годовом исчислении. Данный указ регулирует порядок получения застрахованными лицами и бенефициарами медицинской помощи в Испании за счет государственных сре</w:t>
      </w:r>
      <w:proofErr w:type="gramStart"/>
      <w:r w:rsidRPr="00F66DA7">
        <w:rPr>
          <w:szCs w:val="18"/>
          <w:lang w:val="ru-RU"/>
        </w:rPr>
        <w:t>дств в р</w:t>
      </w:r>
      <w:proofErr w:type="gramEnd"/>
      <w:r w:rsidRPr="00F66DA7">
        <w:rPr>
          <w:szCs w:val="18"/>
          <w:lang w:val="ru-RU"/>
        </w:rPr>
        <w:t>амках Национальной системы здравоохранения.</w:t>
      </w:r>
    </w:p>
  </w:footnote>
  <w:footnote w:id="4">
    <w:p w:rsidR="006D22A8" w:rsidRPr="00256FF3" w:rsidRDefault="006D22A8">
      <w:pPr>
        <w:pStyle w:val="af1"/>
        <w:rPr>
          <w:lang w:val="ru-RU"/>
        </w:rPr>
      </w:pPr>
      <w:r w:rsidRPr="00256FF3">
        <w:rPr>
          <w:lang w:val="ru-RU"/>
        </w:rPr>
        <w:tab/>
      </w:r>
      <w:r>
        <w:rPr>
          <w:rStyle w:val="ac"/>
        </w:rPr>
        <w:footnoteRef/>
      </w:r>
      <w:r w:rsidRPr="00256FF3">
        <w:rPr>
          <w:lang w:val="ru-RU"/>
        </w:rPr>
        <w:tab/>
      </w:r>
      <w:proofErr w:type="gramStart"/>
      <w:r w:rsidRPr="00E0494E">
        <w:rPr>
          <w:szCs w:val="18"/>
        </w:rPr>
        <w:t>www</w:t>
      </w:r>
      <w:r w:rsidRPr="00256FF3">
        <w:rPr>
          <w:szCs w:val="18"/>
          <w:lang w:val="ru-RU"/>
        </w:rPr>
        <w:t>.</w:t>
      </w:r>
      <w:proofErr w:type="spellStart"/>
      <w:r w:rsidRPr="00E0494E">
        <w:rPr>
          <w:szCs w:val="18"/>
        </w:rPr>
        <w:t>msssi</w:t>
      </w:r>
      <w:proofErr w:type="spellEnd"/>
      <w:r w:rsidRPr="00256FF3">
        <w:rPr>
          <w:szCs w:val="18"/>
          <w:lang w:val="ru-RU"/>
        </w:rPr>
        <w:t>.</w:t>
      </w:r>
      <w:r w:rsidRPr="00E0494E">
        <w:rPr>
          <w:szCs w:val="18"/>
        </w:rPr>
        <w:t>gob</w:t>
      </w:r>
      <w:r w:rsidRPr="00256FF3">
        <w:rPr>
          <w:szCs w:val="18"/>
          <w:lang w:val="ru-RU"/>
        </w:rPr>
        <w:t>.</w:t>
      </w:r>
      <w:proofErr w:type="spellStart"/>
      <w:r w:rsidRPr="00E0494E">
        <w:rPr>
          <w:szCs w:val="18"/>
        </w:rPr>
        <w:t>es</w:t>
      </w:r>
      <w:proofErr w:type="spellEnd"/>
      <w:r w:rsidRPr="00256FF3">
        <w:rPr>
          <w:szCs w:val="18"/>
          <w:lang w:val="ru-RU"/>
        </w:rPr>
        <w:t>/</w:t>
      </w:r>
      <w:proofErr w:type="spellStart"/>
      <w:r w:rsidRPr="00E0494E">
        <w:rPr>
          <w:szCs w:val="18"/>
        </w:rPr>
        <w:t>estadEstudios</w:t>
      </w:r>
      <w:proofErr w:type="spellEnd"/>
      <w:r w:rsidRPr="00256FF3">
        <w:rPr>
          <w:szCs w:val="18"/>
          <w:lang w:val="ru-RU"/>
        </w:rPr>
        <w:t>/</w:t>
      </w:r>
      <w:proofErr w:type="spellStart"/>
      <w:r w:rsidRPr="00E0494E">
        <w:rPr>
          <w:szCs w:val="18"/>
        </w:rPr>
        <w:t>estadisticas</w:t>
      </w:r>
      <w:proofErr w:type="spellEnd"/>
      <w:r w:rsidRPr="00256FF3">
        <w:rPr>
          <w:szCs w:val="18"/>
          <w:lang w:val="ru-RU"/>
        </w:rPr>
        <w:t>/</w:t>
      </w:r>
      <w:r w:rsidRPr="00E0494E">
        <w:rPr>
          <w:szCs w:val="18"/>
        </w:rPr>
        <w:t>docs</w:t>
      </w:r>
      <w:r w:rsidRPr="00256FF3">
        <w:rPr>
          <w:szCs w:val="18"/>
          <w:lang w:val="ru-RU"/>
        </w:rPr>
        <w:t>/</w:t>
      </w:r>
      <w:proofErr w:type="spellStart"/>
      <w:r w:rsidRPr="00E0494E">
        <w:rPr>
          <w:szCs w:val="18"/>
        </w:rPr>
        <w:t>EGSP</w:t>
      </w:r>
      <w:proofErr w:type="spellEnd"/>
      <w:r w:rsidRPr="00256FF3">
        <w:rPr>
          <w:szCs w:val="18"/>
          <w:lang w:val="ru-RU"/>
        </w:rPr>
        <w:t>2008/</w:t>
      </w:r>
      <w:r w:rsidRPr="00256FF3">
        <w:rPr>
          <w:szCs w:val="18"/>
          <w:lang w:val="ru-RU"/>
        </w:rPr>
        <w:br/>
      </w:r>
      <w:proofErr w:type="spellStart"/>
      <w:r w:rsidRPr="00E0494E">
        <w:rPr>
          <w:szCs w:val="18"/>
        </w:rPr>
        <w:t>egspPrincipalesResultados</w:t>
      </w:r>
      <w:proofErr w:type="spellEnd"/>
      <w:r w:rsidRPr="00256FF3">
        <w:rPr>
          <w:szCs w:val="18"/>
          <w:lang w:val="ru-RU"/>
        </w:rPr>
        <w:t>.</w:t>
      </w:r>
      <w:r w:rsidRPr="00E0494E">
        <w:rPr>
          <w:szCs w:val="18"/>
        </w:rPr>
        <w:t>pdf</w:t>
      </w:r>
      <w:r w:rsidRPr="00256FF3">
        <w:rPr>
          <w:szCs w:val="18"/>
          <w:lang w:val="ru-RU"/>
        </w:rPr>
        <w:t>.</w:t>
      </w:r>
      <w:proofErr w:type="gramEnd"/>
    </w:p>
  </w:footnote>
  <w:footnote w:id="5">
    <w:p w:rsidR="006D22A8" w:rsidRPr="00256FF3" w:rsidRDefault="006D22A8">
      <w:pPr>
        <w:pStyle w:val="af1"/>
        <w:rPr>
          <w:lang w:val="ru-RU"/>
        </w:rPr>
      </w:pPr>
      <w:r w:rsidRPr="00256FF3">
        <w:rPr>
          <w:lang w:val="ru-RU"/>
        </w:rPr>
        <w:tab/>
      </w:r>
      <w:r>
        <w:rPr>
          <w:rStyle w:val="ac"/>
        </w:rPr>
        <w:footnoteRef/>
      </w:r>
      <w:r w:rsidRPr="00256FF3">
        <w:rPr>
          <w:lang w:val="ru-RU"/>
        </w:rPr>
        <w:tab/>
      </w:r>
      <w:r w:rsidRPr="003E7EBB">
        <w:rPr>
          <w:szCs w:val="18"/>
        </w:rPr>
        <w:t>www</w:t>
      </w:r>
      <w:r w:rsidRPr="00256FF3">
        <w:rPr>
          <w:szCs w:val="18"/>
          <w:lang w:val="ru-RU"/>
        </w:rPr>
        <w:t>.</w:t>
      </w:r>
      <w:r w:rsidRPr="003E7EBB">
        <w:rPr>
          <w:szCs w:val="18"/>
        </w:rPr>
        <w:t>msssi</w:t>
      </w:r>
      <w:r w:rsidRPr="00256FF3">
        <w:rPr>
          <w:szCs w:val="18"/>
          <w:lang w:val="ru-RU"/>
        </w:rPr>
        <w:t>.</w:t>
      </w:r>
      <w:r w:rsidRPr="003E7EBB">
        <w:rPr>
          <w:szCs w:val="18"/>
        </w:rPr>
        <w:t>gob</w:t>
      </w:r>
      <w:r w:rsidRPr="00256FF3">
        <w:rPr>
          <w:szCs w:val="18"/>
          <w:lang w:val="ru-RU"/>
        </w:rPr>
        <w:t>.</w:t>
      </w:r>
      <w:r w:rsidRPr="003E7EBB">
        <w:rPr>
          <w:szCs w:val="18"/>
        </w:rPr>
        <w:t>es</w:t>
      </w:r>
      <w:r w:rsidRPr="00256FF3">
        <w:rPr>
          <w:szCs w:val="18"/>
          <w:lang w:val="ru-RU"/>
        </w:rPr>
        <w:t>/</w:t>
      </w:r>
      <w:r w:rsidRPr="003E7EBB">
        <w:rPr>
          <w:szCs w:val="18"/>
        </w:rPr>
        <w:t>estadEstudios</w:t>
      </w:r>
      <w:r w:rsidRPr="00256FF3">
        <w:rPr>
          <w:szCs w:val="18"/>
          <w:lang w:val="ru-RU"/>
        </w:rPr>
        <w:t>/</w:t>
      </w:r>
      <w:r w:rsidRPr="003E7EBB">
        <w:rPr>
          <w:szCs w:val="18"/>
        </w:rPr>
        <w:t>estadisticas</w:t>
      </w:r>
      <w:r w:rsidRPr="00256FF3">
        <w:rPr>
          <w:szCs w:val="18"/>
          <w:lang w:val="ru-RU"/>
        </w:rPr>
        <w:t>/</w:t>
      </w:r>
      <w:r w:rsidRPr="003E7EBB">
        <w:rPr>
          <w:szCs w:val="18"/>
        </w:rPr>
        <w:t>sisInfSanSNS</w:t>
      </w:r>
      <w:r w:rsidRPr="00256FF3">
        <w:rPr>
          <w:szCs w:val="18"/>
          <w:lang w:val="ru-RU"/>
        </w:rPr>
        <w:t>/</w:t>
      </w:r>
      <w:r w:rsidRPr="003E7EBB">
        <w:rPr>
          <w:szCs w:val="18"/>
        </w:rPr>
        <w:t>pdf</w:t>
      </w:r>
      <w:r w:rsidRPr="00256FF3">
        <w:rPr>
          <w:szCs w:val="18"/>
          <w:lang w:val="ru-RU"/>
        </w:rPr>
        <w:t>/</w:t>
      </w:r>
      <w:r w:rsidRPr="00256FF3">
        <w:rPr>
          <w:szCs w:val="18"/>
          <w:lang w:val="ru-RU"/>
        </w:rPr>
        <w:br/>
      </w:r>
      <w:r w:rsidRPr="003E7EBB">
        <w:rPr>
          <w:szCs w:val="18"/>
        </w:rPr>
        <w:t>SCSprincipalesResultados</w:t>
      </w:r>
      <w:r w:rsidRPr="00256FF3">
        <w:rPr>
          <w:szCs w:val="18"/>
          <w:lang w:val="ru-RU"/>
        </w:rPr>
        <w:t>.</w:t>
      </w:r>
      <w:r w:rsidRPr="003E7EBB">
        <w:rPr>
          <w:szCs w:val="18"/>
        </w:rPr>
        <w:t>pdf</w:t>
      </w:r>
      <w:r w:rsidRPr="00256FF3">
        <w:rPr>
          <w:szCs w:val="18"/>
          <w:lang w:val="ru-RU"/>
        </w:rPr>
        <w:t>.</w:t>
      </w:r>
    </w:p>
  </w:footnote>
  <w:footnote w:id="6">
    <w:p w:rsidR="006D22A8" w:rsidRPr="00256FF3" w:rsidRDefault="006D22A8">
      <w:pPr>
        <w:pStyle w:val="af1"/>
        <w:rPr>
          <w:lang w:val="ru-RU"/>
        </w:rPr>
      </w:pPr>
      <w:r w:rsidRPr="00256FF3">
        <w:rPr>
          <w:lang w:val="ru-RU"/>
        </w:rPr>
        <w:tab/>
      </w:r>
      <w:r>
        <w:rPr>
          <w:rStyle w:val="ac"/>
        </w:rPr>
        <w:footnoteRef/>
      </w:r>
      <w:r w:rsidRPr="00256FF3">
        <w:rPr>
          <w:lang w:val="ru-RU"/>
        </w:rPr>
        <w:tab/>
      </w:r>
      <w:r w:rsidRPr="0016128B">
        <w:rPr>
          <w:szCs w:val="18"/>
        </w:rPr>
        <w:t>www</w:t>
      </w:r>
      <w:r w:rsidRPr="00256FF3">
        <w:rPr>
          <w:szCs w:val="18"/>
          <w:lang w:val="ru-RU"/>
        </w:rPr>
        <w:t>.</w:t>
      </w:r>
      <w:r w:rsidRPr="0016128B">
        <w:rPr>
          <w:szCs w:val="18"/>
        </w:rPr>
        <w:t>mcu</w:t>
      </w:r>
      <w:r w:rsidRPr="00256FF3">
        <w:rPr>
          <w:szCs w:val="18"/>
          <w:lang w:val="ru-RU"/>
        </w:rPr>
        <w:t>.</w:t>
      </w:r>
      <w:r w:rsidRPr="0016128B">
        <w:rPr>
          <w:szCs w:val="18"/>
        </w:rPr>
        <w:t>es</w:t>
      </w:r>
      <w:r w:rsidRPr="00256FF3">
        <w:rPr>
          <w:szCs w:val="18"/>
          <w:lang w:val="ru-RU"/>
        </w:rPr>
        <w:t>/</w:t>
      </w:r>
      <w:r w:rsidRPr="0016128B">
        <w:rPr>
          <w:szCs w:val="18"/>
        </w:rPr>
        <w:t>estadisticas</w:t>
      </w:r>
      <w:r w:rsidRPr="00256FF3">
        <w:rPr>
          <w:szCs w:val="18"/>
          <w:lang w:val="ru-RU"/>
        </w:rPr>
        <w:t>/</w:t>
      </w:r>
      <w:r w:rsidRPr="0016128B">
        <w:rPr>
          <w:szCs w:val="18"/>
        </w:rPr>
        <w:t>MC</w:t>
      </w:r>
      <w:r w:rsidRPr="00256FF3">
        <w:rPr>
          <w:szCs w:val="18"/>
          <w:lang w:val="ru-RU"/>
        </w:rPr>
        <w:t>/</w:t>
      </w:r>
      <w:r w:rsidRPr="0016128B">
        <w:rPr>
          <w:szCs w:val="18"/>
        </w:rPr>
        <w:t>NAEC</w:t>
      </w:r>
      <w:r w:rsidRPr="00256FF3">
        <w:rPr>
          <w:szCs w:val="18"/>
          <w:lang w:val="ru-RU"/>
        </w:rPr>
        <w:t>/2013/</w:t>
      </w:r>
      <w:r w:rsidRPr="0016128B">
        <w:rPr>
          <w:szCs w:val="18"/>
        </w:rPr>
        <w:t>PresentacionAnuarioEC</w:t>
      </w:r>
      <w:r w:rsidRPr="00256FF3">
        <w:rPr>
          <w:szCs w:val="18"/>
          <w:lang w:val="ru-RU"/>
        </w:rPr>
        <w:t>2013.</w:t>
      </w:r>
      <w:r w:rsidRPr="0016128B">
        <w:rPr>
          <w:szCs w:val="18"/>
        </w:rPr>
        <w:t>html</w:t>
      </w:r>
      <w:r w:rsidRPr="00256FF3">
        <w:rPr>
          <w:szCs w:val="18"/>
          <w:lang w:val="ru-RU"/>
        </w:rPr>
        <w:t>.</w:t>
      </w:r>
    </w:p>
  </w:footnote>
  <w:footnote w:id="7">
    <w:p w:rsidR="00370CDC" w:rsidRPr="00370CDC" w:rsidRDefault="00370CDC">
      <w:pPr>
        <w:pStyle w:val="af1"/>
        <w:rPr>
          <w:lang w:val="ru-RU"/>
        </w:rPr>
      </w:pPr>
      <w:r w:rsidRPr="00256FF3">
        <w:rPr>
          <w:lang w:val="ru-RU"/>
        </w:rPr>
        <w:tab/>
      </w:r>
      <w:r>
        <w:rPr>
          <w:rStyle w:val="ac"/>
        </w:rPr>
        <w:footnoteRef/>
      </w:r>
      <w:r w:rsidRPr="00370CDC">
        <w:rPr>
          <w:lang w:val="ru-RU"/>
        </w:rPr>
        <w:tab/>
      </w:r>
      <w:r w:rsidRPr="003B0481">
        <w:rPr>
          <w:szCs w:val="18"/>
          <w:lang w:val="ru-RU"/>
        </w:rPr>
        <w:t>Организацией</w:t>
      </w:r>
      <w:r w:rsidRPr="00646C19">
        <w:rPr>
          <w:szCs w:val="18"/>
          <w:lang w:val="ru-RU"/>
        </w:rPr>
        <w:t xml:space="preserve"> </w:t>
      </w:r>
      <w:r w:rsidRPr="003B0481">
        <w:rPr>
          <w:szCs w:val="18"/>
          <w:lang w:val="ru-RU"/>
        </w:rPr>
        <w:t>этих</w:t>
      </w:r>
      <w:r w:rsidRPr="00646C19">
        <w:rPr>
          <w:szCs w:val="18"/>
          <w:lang w:val="ru-RU"/>
        </w:rPr>
        <w:t xml:space="preserve"> </w:t>
      </w:r>
      <w:r w:rsidRPr="003B0481">
        <w:rPr>
          <w:szCs w:val="18"/>
          <w:lang w:val="ru-RU"/>
        </w:rPr>
        <w:t>семинаров</w:t>
      </w:r>
      <w:r w:rsidRPr="00646C19">
        <w:rPr>
          <w:szCs w:val="18"/>
          <w:lang w:val="ru-RU"/>
        </w:rPr>
        <w:t xml:space="preserve"> </w:t>
      </w:r>
      <w:r w:rsidRPr="003B0481">
        <w:rPr>
          <w:szCs w:val="18"/>
          <w:lang w:val="ru-RU"/>
        </w:rPr>
        <w:t>занимаются</w:t>
      </w:r>
      <w:r w:rsidRPr="00646C19">
        <w:rPr>
          <w:szCs w:val="18"/>
          <w:lang w:val="ru-RU"/>
        </w:rPr>
        <w:t xml:space="preserve"> </w:t>
      </w:r>
      <w:r w:rsidRPr="003B0481">
        <w:rPr>
          <w:szCs w:val="18"/>
          <w:lang w:val="ru-RU"/>
        </w:rPr>
        <w:t>Министерства</w:t>
      </w:r>
      <w:r w:rsidRPr="00646C19">
        <w:rPr>
          <w:szCs w:val="18"/>
          <w:lang w:val="ru-RU"/>
        </w:rPr>
        <w:t xml:space="preserve"> </w:t>
      </w:r>
      <w:r w:rsidRPr="003B0481">
        <w:rPr>
          <w:szCs w:val="18"/>
          <w:lang w:val="ru-RU"/>
        </w:rPr>
        <w:t>обороны</w:t>
      </w:r>
      <w:r w:rsidRPr="00646C19">
        <w:rPr>
          <w:szCs w:val="18"/>
          <w:lang w:val="ru-RU"/>
        </w:rPr>
        <w:t xml:space="preserve">, </w:t>
      </w:r>
      <w:r w:rsidRPr="003B0481">
        <w:rPr>
          <w:szCs w:val="18"/>
          <w:lang w:val="ru-RU"/>
        </w:rPr>
        <w:t>иностранных дел и сотрудничества Нидерландов и Испании.</w:t>
      </w:r>
    </w:p>
  </w:footnote>
  <w:footnote w:id="8">
    <w:p w:rsidR="00370CDC" w:rsidRPr="00370CDC" w:rsidRDefault="00370CDC">
      <w:pPr>
        <w:pStyle w:val="af1"/>
        <w:rPr>
          <w:lang w:val="ru-RU"/>
        </w:rPr>
      </w:pPr>
      <w:r w:rsidRPr="00256FF3">
        <w:rPr>
          <w:lang w:val="ru-RU"/>
        </w:rPr>
        <w:tab/>
      </w:r>
      <w:r>
        <w:rPr>
          <w:rStyle w:val="ac"/>
        </w:rPr>
        <w:footnoteRef/>
      </w:r>
      <w:r w:rsidRPr="00256FF3">
        <w:rPr>
          <w:lang w:val="ru-RU"/>
        </w:rPr>
        <w:tab/>
      </w:r>
      <w:proofErr w:type="spellStart"/>
      <w:r w:rsidRPr="003B0481">
        <w:rPr>
          <w:szCs w:val="18"/>
          <w:lang w:val="ru-RU"/>
        </w:rPr>
        <w:t>ВИЦПНО</w:t>
      </w:r>
      <w:proofErr w:type="spellEnd"/>
      <w:r>
        <w:rPr>
          <w:szCs w:val="18"/>
          <w:lang w:val="ru-RU"/>
        </w:rPr>
        <w:t>.</w:t>
      </w:r>
    </w:p>
  </w:footnote>
  <w:footnote w:id="9">
    <w:p w:rsidR="0047230D" w:rsidRPr="00256FF3" w:rsidRDefault="0047230D">
      <w:pPr>
        <w:pStyle w:val="af1"/>
        <w:rPr>
          <w:lang w:val="ru-RU"/>
        </w:rPr>
      </w:pPr>
      <w:r w:rsidRPr="00256FF3">
        <w:rPr>
          <w:lang w:val="ru-RU"/>
        </w:rPr>
        <w:tab/>
      </w:r>
      <w:r>
        <w:rPr>
          <w:rStyle w:val="ac"/>
        </w:rPr>
        <w:footnoteRef/>
      </w:r>
      <w:r w:rsidRPr="00256FF3">
        <w:rPr>
          <w:lang w:val="ru-RU"/>
        </w:rPr>
        <w:tab/>
      </w:r>
      <w:r w:rsidRPr="0047230D">
        <w:rPr>
          <w:szCs w:val="18"/>
        </w:rPr>
        <w:t>www</w:t>
      </w:r>
      <w:r w:rsidRPr="00256FF3">
        <w:rPr>
          <w:szCs w:val="18"/>
          <w:lang w:val="ru-RU"/>
        </w:rPr>
        <w:t>.</w:t>
      </w:r>
      <w:r w:rsidRPr="0047230D">
        <w:rPr>
          <w:szCs w:val="18"/>
        </w:rPr>
        <w:t>msc</w:t>
      </w:r>
      <w:r w:rsidRPr="00256FF3">
        <w:rPr>
          <w:szCs w:val="18"/>
          <w:lang w:val="ru-RU"/>
        </w:rPr>
        <w:t>.</w:t>
      </w:r>
      <w:r w:rsidRPr="0047230D">
        <w:rPr>
          <w:szCs w:val="18"/>
        </w:rPr>
        <w:t>es</w:t>
      </w:r>
      <w:r w:rsidRPr="00256FF3">
        <w:rPr>
          <w:szCs w:val="18"/>
          <w:lang w:val="ru-RU"/>
        </w:rPr>
        <w:t>/</w:t>
      </w:r>
      <w:r w:rsidRPr="0047230D">
        <w:rPr>
          <w:szCs w:val="18"/>
        </w:rPr>
        <w:t>ssi</w:t>
      </w:r>
      <w:r w:rsidRPr="00256FF3">
        <w:rPr>
          <w:szCs w:val="18"/>
          <w:lang w:val="ru-RU"/>
        </w:rPr>
        <w:t>/</w:t>
      </w:r>
      <w:r w:rsidRPr="0047230D">
        <w:rPr>
          <w:szCs w:val="18"/>
        </w:rPr>
        <w:t>violenciaGenero</w:t>
      </w:r>
      <w:r w:rsidRPr="00256FF3">
        <w:rPr>
          <w:szCs w:val="18"/>
          <w:lang w:val="ru-RU"/>
        </w:rPr>
        <w:t>/</w:t>
      </w:r>
      <w:r w:rsidRPr="0047230D">
        <w:rPr>
          <w:szCs w:val="18"/>
        </w:rPr>
        <w:t>portalEstadistico</w:t>
      </w:r>
      <w:r w:rsidRPr="00256FF3">
        <w:rPr>
          <w:szCs w:val="18"/>
          <w:lang w:val="ru-RU"/>
        </w:rPr>
        <w:t>/</w:t>
      </w:r>
      <w:r w:rsidRPr="0047230D">
        <w:rPr>
          <w:szCs w:val="18"/>
        </w:rPr>
        <w:t>boletinmensual</w:t>
      </w:r>
      <w:r w:rsidRPr="00256FF3">
        <w:rPr>
          <w:szCs w:val="18"/>
          <w:lang w:val="ru-RU"/>
        </w:rPr>
        <w:t>/</w:t>
      </w:r>
      <w:r w:rsidRPr="0047230D">
        <w:rPr>
          <w:szCs w:val="18"/>
        </w:rPr>
        <w:t>home</w:t>
      </w:r>
      <w:r w:rsidRPr="00256FF3">
        <w:rPr>
          <w:szCs w:val="18"/>
          <w:lang w:val="ru-RU"/>
        </w:rPr>
        <w:t>.</w:t>
      </w:r>
      <w:r w:rsidRPr="0047230D">
        <w:rPr>
          <w:szCs w:val="18"/>
        </w:rPr>
        <w:t>htm</w:t>
      </w:r>
      <w:r w:rsidRPr="00256FF3">
        <w:rPr>
          <w:szCs w:val="18"/>
          <w:lang w:val="ru-RU"/>
        </w:rPr>
        <w:t>.</w:t>
      </w:r>
    </w:p>
  </w:footnote>
  <w:footnote w:id="10">
    <w:p w:rsidR="00F45CFB" w:rsidRPr="00256FF3" w:rsidRDefault="00F45CFB">
      <w:pPr>
        <w:pStyle w:val="af1"/>
        <w:rPr>
          <w:lang w:val="ru-RU"/>
        </w:rPr>
      </w:pPr>
      <w:r w:rsidRPr="00256FF3">
        <w:rPr>
          <w:lang w:val="ru-RU"/>
        </w:rPr>
        <w:tab/>
      </w:r>
      <w:r>
        <w:rPr>
          <w:rStyle w:val="ac"/>
        </w:rPr>
        <w:footnoteRef/>
      </w:r>
      <w:r w:rsidRPr="00256FF3">
        <w:rPr>
          <w:lang w:val="ru-RU"/>
        </w:rPr>
        <w:tab/>
      </w:r>
      <w:r w:rsidRPr="00F45CFB">
        <w:rPr>
          <w:szCs w:val="18"/>
        </w:rPr>
        <w:t>www</w:t>
      </w:r>
      <w:r w:rsidRPr="00256FF3">
        <w:rPr>
          <w:szCs w:val="18"/>
          <w:lang w:val="ru-RU"/>
        </w:rPr>
        <w:t>.</w:t>
      </w:r>
      <w:r w:rsidRPr="00F45CFB">
        <w:rPr>
          <w:szCs w:val="18"/>
        </w:rPr>
        <w:t>msssi</w:t>
      </w:r>
      <w:r w:rsidRPr="00256FF3">
        <w:rPr>
          <w:szCs w:val="18"/>
          <w:lang w:val="ru-RU"/>
        </w:rPr>
        <w:t>.</w:t>
      </w:r>
      <w:r w:rsidRPr="00F45CFB">
        <w:rPr>
          <w:szCs w:val="18"/>
        </w:rPr>
        <w:t>gob</w:t>
      </w:r>
      <w:r w:rsidRPr="00256FF3">
        <w:rPr>
          <w:szCs w:val="18"/>
          <w:lang w:val="ru-RU"/>
        </w:rPr>
        <w:t>.</w:t>
      </w:r>
      <w:r w:rsidRPr="00F45CFB">
        <w:rPr>
          <w:szCs w:val="18"/>
        </w:rPr>
        <w:t>es</w:t>
      </w:r>
      <w:r w:rsidRPr="00256FF3">
        <w:rPr>
          <w:szCs w:val="18"/>
          <w:lang w:val="ru-RU"/>
        </w:rPr>
        <w:t>/</w:t>
      </w:r>
      <w:r w:rsidRPr="00F45CFB">
        <w:rPr>
          <w:szCs w:val="18"/>
        </w:rPr>
        <w:t>ssi</w:t>
      </w:r>
      <w:r w:rsidRPr="00256FF3">
        <w:rPr>
          <w:szCs w:val="18"/>
          <w:lang w:val="ru-RU"/>
        </w:rPr>
        <w:t>/</w:t>
      </w:r>
      <w:r w:rsidRPr="00F45CFB">
        <w:rPr>
          <w:szCs w:val="18"/>
        </w:rPr>
        <w:t>violenciaGenero</w:t>
      </w:r>
      <w:r w:rsidRPr="00256FF3">
        <w:rPr>
          <w:szCs w:val="18"/>
          <w:lang w:val="ru-RU"/>
        </w:rPr>
        <w:t>/</w:t>
      </w:r>
      <w:r w:rsidRPr="00F45CFB">
        <w:rPr>
          <w:szCs w:val="18"/>
        </w:rPr>
        <w:t>tratadeMujeres</w:t>
      </w:r>
      <w:r w:rsidRPr="00256FF3">
        <w:rPr>
          <w:szCs w:val="18"/>
          <w:lang w:val="ru-RU"/>
        </w:rPr>
        <w:t>/</w:t>
      </w:r>
      <w:r w:rsidRPr="00F45CFB">
        <w:rPr>
          <w:szCs w:val="18"/>
        </w:rPr>
        <w:t>planIntegral</w:t>
      </w:r>
      <w:r w:rsidRPr="00256FF3">
        <w:rPr>
          <w:szCs w:val="18"/>
          <w:lang w:val="ru-RU"/>
        </w:rPr>
        <w:t>/</w:t>
      </w:r>
      <w:r w:rsidRPr="00F45CFB">
        <w:rPr>
          <w:szCs w:val="18"/>
        </w:rPr>
        <w:t>home</w:t>
      </w:r>
      <w:r w:rsidRPr="00256FF3">
        <w:rPr>
          <w:szCs w:val="18"/>
          <w:lang w:val="ru-RU"/>
        </w:rPr>
        <w:t>.</w:t>
      </w:r>
      <w:r w:rsidRPr="00F45CFB">
        <w:rPr>
          <w:szCs w:val="18"/>
        </w:rPr>
        <w:t>htm</w:t>
      </w:r>
      <w:r w:rsidRPr="00256FF3">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A8" w:rsidRPr="00DA2EAC" w:rsidRDefault="006D22A8">
    <w:pPr>
      <w:pStyle w:val="a9"/>
      <w:rPr>
        <w:lang w:val="en-US"/>
      </w:rPr>
    </w:pPr>
    <w:proofErr w:type="spellStart"/>
    <w:r>
      <w:rPr>
        <w:lang w:val="en-US"/>
      </w:rPr>
      <w:t>HRI</w:t>
    </w:r>
    <w:proofErr w:type="spellEnd"/>
    <w:r>
      <w:rPr>
        <w:lang w:val="en-US"/>
      </w:rPr>
      <w:t>/CORE/ESP/2015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A8" w:rsidRPr="009A6F4A" w:rsidRDefault="006D22A8">
    <w:pPr>
      <w:pStyle w:val="a9"/>
      <w:rPr>
        <w:lang w:val="en-US"/>
      </w:rPr>
    </w:pPr>
    <w:r>
      <w:rPr>
        <w:lang w:val="en-US"/>
      </w:rPr>
      <w:tab/>
    </w:r>
    <w:proofErr w:type="spellStart"/>
    <w:r>
      <w:rPr>
        <w:lang w:val="en-US"/>
      </w:rPr>
      <w:t>HRI</w:t>
    </w:r>
    <w:proofErr w:type="spellEnd"/>
    <w:r>
      <w:rPr>
        <w:lang w:val="en-US"/>
      </w:rPr>
      <w:t>/CORE/ESP/2015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24279B"/>
    <w:multiLevelType w:val="hybridMultilevel"/>
    <w:tmpl w:val="744AAF84"/>
    <w:lvl w:ilvl="0" w:tplc="79C8520E">
      <w:start w:val="1"/>
      <w:numFmt w:val="decimal"/>
      <w:lvlText w:val="%1."/>
      <w:lvlJc w:val="left"/>
      <w:pPr>
        <w:ind w:left="1134" w:firstLine="0"/>
      </w:pPr>
      <w:rPr>
        <w:rFonts w:hint="default"/>
        <w:b w:val="0"/>
        <w:bCs w:val="0"/>
        <w:i w:val="0"/>
        <w:i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35996011"/>
    <w:multiLevelType w:val="hybridMultilevel"/>
    <w:tmpl w:val="726633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D260EE"/>
    <w:multiLevelType w:val="hybridMultilevel"/>
    <w:tmpl w:val="F26813B4"/>
    <w:lvl w:ilvl="0" w:tplc="CAD83482">
      <w:start w:val="1"/>
      <w:numFmt w:val="decimal"/>
      <w:lvlText w:val="%1."/>
      <w:lvlJc w:val="left"/>
      <w:pPr>
        <w:ind w:left="1831" w:hanging="555"/>
      </w:pPr>
      <w:rPr>
        <w:rFonts w:hint="default"/>
        <w:b w:val="0"/>
        <w:bCs w:val="0"/>
        <w:i w:val="0"/>
        <w:i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694C4E2A"/>
    <w:multiLevelType w:val="hybridMultilevel"/>
    <w:tmpl w:val="BB50883C"/>
    <w:lvl w:ilvl="0" w:tplc="BDD40756">
      <w:start w:val="1"/>
      <w:numFmt w:val="decimal"/>
      <w:lvlText w:val="%1."/>
      <w:lvlJc w:val="left"/>
      <w:pPr>
        <w:ind w:left="1689" w:hanging="555"/>
      </w:pPr>
      <w:rPr>
        <w:rFonts w:hint="default"/>
        <w:b w:val="0"/>
        <w:bCs w:val="0"/>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C363014"/>
    <w:multiLevelType w:val="hybridMultilevel"/>
    <w:tmpl w:val="1C98660C"/>
    <w:lvl w:ilvl="0" w:tplc="04190001">
      <w:start w:val="1"/>
      <w:numFmt w:val="bullet"/>
      <w:lvlText w:val=""/>
      <w:lvlJc w:val="left"/>
      <w:pPr>
        <w:ind w:left="1134" w:firstLine="0"/>
      </w:pPr>
      <w:rPr>
        <w:rFonts w:ascii="Symbol" w:hAnsi="Symbol" w:hint="default"/>
        <w:b w:val="0"/>
        <w:bCs w:val="0"/>
        <w:i w:val="0"/>
        <w:i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8"/>
  </w:num>
  <w:num w:numId="2">
    <w:abstractNumId w:val="14"/>
  </w:num>
  <w:num w:numId="3">
    <w:abstractNumId w:val="16"/>
  </w:num>
  <w:num w:numId="4">
    <w:abstractNumId w:val="19"/>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4"/>
  </w:num>
  <w:num w:numId="19">
    <w:abstractNumId w:val="14"/>
  </w:num>
  <w:num w:numId="20">
    <w:abstractNumId w:val="18"/>
  </w:num>
  <w:num w:numId="21">
    <w:abstractNumId w:val="14"/>
  </w:num>
  <w:num w:numId="22">
    <w:abstractNumId w:val="16"/>
  </w:num>
  <w:num w:numId="23">
    <w:abstractNumId w:val="16"/>
  </w:num>
  <w:num w:numId="24">
    <w:abstractNumId w:val="20"/>
  </w:num>
  <w:num w:numId="25">
    <w:abstractNumId w:val="13"/>
  </w:num>
  <w:num w:numId="26">
    <w:abstractNumId w:val="12"/>
  </w:num>
  <w:num w:numId="27">
    <w:abstractNumId w:val="22"/>
  </w:num>
  <w:num w:numId="28">
    <w:abstractNumId w:val="21"/>
  </w:num>
  <w:num w:numId="29">
    <w:abstractNumId w:val="17"/>
  </w:num>
  <w:num w:numId="30">
    <w:abstractNumId w:val="1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6145"/>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6D"/>
    <w:rsid w:val="000033D8"/>
    <w:rsid w:val="00003951"/>
    <w:rsid w:val="00005C1C"/>
    <w:rsid w:val="00011EC8"/>
    <w:rsid w:val="00016553"/>
    <w:rsid w:val="000231A1"/>
    <w:rsid w:val="000233B3"/>
    <w:rsid w:val="00023E9E"/>
    <w:rsid w:val="00026B0C"/>
    <w:rsid w:val="0003638E"/>
    <w:rsid w:val="00036FF2"/>
    <w:rsid w:val="0004010A"/>
    <w:rsid w:val="00043D88"/>
    <w:rsid w:val="00046E4D"/>
    <w:rsid w:val="0006401A"/>
    <w:rsid w:val="00072C27"/>
    <w:rsid w:val="00083C96"/>
    <w:rsid w:val="00083F7E"/>
    <w:rsid w:val="000853E5"/>
    <w:rsid w:val="00085AF0"/>
    <w:rsid w:val="00086182"/>
    <w:rsid w:val="00090891"/>
    <w:rsid w:val="00092E62"/>
    <w:rsid w:val="00097227"/>
    <w:rsid w:val="00097975"/>
    <w:rsid w:val="000A3DDF"/>
    <w:rsid w:val="000A60A0"/>
    <w:rsid w:val="000C3688"/>
    <w:rsid w:val="000D6863"/>
    <w:rsid w:val="000F3FDD"/>
    <w:rsid w:val="001132E1"/>
    <w:rsid w:val="00117AEE"/>
    <w:rsid w:val="00121783"/>
    <w:rsid w:val="00121966"/>
    <w:rsid w:val="001463F7"/>
    <w:rsid w:val="00151607"/>
    <w:rsid w:val="0015769C"/>
    <w:rsid w:val="0016128B"/>
    <w:rsid w:val="00180752"/>
    <w:rsid w:val="00185076"/>
    <w:rsid w:val="0018543C"/>
    <w:rsid w:val="00190231"/>
    <w:rsid w:val="00192ABD"/>
    <w:rsid w:val="001A4D4F"/>
    <w:rsid w:val="001A75D5"/>
    <w:rsid w:val="001A7D40"/>
    <w:rsid w:val="001C741E"/>
    <w:rsid w:val="001D07F7"/>
    <w:rsid w:val="001D7B8F"/>
    <w:rsid w:val="001E48EE"/>
    <w:rsid w:val="001F2D04"/>
    <w:rsid w:val="001F4B40"/>
    <w:rsid w:val="0020059C"/>
    <w:rsid w:val="002019BD"/>
    <w:rsid w:val="00232D42"/>
    <w:rsid w:val="00237334"/>
    <w:rsid w:val="002444F4"/>
    <w:rsid w:val="00256FF3"/>
    <w:rsid w:val="0025735D"/>
    <w:rsid w:val="002629A0"/>
    <w:rsid w:val="0028492B"/>
    <w:rsid w:val="00291A4C"/>
    <w:rsid w:val="00291C8F"/>
    <w:rsid w:val="002C0AF0"/>
    <w:rsid w:val="002C5036"/>
    <w:rsid w:val="002C6A71"/>
    <w:rsid w:val="002C6D5F"/>
    <w:rsid w:val="002D15EA"/>
    <w:rsid w:val="002D6C07"/>
    <w:rsid w:val="002E0CE6"/>
    <w:rsid w:val="002E1163"/>
    <w:rsid w:val="002E43F3"/>
    <w:rsid w:val="00306041"/>
    <w:rsid w:val="003215F5"/>
    <w:rsid w:val="00332891"/>
    <w:rsid w:val="00347180"/>
    <w:rsid w:val="00356BB2"/>
    <w:rsid w:val="00360477"/>
    <w:rsid w:val="00367FC9"/>
    <w:rsid w:val="00370CDC"/>
    <w:rsid w:val="003711A1"/>
    <w:rsid w:val="00372123"/>
    <w:rsid w:val="00382B38"/>
    <w:rsid w:val="00386581"/>
    <w:rsid w:val="00387100"/>
    <w:rsid w:val="003951D3"/>
    <w:rsid w:val="003978C6"/>
    <w:rsid w:val="003A3F16"/>
    <w:rsid w:val="003B40A9"/>
    <w:rsid w:val="003C016E"/>
    <w:rsid w:val="003D40A3"/>
    <w:rsid w:val="003D5EBD"/>
    <w:rsid w:val="003E7EBB"/>
    <w:rsid w:val="00401CE0"/>
    <w:rsid w:val="00403234"/>
    <w:rsid w:val="00403B92"/>
    <w:rsid w:val="004047E3"/>
    <w:rsid w:val="00407515"/>
    <w:rsid w:val="00407AC3"/>
    <w:rsid w:val="00414586"/>
    <w:rsid w:val="00415059"/>
    <w:rsid w:val="00424FDD"/>
    <w:rsid w:val="0043033D"/>
    <w:rsid w:val="00434286"/>
    <w:rsid w:val="00435FE4"/>
    <w:rsid w:val="00457634"/>
    <w:rsid w:val="0046269B"/>
    <w:rsid w:val="0047230D"/>
    <w:rsid w:val="00474F42"/>
    <w:rsid w:val="00475C93"/>
    <w:rsid w:val="00481514"/>
    <w:rsid w:val="0048244D"/>
    <w:rsid w:val="004A0DE8"/>
    <w:rsid w:val="004A4CB7"/>
    <w:rsid w:val="004A57B5"/>
    <w:rsid w:val="004B19DA"/>
    <w:rsid w:val="004B39CD"/>
    <w:rsid w:val="004C2A53"/>
    <w:rsid w:val="004C3B35"/>
    <w:rsid w:val="004C43EC"/>
    <w:rsid w:val="004D19A6"/>
    <w:rsid w:val="004D7F6D"/>
    <w:rsid w:val="004E6729"/>
    <w:rsid w:val="004F0E47"/>
    <w:rsid w:val="00506B7B"/>
    <w:rsid w:val="0051339C"/>
    <w:rsid w:val="0051412F"/>
    <w:rsid w:val="00522B6F"/>
    <w:rsid w:val="0052430E"/>
    <w:rsid w:val="005259F3"/>
    <w:rsid w:val="005276AD"/>
    <w:rsid w:val="00533C6F"/>
    <w:rsid w:val="00540A9A"/>
    <w:rsid w:val="00543522"/>
    <w:rsid w:val="00545680"/>
    <w:rsid w:val="005507FC"/>
    <w:rsid w:val="0056618E"/>
    <w:rsid w:val="005709C6"/>
    <w:rsid w:val="0057105A"/>
    <w:rsid w:val="00576F59"/>
    <w:rsid w:val="00577A34"/>
    <w:rsid w:val="00580AAD"/>
    <w:rsid w:val="0058388A"/>
    <w:rsid w:val="00593A04"/>
    <w:rsid w:val="0059464F"/>
    <w:rsid w:val="00594672"/>
    <w:rsid w:val="0059684D"/>
    <w:rsid w:val="005A6D5A"/>
    <w:rsid w:val="005B1B28"/>
    <w:rsid w:val="005B7D51"/>
    <w:rsid w:val="005B7F35"/>
    <w:rsid w:val="005C2081"/>
    <w:rsid w:val="005C678A"/>
    <w:rsid w:val="005D346D"/>
    <w:rsid w:val="005D39E3"/>
    <w:rsid w:val="005E6A69"/>
    <w:rsid w:val="005E74AB"/>
    <w:rsid w:val="005E76E2"/>
    <w:rsid w:val="00606A3E"/>
    <w:rsid w:val="006115AA"/>
    <w:rsid w:val="006120AE"/>
    <w:rsid w:val="00635E86"/>
    <w:rsid w:val="00636A37"/>
    <w:rsid w:val="0064628C"/>
    <w:rsid w:val="00646C19"/>
    <w:rsid w:val="006501A5"/>
    <w:rsid w:val="006567B2"/>
    <w:rsid w:val="00662ADE"/>
    <w:rsid w:val="00664106"/>
    <w:rsid w:val="006756F1"/>
    <w:rsid w:val="00677773"/>
    <w:rsid w:val="006805FC"/>
    <w:rsid w:val="006926C7"/>
    <w:rsid w:val="00694C37"/>
    <w:rsid w:val="006959CD"/>
    <w:rsid w:val="006A1BEB"/>
    <w:rsid w:val="006A401C"/>
    <w:rsid w:val="006A7C6E"/>
    <w:rsid w:val="006B23D9"/>
    <w:rsid w:val="006C1814"/>
    <w:rsid w:val="006C2F45"/>
    <w:rsid w:val="006C361A"/>
    <w:rsid w:val="006C5657"/>
    <w:rsid w:val="006D22A8"/>
    <w:rsid w:val="006D5E4E"/>
    <w:rsid w:val="006E4245"/>
    <w:rsid w:val="006E6860"/>
    <w:rsid w:val="006E7183"/>
    <w:rsid w:val="006F5FBF"/>
    <w:rsid w:val="006F7F50"/>
    <w:rsid w:val="00702683"/>
    <w:rsid w:val="0070327E"/>
    <w:rsid w:val="00707B5F"/>
    <w:rsid w:val="00714E1F"/>
    <w:rsid w:val="0072016A"/>
    <w:rsid w:val="00735602"/>
    <w:rsid w:val="00747F5B"/>
    <w:rsid w:val="0075279B"/>
    <w:rsid w:val="00753748"/>
    <w:rsid w:val="00762446"/>
    <w:rsid w:val="007706F9"/>
    <w:rsid w:val="007802AA"/>
    <w:rsid w:val="00781ACB"/>
    <w:rsid w:val="007A79EB"/>
    <w:rsid w:val="007B5F99"/>
    <w:rsid w:val="007D4CA0"/>
    <w:rsid w:val="007D7A23"/>
    <w:rsid w:val="007E38C3"/>
    <w:rsid w:val="007E549E"/>
    <w:rsid w:val="007E71C9"/>
    <w:rsid w:val="007F22C6"/>
    <w:rsid w:val="007F7553"/>
    <w:rsid w:val="00805A18"/>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11F6"/>
    <w:rsid w:val="008A2C8F"/>
    <w:rsid w:val="008A3879"/>
    <w:rsid w:val="008A5FA8"/>
    <w:rsid w:val="008A7575"/>
    <w:rsid w:val="008B5F47"/>
    <w:rsid w:val="008C7B87"/>
    <w:rsid w:val="008D6A7A"/>
    <w:rsid w:val="008E3E87"/>
    <w:rsid w:val="008E7F13"/>
    <w:rsid w:val="008F3185"/>
    <w:rsid w:val="00915B0A"/>
    <w:rsid w:val="00926904"/>
    <w:rsid w:val="009372F0"/>
    <w:rsid w:val="00937C6D"/>
    <w:rsid w:val="009449FE"/>
    <w:rsid w:val="00955022"/>
    <w:rsid w:val="009565D5"/>
    <w:rsid w:val="00957B4D"/>
    <w:rsid w:val="009647FA"/>
    <w:rsid w:val="00964EEA"/>
    <w:rsid w:val="00980C86"/>
    <w:rsid w:val="009B1D9B"/>
    <w:rsid w:val="009B4074"/>
    <w:rsid w:val="009C30BB"/>
    <w:rsid w:val="009C60BE"/>
    <w:rsid w:val="009E29DC"/>
    <w:rsid w:val="009E6279"/>
    <w:rsid w:val="009F00A6"/>
    <w:rsid w:val="009F56A7"/>
    <w:rsid w:val="009F5B05"/>
    <w:rsid w:val="00A026CA"/>
    <w:rsid w:val="00A06572"/>
    <w:rsid w:val="00A07232"/>
    <w:rsid w:val="00A14800"/>
    <w:rsid w:val="00A156DE"/>
    <w:rsid w:val="00A157ED"/>
    <w:rsid w:val="00A2446A"/>
    <w:rsid w:val="00A4025D"/>
    <w:rsid w:val="00A46956"/>
    <w:rsid w:val="00A6090F"/>
    <w:rsid w:val="00A6625D"/>
    <w:rsid w:val="00A800D1"/>
    <w:rsid w:val="00A92699"/>
    <w:rsid w:val="00A97490"/>
    <w:rsid w:val="00AA59FA"/>
    <w:rsid w:val="00AB5BF0"/>
    <w:rsid w:val="00AC1C95"/>
    <w:rsid w:val="00AC2CCB"/>
    <w:rsid w:val="00AC443A"/>
    <w:rsid w:val="00AE5855"/>
    <w:rsid w:val="00AE60E2"/>
    <w:rsid w:val="00AE6FC5"/>
    <w:rsid w:val="00B0169F"/>
    <w:rsid w:val="00B04F3D"/>
    <w:rsid w:val="00B05F21"/>
    <w:rsid w:val="00B1005E"/>
    <w:rsid w:val="00B14ABC"/>
    <w:rsid w:val="00B14EA9"/>
    <w:rsid w:val="00B30A3C"/>
    <w:rsid w:val="00B81305"/>
    <w:rsid w:val="00BA086E"/>
    <w:rsid w:val="00BB17DC"/>
    <w:rsid w:val="00BB1AF9"/>
    <w:rsid w:val="00BB4C4A"/>
    <w:rsid w:val="00BC21A4"/>
    <w:rsid w:val="00BD3CAE"/>
    <w:rsid w:val="00BD5F3C"/>
    <w:rsid w:val="00C07C0F"/>
    <w:rsid w:val="00C145C4"/>
    <w:rsid w:val="00C20D2F"/>
    <w:rsid w:val="00C2131B"/>
    <w:rsid w:val="00C3486D"/>
    <w:rsid w:val="00C37AF8"/>
    <w:rsid w:val="00C37C79"/>
    <w:rsid w:val="00C41BBC"/>
    <w:rsid w:val="00C51419"/>
    <w:rsid w:val="00C54056"/>
    <w:rsid w:val="00C663A3"/>
    <w:rsid w:val="00C67FB8"/>
    <w:rsid w:val="00C75CB2"/>
    <w:rsid w:val="00C90723"/>
    <w:rsid w:val="00C90D5C"/>
    <w:rsid w:val="00CA5223"/>
    <w:rsid w:val="00CA5AC8"/>
    <w:rsid w:val="00CA609E"/>
    <w:rsid w:val="00CA7DA4"/>
    <w:rsid w:val="00CB31FB"/>
    <w:rsid w:val="00CE3D6F"/>
    <w:rsid w:val="00CE79A5"/>
    <w:rsid w:val="00CE79AF"/>
    <w:rsid w:val="00CF0042"/>
    <w:rsid w:val="00CF262F"/>
    <w:rsid w:val="00D025D5"/>
    <w:rsid w:val="00D24818"/>
    <w:rsid w:val="00D26B13"/>
    <w:rsid w:val="00D26CC1"/>
    <w:rsid w:val="00D30662"/>
    <w:rsid w:val="00D32A0B"/>
    <w:rsid w:val="00D6236B"/>
    <w:rsid w:val="00D757EA"/>
    <w:rsid w:val="00D809D1"/>
    <w:rsid w:val="00D84ECF"/>
    <w:rsid w:val="00D86313"/>
    <w:rsid w:val="00DA2851"/>
    <w:rsid w:val="00DA2B7C"/>
    <w:rsid w:val="00DA5686"/>
    <w:rsid w:val="00DB2FC0"/>
    <w:rsid w:val="00DD74C3"/>
    <w:rsid w:val="00DF18FA"/>
    <w:rsid w:val="00DF49CA"/>
    <w:rsid w:val="00DF775B"/>
    <w:rsid w:val="00E007F3"/>
    <w:rsid w:val="00E00DEA"/>
    <w:rsid w:val="00E0494E"/>
    <w:rsid w:val="00E060E9"/>
    <w:rsid w:val="00E06EF0"/>
    <w:rsid w:val="00E11679"/>
    <w:rsid w:val="00E3029A"/>
    <w:rsid w:val="00E307D1"/>
    <w:rsid w:val="00E46A04"/>
    <w:rsid w:val="00E717F3"/>
    <w:rsid w:val="00E72C5E"/>
    <w:rsid w:val="00E73451"/>
    <w:rsid w:val="00E7489F"/>
    <w:rsid w:val="00E75147"/>
    <w:rsid w:val="00E7598A"/>
    <w:rsid w:val="00E8167D"/>
    <w:rsid w:val="00E81F96"/>
    <w:rsid w:val="00E907E9"/>
    <w:rsid w:val="00E96BE7"/>
    <w:rsid w:val="00EA2CD0"/>
    <w:rsid w:val="00EC0044"/>
    <w:rsid w:val="00EC6B9F"/>
    <w:rsid w:val="00ED5DE5"/>
    <w:rsid w:val="00EE36F2"/>
    <w:rsid w:val="00EE516D"/>
    <w:rsid w:val="00EF31C2"/>
    <w:rsid w:val="00EF4D1B"/>
    <w:rsid w:val="00EF7295"/>
    <w:rsid w:val="00F069D1"/>
    <w:rsid w:val="00F1503D"/>
    <w:rsid w:val="00F22712"/>
    <w:rsid w:val="00F275F5"/>
    <w:rsid w:val="00F33188"/>
    <w:rsid w:val="00F35372"/>
    <w:rsid w:val="00F35BDE"/>
    <w:rsid w:val="00F45CFB"/>
    <w:rsid w:val="00F52A0E"/>
    <w:rsid w:val="00F71F63"/>
    <w:rsid w:val="00F81558"/>
    <w:rsid w:val="00F85BB9"/>
    <w:rsid w:val="00F87506"/>
    <w:rsid w:val="00F92C41"/>
    <w:rsid w:val="00FA5522"/>
    <w:rsid w:val="00FA6E4A"/>
    <w:rsid w:val="00FB2B35"/>
    <w:rsid w:val="00FB629B"/>
    <w:rsid w:val="00FC4AE1"/>
    <w:rsid w:val="00FD78A3"/>
    <w:rsid w:val="00FE0E94"/>
    <w:rsid w:val="00FF2102"/>
    <w:rsid w:val="00FF49C2"/>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nhideWhenUsed="1" w:qFormat="1"/>
    <w:lsdException w:name="footnote reference"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uiPriority w:val="99"/>
    <w:rsid w:val="005709C6"/>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uiPriority w:val="99"/>
    <w:rsid w:val="008120D4"/>
    <w:rPr>
      <w:rFonts w:ascii="Times New Roman" w:hAnsi="Times New Roman"/>
      <w:dstrike w:val="0"/>
      <w:sz w:val="18"/>
      <w:vertAlign w:val="superscript"/>
    </w:rPr>
  </w:style>
  <w:style w:type="paragraph" w:styleId="ad">
    <w:name w:val="footer"/>
    <w:aliases w:val="3_GR,3_G"/>
    <w:basedOn w:val="a2"/>
    <w:link w:val="ae"/>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uiPriority w:val="99"/>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4">
    <w:name w:val="Body Text First Indent 2"/>
    <w:basedOn w:val="af9"/>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2">
    <w:name w:val="FollowedHyperlink"/>
    <w:basedOn w:val="a3"/>
    <w:uiPriority w:val="99"/>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uiPriority w:val="99"/>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rsid w:val="00011EC8"/>
    <w:pPr>
      <w:spacing w:line="240" w:lineRule="auto"/>
    </w:pPr>
    <w:rPr>
      <w:rFonts w:ascii="Tahoma" w:hAnsi="Tahoma" w:cs="Tahoma"/>
      <w:sz w:val="16"/>
      <w:szCs w:val="16"/>
    </w:rPr>
  </w:style>
  <w:style w:type="character" w:customStyle="1" w:styleId="afff1">
    <w:name w:val="Текст выноски Знак"/>
    <w:basedOn w:val="a3"/>
    <w:link w:val="afff0"/>
    <w:uiPriority w:val="99"/>
    <w:rsid w:val="00011EC8"/>
    <w:rPr>
      <w:rFonts w:ascii="Tahoma" w:hAnsi="Tahoma" w:cs="Tahoma"/>
      <w:spacing w:val="4"/>
      <w:w w:val="103"/>
      <w:kern w:val="14"/>
      <w:sz w:val="16"/>
      <w:szCs w:val="16"/>
      <w:lang w:eastAsia="en-US"/>
    </w:rPr>
  </w:style>
  <w:style w:type="paragraph" w:customStyle="1" w:styleId="HMG">
    <w:name w:val="_ H __M_G"/>
    <w:basedOn w:val="a2"/>
    <w:next w:val="a2"/>
    <w:uiPriority w:val="99"/>
    <w:rsid w:val="00646C19"/>
    <w:pPr>
      <w:keepNext/>
      <w:keepLines/>
      <w:tabs>
        <w:tab w:val="right" w:pos="851"/>
      </w:tabs>
      <w:suppressAutoHyphens/>
      <w:spacing w:before="240" w:after="240" w:line="360" w:lineRule="exact"/>
      <w:ind w:left="1134" w:right="1134" w:hanging="1134"/>
    </w:pPr>
    <w:rPr>
      <w:b/>
      <w:spacing w:val="0"/>
      <w:w w:val="100"/>
      <w:kern w:val="0"/>
      <w:sz w:val="34"/>
      <w:lang w:val="fr-CH"/>
    </w:rPr>
  </w:style>
  <w:style w:type="paragraph" w:customStyle="1" w:styleId="HChG">
    <w:name w:val="_ H _Ch_G"/>
    <w:basedOn w:val="a2"/>
    <w:next w:val="a2"/>
    <w:rsid w:val="00646C19"/>
    <w:pPr>
      <w:keepNext/>
      <w:keepLines/>
      <w:tabs>
        <w:tab w:val="right" w:pos="851"/>
      </w:tabs>
      <w:suppressAutoHyphens/>
      <w:spacing w:before="360" w:after="240" w:line="300" w:lineRule="exact"/>
      <w:ind w:left="1134" w:right="1134" w:hanging="1134"/>
    </w:pPr>
    <w:rPr>
      <w:b/>
      <w:spacing w:val="0"/>
      <w:w w:val="100"/>
      <w:kern w:val="0"/>
      <w:sz w:val="28"/>
      <w:lang w:val="fr-CH"/>
    </w:rPr>
  </w:style>
  <w:style w:type="paragraph" w:customStyle="1" w:styleId="H1G">
    <w:name w:val="_ H_1_G"/>
    <w:basedOn w:val="a2"/>
    <w:next w:val="a2"/>
    <w:rsid w:val="00646C19"/>
    <w:pPr>
      <w:keepNext/>
      <w:keepLines/>
      <w:tabs>
        <w:tab w:val="right" w:pos="851"/>
      </w:tabs>
      <w:suppressAutoHyphens/>
      <w:spacing w:before="240" w:after="240" w:line="270" w:lineRule="exact"/>
      <w:ind w:left="1134" w:right="1134" w:hanging="1134"/>
    </w:pPr>
    <w:rPr>
      <w:b/>
      <w:spacing w:val="0"/>
      <w:w w:val="100"/>
      <w:kern w:val="0"/>
      <w:sz w:val="24"/>
    </w:rPr>
  </w:style>
  <w:style w:type="paragraph" w:customStyle="1" w:styleId="H23G">
    <w:name w:val="_ H_2/3_G"/>
    <w:basedOn w:val="a2"/>
    <w:next w:val="a2"/>
    <w:rsid w:val="00646C19"/>
    <w:pPr>
      <w:keepNext/>
      <w:keepLines/>
      <w:tabs>
        <w:tab w:val="right" w:pos="851"/>
      </w:tabs>
      <w:suppressAutoHyphens/>
      <w:spacing w:before="240" w:after="120" w:line="240" w:lineRule="exact"/>
      <w:ind w:left="1134" w:right="1134" w:hanging="1134"/>
    </w:pPr>
    <w:rPr>
      <w:b/>
      <w:spacing w:val="0"/>
      <w:w w:val="100"/>
      <w:kern w:val="0"/>
    </w:rPr>
  </w:style>
  <w:style w:type="paragraph" w:customStyle="1" w:styleId="H4G">
    <w:name w:val="_ H_4_G"/>
    <w:basedOn w:val="a2"/>
    <w:next w:val="a2"/>
    <w:rsid w:val="00646C19"/>
    <w:pPr>
      <w:keepNext/>
      <w:keepLines/>
      <w:tabs>
        <w:tab w:val="right" w:pos="851"/>
      </w:tabs>
      <w:suppressAutoHyphens/>
      <w:spacing w:before="240" w:after="120" w:line="240" w:lineRule="exact"/>
      <w:ind w:left="1134" w:right="1134" w:hanging="1134"/>
    </w:pPr>
    <w:rPr>
      <w:i/>
      <w:spacing w:val="0"/>
      <w:w w:val="100"/>
      <w:kern w:val="0"/>
      <w:lang w:val="fr-CH"/>
    </w:rPr>
  </w:style>
  <w:style w:type="paragraph" w:customStyle="1" w:styleId="H56G">
    <w:name w:val="_ H_5/6_G"/>
    <w:basedOn w:val="a2"/>
    <w:next w:val="a2"/>
    <w:rsid w:val="00646C19"/>
    <w:pPr>
      <w:keepNext/>
      <w:keepLines/>
      <w:tabs>
        <w:tab w:val="right" w:pos="851"/>
      </w:tabs>
      <w:suppressAutoHyphens/>
      <w:spacing w:before="240" w:after="120" w:line="240" w:lineRule="exact"/>
      <w:ind w:left="1134" w:right="1134" w:hanging="1134"/>
    </w:pPr>
    <w:rPr>
      <w:spacing w:val="0"/>
      <w:w w:val="100"/>
      <w:kern w:val="0"/>
      <w:lang w:val="fr-CH"/>
    </w:rPr>
  </w:style>
  <w:style w:type="paragraph" w:customStyle="1" w:styleId="SingleTxtG">
    <w:name w:val="_ Single Txt_G"/>
    <w:basedOn w:val="a2"/>
    <w:link w:val="SingleTxtGCar"/>
    <w:uiPriority w:val="99"/>
    <w:rsid w:val="00646C19"/>
    <w:pPr>
      <w:tabs>
        <w:tab w:val="left" w:pos="1701"/>
        <w:tab w:val="left" w:pos="2126"/>
      </w:tabs>
      <w:suppressAutoHyphens/>
      <w:spacing w:after="120"/>
      <w:ind w:left="1134" w:right="1134"/>
      <w:jc w:val="both"/>
    </w:pPr>
    <w:rPr>
      <w:spacing w:val="0"/>
      <w:w w:val="100"/>
      <w:kern w:val="0"/>
    </w:rPr>
  </w:style>
  <w:style w:type="paragraph" w:customStyle="1" w:styleId="SMG">
    <w:name w:val="__S_M_G"/>
    <w:basedOn w:val="a2"/>
    <w:next w:val="a2"/>
    <w:rsid w:val="00646C19"/>
    <w:pPr>
      <w:keepNext/>
      <w:keepLines/>
      <w:suppressAutoHyphens/>
      <w:spacing w:before="240" w:after="240" w:line="420" w:lineRule="exact"/>
      <w:ind w:left="1134" w:right="1134"/>
    </w:pPr>
    <w:rPr>
      <w:b/>
      <w:spacing w:val="0"/>
      <w:w w:val="100"/>
      <w:kern w:val="0"/>
      <w:sz w:val="40"/>
      <w:lang w:val="fr-CH"/>
    </w:rPr>
  </w:style>
  <w:style w:type="paragraph" w:customStyle="1" w:styleId="SLG">
    <w:name w:val="__S_L_G"/>
    <w:basedOn w:val="a2"/>
    <w:next w:val="a2"/>
    <w:rsid w:val="00646C19"/>
    <w:pPr>
      <w:keepNext/>
      <w:keepLines/>
      <w:suppressAutoHyphens/>
      <w:spacing w:before="240" w:after="240" w:line="580" w:lineRule="exact"/>
      <w:ind w:left="1134" w:right="1134"/>
    </w:pPr>
    <w:rPr>
      <w:b/>
      <w:spacing w:val="0"/>
      <w:w w:val="100"/>
      <w:kern w:val="0"/>
      <w:sz w:val="56"/>
      <w:lang w:val="fr-CH"/>
    </w:rPr>
  </w:style>
  <w:style w:type="paragraph" w:customStyle="1" w:styleId="SSG">
    <w:name w:val="__S_S_G"/>
    <w:basedOn w:val="a2"/>
    <w:next w:val="a2"/>
    <w:rsid w:val="00646C19"/>
    <w:pPr>
      <w:keepNext/>
      <w:keepLines/>
      <w:suppressAutoHyphens/>
      <w:spacing w:before="240" w:after="240" w:line="300" w:lineRule="exact"/>
      <w:ind w:left="1134" w:right="1134"/>
    </w:pPr>
    <w:rPr>
      <w:b/>
      <w:spacing w:val="0"/>
      <w:w w:val="100"/>
      <w:kern w:val="0"/>
      <w:sz w:val="28"/>
      <w:lang w:val="fr-CH"/>
    </w:rPr>
  </w:style>
  <w:style w:type="paragraph" w:customStyle="1" w:styleId="XLargeG">
    <w:name w:val="__XLarge_G"/>
    <w:basedOn w:val="a2"/>
    <w:next w:val="a2"/>
    <w:rsid w:val="00646C19"/>
    <w:pPr>
      <w:keepNext/>
      <w:keepLines/>
      <w:suppressAutoHyphens/>
      <w:spacing w:before="240" w:after="240" w:line="420" w:lineRule="exact"/>
      <w:ind w:left="1134" w:right="1134"/>
    </w:pPr>
    <w:rPr>
      <w:b/>
      <w:spacing w:val="0"/>
      <w:w w:val="100"/>
      <w:kern w:val="0"/>
      <w:sz w:val="40"/>
      <w:lang w:val="fr-CH"/>
    </w:rPr>
  </w:style>
  <w:style w:type="table" w:styleId="-30">
    <w:name w:val="Table Web 3"/>
    <w:basedOn w:val="a4"/>
    <w:rsid w:val="00646C1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G">
    <w:name w:val="_Bullet 1_G"/>
    <w:basedOn w:val="a2"/>
    <w:rsid w:val="00646C19"/>
    <w:pPr>
      <w:numPr>
        <w:numId w:val="24"/>
      </w:numPr>
      <w:suppressAutoHyphens/>
      <w:spacing w:after="120"/>
      <w:ind w:right="1134"/>
      <w:jc w:val="both"/>
    </w:pPr>
    <w:rPr>
      <w:spacing w:val="0"/>
      <w:w w:val="100"/>
      <w:kern w:val="0"/>
      <w:lang w:val="fr-CH"/>
    </w:rPr>
  </w:style>
  <w:style w:type="paragraph" w:customStyle="1" w:styleId="Bullet2G">
    <w:name w:val="_Bullet 2_G"/>
    <w:basedOn w:val="a2"/>
    <w:rsid w:val="00646C19"/>
    <w:pPr>
      <w:numPr>
        <w:numId w:val="25"/>
      </w:numPr>
      <w:suppressAutoHyphens/>
      <w:spacing w:after="120"/>
      <w:ind w:right="1134"/>
      <w:jc w:val="both"/>
    </w:pPr>
    <w:rPr>
      <w:spacing w:val="0"/>
      <w:w w:val="100"/>
      <w:kern w:val="0"/>
      <w:lang w:val="fr-CH"/>
    </w:rPr>
  </w:style>
  <w:style w:type="character" w:customStyle="1" w:styleId="af3">
    <w:name w:val="Текст сноски Знак"/>
    <w:aliases w:val="5_GR Знак,5_G Знак"/>
    <w:link w:val="af1"/>
    <w:rsid w:val="00646C19"/>
    <w:rPr>
      <w:spacing w:val="5"/>
      <w:w w:val="104"/>
      <w:kern w:val="14"/>
      <w:sz w:val="18"/>
      <w:lang w:val="en-GB"/>
    </w:rPr>
  </w:style>
  <w:style w:type="paragraph" w:customStyle="1" w:styleId="NoSpacing1">
    <w:name w:val="No Spacing1"/>
    <w:aliases w:val="RRI"/>
    <w:link w:val="SinespaciadoCar"/>
    <w:uiPriority w:val="99"/>
    <w:rsid w:val="00646C19"/>
    <w:pPr>
      <w:widowControl w:val="0"/>
      <w:autoSpaceDE w:val="0"/>
      <w:autoSpaceDN w:val="0"/>
      <w:adjustRightInd w:val="0"/>
    </w:pPr>
    <w:rPr>
      <w:rFonts w:eastAsia="Calibri"/>
      <w:sz w:val="22"/>
      <w:szCs w:val="22"/>
      <w:lang w:val="es-ES" w:eastAsia="es-CL"/>
    </w:rPr>
  </w:style>
  <w:style w:type="character" w:customStyle="1" w:styleId="aa">
    <w:name w:val="Верхний колонтитул Знак"/>
    <w:aliases w:val="6_GR Знак,6_G Знак"/>
    <w:link w:val="a9"/>
    <w:locked/>
    <w:rsid w:val="00646C19"/>
    <w:rPr>
      <w:b/>
      <w:sz w:val="18"/>
      <w:lang w:val="en-GB"/>
    </w:rPr>
  </w:style>
  <w:style w:type="character" w:customStyle="1" w:styleId="ae">
    <w:name w:val="Нижний колонтитул Знак"/>
    <w:aliases w:val="3_GR Знак,3_G Знак"/>
    <w:link w:val="ad"/>
    <w:locked/>
    <w:rsid w:val="00646C19"/>
    <w:rPr>
      <w:sz w:val="16"/>
      <w:lang w:val="en-GB"/>
    </w:rPr>
  </w:style>
  <w:style w:type="character" w:customStyle="1" w:styleId="highlightedsearchterm">
    <w:name w:val="highlightedsearchterm"/>
    <w:uiPriority w:val="99"/>
    <w:rsid w:val="00646C19"/>
    <w:rPr>
      <w:rFonts w:cs="Times New Roman"/>
    </w:rPr>
  </w:style>
  <w:style w:type="paragraph" w:styleId="afff2">
    <w:name w:val="List Paragraph"/>
    <w:basedOn w:val="a2"/>
    <w:uiPriority w:val="99"/>
    <w:qFormat/>
    <w:rsid w:val="00646C19"/>
    <w:pPr>
      <w:spacing w:line="240" w:lineRule="auto"/>
      <w:ind w:left="720"/>
      <w:contextualSpacing/>
    </w:pPr>
    <w:rPr>
      <w:spacing w:val="0"/>
      <w:w w:val="100"/>
      <w:kern w:val="0"/>
      <w:sz w:val="24"/>
      <w:szCs w:val="24"/>
      <w:lang w:val="es-MX" w:eastAsia="es-ES"/>
    </w:rPr>
  </w:style>
  <w:style w:type="character" w:customStyle="1" w:styleId="estilo6">
    <w:name w:val="estilo6"/>
    <w:uiPriority w:val="99"/>
    <w:rsid w:val="00646C19"/>
    <w:rPr>
      <w:rFonts w:cs="Times New Roman"/>
    </w:rPr>
  </w:style>
  <w:style w:type="character" w:customStyle="1" w:styleId="af2">
    <w:name w:val="Текст концевой сноски Знак"/>
    <w:aliases w:val="2_GR Знак,2_G Знак"/>
    <w:link w:val="af0"/>
    <w:uiPriority w:val="99"/>
    <w:locked/>
    <w:rsid w:val="00646C19"/>
    <w:rPr>
      <w:spacing w:val="5"/>
      <w:w w:val="104"/>
      <w:kern w:val="14"/>
      <w:sz w:val="18"/>
      <w:lang w:val="en-GB"/>
    </w:rPr>
  </w:style>
  <w:style w:type="character" w:customStyle="1" w:styleId="SingleTxtGCar">
    <w:name w:val="_ Single Txt_G Car"/>
    <w:link w:val="SingleTxtG"/>
    <w:uiPriority w:val="99"/>
    <w:locked/>
    <w:rsid w:val="00646C19"/>
    <w:rPr>
      <w:lang w:eastAsia="en-US"/>
    </w:rPr>
  </w:style>
  <w:style w:type="character" w:customStyle="1" w:styleId="SinespaciadoCar">
    <w:name w:val="Sin espaciado Car"/>
    <w:link w:val="NoSpacing1"/>
    <w:uiPriority w:val="99"/>
    <w:locked/>
    <w:rsid w:val="00646C19"/>
    <w:rPr>
      <w:rFonts w:eastAsia="Calibri"/>
      <w:sz w:val="22"/>
      <w:szCs w:val="22"/>
      <w:lang w:val="es-ES" w:eastAsia="es-CL"/>
    </w:rPr>
  </w:style>
  <w:style w:type="paragraph" w:styleId="afff3">
    <w:name w:val="annotation text"/>
    <w:basedOn w:val="a2"/>
    <w:link w:val="afff4"/>
    <w:rsid w:val="00646C19"/>
    <w:pPr>
      <w:spacing w:line="240" w:lineRule="auto"/>
    </w:pPr>
    <w:rPr>
      <w:rFonts w:eastAsia="Calibri"/>
      <w:spacing w:val="0"/>
      <w:w w:val="100"/>
      <w:kern w:val="0"/>
      <w:lang w:val="es-ES"/>
    </w:rPr>
  </w:style>
  <w:style w:type="character" w:customStyle="1" w:styleId="afff4">
    <w:name w:val="Текст примечания Знак"/>
    <w:basedOn w:val="a3"/>
    <w:link w:val="afff3"/>
    <w:rsid w:val="00646C19"/>
    <w:rPr>
      <w:rFonts w:eastAsia="Calibri"/>
      <w:lang w:val="es-ES" w:eastAsia="en-US"/>
    </w:rPr>
  </w:style>
  <w:style w:type="paragraph" w:styleId="afff5">
    <w:name w:val="annotation subject"/>
    <w:basedOn w:val="afff3"/>
    <w:next w:val="afff3"/>
    <w:link w:val="afff6"/>
    <w:rsid w:val="00646C19"/>
    <w:rPr>
      <w:b/>
      <w:bCs/>
    </w:rPr>
  </w:style>
  <w:style w:type="character" w:customStyle="1" w:styleId="afff6">
    <w:name w:val="Тема примечания Знак"/>
    <w:basedOn w:val="afff4"/>
    <w:link w:val="afff5"/>
    <w:rsid w:val="00646C19"/>
    <w:rPr>
      <w:rFonts w:eastAsia="Calibri"/>
      <w:b/>
      <w:bCs/>
      <w:lang w:val="es-ES" w:eastAsia="en-US"/>
    </w:rPr>
  </w:style>
  <w:style w:type="paragraph" w:styleId="afff7">
    <w:name w:val="Revision"/>
    <w:hidden/>
    <w:uiPriority w:val="99"/>
    <w:semiHidden/>
    <w:rsid w:val="00646C19"/>
    <w:rPr>
      <w:rFonts w:eastAsia="Calibri"/>
      <w:sz w:val="24"/>
      <w:szCs w:val="22"/>
      <w:lang w:val="es-ES" w:eastAsia="en-US"/>
    </w:rPr>
  </w:style>
  <w:style w:type="paragraph" w:customStyle="1" w:styleId="parrafo1">
    <w:name w:val="parrafo1"/>
    <w:basedOn w:val="a2"/>
    <w:rsid w:val="00646C19"/>
    <w:pPr>
      <w:spacing w:before="180" w:after="180" w:line="240" w:lineRule="auto"/>
      <w:ind w:firstLine="360"/>
      <w:jc w:val="both"/>
    </w:pPr>
    <w:rPr>
      <w:rFonts w:eastAsia="Calibri"/>
      <w:spacing w:val="0"/>
      <w:w w:val="100"/>
      <w:kern w:val="0"/>
      <w:sz w:val="24"/>
      <w:szCs w:val="24"/>
      <w:lang w:val="es-ES" w:eastAsia="es-ES"/>
    </w:rPr>
  </w:style>
  <w:style w:type="paragraph" w:customStyle="1" w:styleId="Default">
    <w:name w:val="Default"/>
    <w:rsid w:val="00646C19"/>
    <w:pPr>
      <w:autoSpaceDE w:val="0"/>
      <w:autoSpaceDN w:val="0"/>
      <w:adjustRightInd w:val="0"/>
    </w:pPr>
    <w:rPr>
      <w:rFonts w:ascii="Arial" w:hAnsi="Arial" w:cs="Arial"/>
      <w:color w:val="000000"/>
      <w:sz w:val="24"/>
      <w:szCs w:val="24"/>
      <w:lang w:val="es-ES" w:eastAsia="es-ES"/>
    </w:rPr>
  </w:style>
  <w:style w:type="paragraph" w:customStyle="1" w:styleId="CM111">
    <w:name w:val="CM111"/>
    <w:basedOn w:val="Default"/>
    <w:next w:val="Default"/>
    <w:rsid w:val="00646C19"/>
    <w:rPr>
      <w:rFonts w:ascii="Diavlo Light" w:hAnsi="Diavlo Light" w:cs="Times New Roman"/>
      <w:color w:val="auto"/>
    </w:rPr>
  </w:style>
  <w:style w:type="paragraph" w:customStyle="1" w:styleId="CM4">
    <w:name w:val="CM4"/>
    <w:basedOn w:val="Default"/>
    <w:next w:val="Default"/>
    <w:rsid w:val="00646C19"/>
    <w:pPr>
      <w:spacing w:line="211" w:lineRule="atLeast"/>
    </w:pPr>
    <w:rPr>
      <w:rFonts w:ascii="Diavlo Light" w:hAnsi="Diavlo Light" w:cs="Times New Roman"/>
      <w:color w:val="auto"/>
    </w:rPr>
  </w:style>
  <w:style w:type="paragraph" w:styleId="17">
    <w:name w:val="toc 1"/>
    <w:basedOn w:val="a2"/>
    <w:next w:val="a2"/>
    <w:autoRedefine/>
    <w:uiPriority w:val="39"/>
    <w:rsid w:val="00646C19"/>
    <w:pPr>
      <w:tabs>
        <w:tab w:val="right" w:pos="1134"/>
        <w:tab w:val="left" w:pos="1418"/>
        <w:tab w:val="left" w:pos="1843"/>
        <w:tab w:val="right" w:leader="dot" w:pos="7938"/>
        <w:tab w:val="right" w:pos="8931"/>
        <w:tab w:val="right" w:pos="9638"/>
      </w:tabs>
      <w:spacing w:after="100"/>
    </w:pPr>
    <w:rPr>
      <w:spacing w:val="0"/>
      <w:w w:val="100"/>
      <w:kern w:val="0"/>
      <w:lang w:val="es-ES" w:eastAsia="es-ES"/>
    </w:rPr>
  </w:style>
  <w:style w:type="paragraph" w:styleId="2f">
    <w:name w:val="toc 2"/>
    <w:basedOn w:val="a2"/>
    <w:next w:val="a2"/>
    <w:autoRedefine/>
    <w:uiPriority w:val="39"/>
    <w:rsid w:val="00646C19"/>
    <w:pPr>
      <w:tabs>
        <w:tab w:val="right" w:pos="1134"/>
        <w:tab w:val="left" w:pos="1560"/>
        <w:tab w:val="right" w:leader="dot" w:pos="7655"/>
        <w:tab w:val="right" w:pos="8931"/>
        <w:tab w:val="right" w:pos="9638"/>
      </w:tabs>
      <w:spacing w:after="100"/>
      <w:ind w:left="200"/>
    </w:pPr>
    <w:rPr>
      <w:spacing w:val="0"/>
      <w:w w:val="100"/>
      <w:kern w:val="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nhideWhenUsed="1" w:qFormat="1"/>
    <w:lsdException w:name="footnote reference"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uiPriority w:val="99"/>
    <w:rsid w:val="005709C6"/>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uiPriority w:val="99"/>
    <w:rsid w:val="008120D4"/>
    <w:rPr>
      <w:rFonts w:ascii="Times New Roman" w:hAnsi="Times New Roman"/>
      <w:dstrike w:val="0"/>
      <w:sz w:val="18"/>
      <w:vertAlign w:val="superscript"/>
    </w:rPr>
  </w:style>
  <w:style w:type="paragraph" w:styleId="ad">
    <w:name w:val="footer"/>
    <w:aliases w:val="3_GR,3_G"/>
    <w:basedOn w:val="a2"/>
    <w:link w:val="ae"/>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uiPriority w:val="99"/>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4">
    <w:name w:val="Body Text First Indent 2"/>
    <w:basedOn w:val="af9"/>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2">
    <w:name w:val="FollowedHyperlink"/>
    <w:basedOn w:val="a3"/>
    <w:uiPriority w:val="99"/>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uiPriority w:val="99"/>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rsid w:val="00011EC8"/>
    <w:pPr>
      <w:spacing w:line="240" w:lineRule="auto"/>
    </w:pPr>
    <w:rPr>
      <w:rFonts w:ascii="Tahoma" w:hAnsi="Tahoma" w:cs="Tahoma"/>
      <w:sz w:val="16"/>
      <w:szCs w:val="16"/>
    </w:rPr>
  </w:style>
  <w:style w:type="character" w:customStyle="1" w:styleId="afff1">
    <w:name w:val="Текст выноски Знак"/>
    <w:basedOn w:val="a3"/>
    <w:link w:val="afff0"/>
    <w:uiPriority w:val="99"/>
    <w:rsid w:val="00011EC8"/>
    <w:rPr>
      <w:rFonts w:ascii="Tahoma" w:hAnsi="Tahoma" w:cs="Tahoma"/>
      <w:spacing w:val="4"/>
      <w:w w:val="103"/>
      <w:kern w:val="14"/>
      <w:sz w:val="16"/>
      <w:szCs w:val="16"/>
      <w:lang w:eastAsia="en-US"/>
    </w:rPr>
  </w:style>
  <w:style w:type="paragraph" w:customStyle="1" w:styleId="HMG">
    <w:name w:val="_ H __M_G"/>
    <w:basedOn w:val="a2"/>
    <w:next w:val="a2"/>
    <w:uiPriority w:val="99"/>
    <w:rsid w:val="00646C19"/>
    <w:pPr>
      <w:keepNext/>
      <w:keepLines/>
      <w:tabs>
        <w:tab w:val="right" w:pos="851"/>
      </w:tabs>
      <w:suppressAutoHyphens/>
      <w:spacing w:before="240" w:after="240" w:line="360" w:lineRule="exact"/>
      <w:ind w:left="1134" w:right="1134" w:hanging="1134"/>
    </w:pPr>
    <w:rPr>
      <w:b/>
      <w:spacing w:val="0"/>
      <w:w w:val="100"/>
      <w:kern w:val="0"/>
      <w:sz w:val="34"/>
      <w:lang w:val="fr-CH"/>
    </w:rPr>
  </w:style>
  <w:style w:type="paragraph" w:customStyle="1" w:styleId="HChG">
    <w:name w:val="_ H _Ch_G"/>
    <w:basedOn w:val="a2"/>
    <w:next w:val="a2"/>
    <w:rsid w:val="00646C19"/>
    <w:pPr>
      <w:keepNext/>
      <w:keepLines/>
      <w:tabs>
        <w:tab w:val="right" w:pos="851"/>
      </w:tabs>
      <w:suppressAutoHyphens/>
      <w:spacing w:before="360" w:after="240" w:line="300" w:lineRule="exact"/>
      <w:ind w:left="1134" w:right="1134" w:hanging="1134"/>
    </w:pPr>
    <w:rPr>
      <w:b/>
      <w:spacing w:val="0"/>
      <w:w w:val="100"/>
      <w:kern w:val="0"/>
      <w:sz w:val="28"/>
      <w:lang w:val="fr-CH"/>
    </w:rPr>
  </w:style>
  <w:style w:type="paragraph" w:customStyle="1" w:styleId="H1G">
    <w:name w:val="_ H_1_G"/>
    <w:basedOn w:val="a2"/>
    <w:next w:val="a2"/>
    <w:rsid w:val="00646C19"/>
    <w:pPr>
      <w:keepNext/>
      <w:keepLines/>
      <w:tabs>
        <w:tab w:val="right" w:pos="851"/>
      </w:tabs>
      <w:suppressAutoHyphens/>
      <w:spacing w:before="240" w:after="240" w:line="270" w:lineRule="exact"/>
      <w:ind w:left="1134" w:right="1134" w:hanging="1134"/>
    </w:pPr>
    <w:rPr>
      <w:b/>
      <w:spacing w:val="0"/>
      <w:w w:val="100"/>
      <w:kern w:val="0"/>
      <w:sz w:val="24"/>
    </w:rPr>
  </w:style>
  <w:style w:type="paragraph" w:customStyle="1" w:styleId="H23G">
    <w:name w:val="_ H_2/3_G"/>
    <w:basedOn w:val="a2"/>
    <w:next w:val="a2"/>
    <w:rsid w:val="00646C19"/>
    <w:pPr>
      <w:keepNext/>
      <w:keepLines/>
      <w:tabs>
        <w:tab w:val="right" w:pos="851"/>
      </w:tabs>
      <w:suppressAutoHyphens/>
      <w:spacing w:before="240" w:after="120" w:line="240" w:lineRule="exact"/>
      <w:ind w:left="1134" w:right="1134" w:hanging="1134"/>
    </w:pPr>
    <w:rPr>
      <w:b/>
      <w:spacing w:val="0"/>
      <w:w w:val="100"/>
      <w:kern w:val="0"/>
    </w:rPr>
  </w:style>
  <w:style w:type="paragraph" w:customStyle="1" w:styleId="H4G">
    <w:name w:val="_ H_4_G"/>
    <w:basedOn w:val="a2"/>
    <w:next w:val="a2"/>
    <w:rsid w:val="00646C19"/>
    <w:pPr>
      <w:keepNext/>
      <w:keepLines/>
      <w:tabs>
        <w:tab w:val="right" w:pos="851"/>
      </w:tabs>
      <w:suppressAutoHyphens/>
      <w:spacing w:before="240" w:after="120" w:line="240" w:lineRule="exact"/>
      <w:ind w:left="1134" w:right="1134" w:hanging="1134"/>
    </w:pPr>
    <w:rPr>
      <w:i/>
      <w:spacing w:val="0"/>
      <w:w w:val="100"/>
      <w:kern w:val="0"/>
      <w:lang w:val="fr-CH"/>
    </w:rPr>
  </w:style>
  <w:style w:type="paragraph" w:customStyle="1" w:styleId="H56G">
    <w:name w:val="_ H_5/6_G"/>
    <w:basedOn w:val="a2"/>
    <w:next w:val="a2"/>
    <w:rsid w:val="00646C19"/>
    <w:pPr>
      <w:keepNext/>
      <w:keepLines/>
      <w:tabs>
        <w:tab w:val="right" w:pos="851"/>
      </w:tabs>
      <w:suppressAutoHyphens/>
      <w:spacing w:before="240" w:after="120" w:line="240" w:lineRule="exact"/>
      <w:ind w:left="1134" w:right="1134" w:hanging="1134"/>
    </w:pPr>
    <w:rPr>
      <w:spacing w:val="0"/>
      <w:w w:val="100"/>
      <w:kern w:val="0"/>
      <w:lang w:val="fr-CH"/>
    </w:rPr>
  </w:style>
  <w:style w:type="paragraph" w:customStyle="1" w:styleId="SingleTxtG">
    <w:name w:val="_ Single Txt_G"/>
    <w:basedOn w:val="a2"/>
    <w:link w:val="SingleTxtGCar"/>
    <w:uiPriority w:val="99"/>
    <w:rsid w:val="00646C19"/>
    <w:pPr>
      <w:tabs>
        <w:tab w:val="left" w:pos="1701"/>
        <w:tab w:val="left" w:pos="2126"/>
      </w:tabs>
      <w:suppressAutoHyphens/>
      <w:spacing w:after="120"/>
      <w:ind w:left="1134" w:right="1134"/>
      <w:jc w:val="both"/>
    </w:pPr>
    <w:rPr>
      <w:spacing w:val="0"/>
      <w:w w:val="100"/>
      <w:kern w:val="0"/>
    </w:rPr>
  </w:style>
  <w:style w:type="paragraph" w:customStyle="1" w:styleId="SMG">
    <w:name w:val="__S_M_G"/>
    <w:basedOn w:val="a2"/>
    <w:next w:val="a2"/>
    <w:rsid w:val="00646C19"/>
    <w:pPr>
      <w:keepNext/>
      <w:keepLines/>
      <w:suppressAutoHyphens/>
      <w:spacing w:before="240" w:after="240" w:line="420" w:lineRule="exact"/>
      <w:ind w:left="1134" w:right="1134"/>
    </w:pPr>
    <w:rPr>
      <w:b/>
      <w:spacing w:val="0"/>
      <w:w w:val="100"/>
      <w:kern w:val="0"/>
      <w:sz w:val="40"/>
      <w:lang w:val="fr-CH"/>
    </w:rPr>
  </w:style>
  <w:style w:type="paragraph" w:customStyle="1" w:styleId="SLG">
    <w:name w:val="__S_L_G"/>
    <w:basedOn w:val="a2"/>
    <w:next w:val="a2"/>
    <w:rsid w:val="00646C19"/>
    <w:pPr>
      <w:keepNext/>
      <w:keepLines/>
      <w:suppressAutoHyphens/>
      <w:spacing w:before="240" w:after="240" w:line="580" w:lineRule="exact"/>
      <w:ind w:left="1134" w:right="1134"/>
    </w:pPr>
    <w:rPr>
      <w:b/>
      <w:spacing w:val="0"/>
      <w:w w:val="100"/>
      <w:kern w:val="0"/>
      <w:sz w:val="56"/>
      <w:lang w:val="fr-CH"/>
    </w:rPr>
  </w:style>
  <w:style w:type="paragraph" w:customStyle="1" w:styleId="SSG">
    <w:name w:val="__S_S_G"/>
    <w:basedOn w:val="a2"/>
    <w:next w:val="a2"/>
    <w:rsid w:val="00646C19"/>
    <w:pPr>
      <w:keepNext/>
      <w:keepLines/>
      <w:suppressAutoHyphens/>
      <w:spacing w:before="240" w:after="240" w:line="300" w:lineRule="exact"/>
      <w:ind w:left="1134" w:right="1134"/>
    </w:pPr>
    <w:rPr>
      <w:b/>
      <w:spacing w:val="0"/>
      <w:w w:val="100"/>
      <w:kern w:val="0"/>
      <w:sz w:val="28"/>
      <w:lang w:val="fr-CH"/>
    </w:rPr>
  </w:style>
  <w:style w:type="paragraph" w:customStyle="1" w:styleId="XLargeG">
    <w:name w:val="__XLarge_G"/>
    <w:basedOn w:val="a2"/>
    <w:next w:val="a2"/>
    <w:rsid w:val="00646C19"/>
    <w:pPr>
      <w:keepNext/>
      <w:keepLines/>
      <w:suppressAutoHyphens/>
      <w:spacing w:before="240" w:after="240" w:line="420" w:lineRule="exact"/>
      <w:ind w:left="1134" w:right="1134"/>
    </w:pPr>
    <w:rPr>
      <w:b/>
      <w:spacing w:val="0"/>
      <w:w w:val="100"/>
      <w:kern w:val="0"/>
      <w:sz w:val="40"/>
      <w:lang w:val="fr-CH"/>
    </w:rPr>
  </w:style>
  <w:style w:type="table" w:styleId="-30">
    <w:name w:val="Table Web 3"/>
    <w:basedOn w:val="a4"/>
    <w:rsid w:val="00646C1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G">
    <w:name w:val="_Bullet 1_G"/>
    <w:basedOn w:val="a2"/>
    <w:rsid w:val="00646C19"/>
    <w:pPr>
      <w:numPr>
        <w:numId w:val="24"/>
      </w:numPr>
      <w:suppressAutoHyphens/>
      <w:spacing w:after="120"/>
      <w:ind w:right="1134"/>
      <w:jc w:val="both"/>
    </w:pPr>
    <w:rPr>
      <w:spacing w:val="0"/>
      <w:w w:val="100"/>
      <w:kern w:val="0"/>
      <w:lang w:val="fr-CH"/>
    </w:rPr>
  </w:style>
  <w:style w:type="paragraph" w:customStyle="1" w:styleId="Bullet2G">
    <w:name w:val="_Bullet 2_G"/>
    <w:basedOn w:val="a2"/>
    <w:rsid w:val="00646C19"/>
    <w:pPr>
      <w:numPr>
        <w:numId w:val="25"/>
      </w:numPr>
      <w:suppressAutoHyphens/>
      <w:spacing w:after="120"/>
      <w:ind w:right="1134"/>
      <w:jc w:val="both"/>
    </w:pPr>
    <w:rPr>
      <w:spacing w:val="0"/>
      <w:w w:val="100"/>
      <w:kern w:val="0"/>
      <w:lang w:val="fr-CH"/>
    </w:rPr>
  </w:style>
  <w:style w:type="character" w:customStyle="1" w:styleId="af3">
    <w:name w:val="Текст сноски Знак"/>
    <w:aliases w:val="5_GR Знак,5_G Знак"/>
    <w:link w:val="af1"/>
    <w:rsid w:val="00646C19"/>
    <w:rPr>
      <w:spacing w:val="5"/>
      <w:w w:val="104"/>
      <w:kern w:val="14"/>
      <w:sz w:val="18"/>
      <w:lang w:val="en-GB"/>
    </w:rPr>
  </w:style>
  <w:style w:type="paragraph" w:customStyle="1" w:styleId="NoSpacing1">
    <w:name w:val="No Spacing1"/>
    <w:aliases w:val="RRI"/>
    <w:link w:val="SinespaciadoCar"/>
    <w:uiPriority w:val="99"/>
    <w:rsid w:val="00646C19"/>
    <w:pPr>
      <w:widowControl w:val="0"/>
      <w:autoSpaceDE w:val="0"/>
      <w:autoSpaceDN w:val="0"/>
      <w:adjustRightInd w:val="0"/>
    </w:pPr>
    <w:rPr>
      <w:rFonts w:eastAsia="Calibri"/>
      <w:sz w:val="22"/>
      <w:szCs w:val="22"/>
      <w:lang w:val="es-ES" w:eastAsia="es-CL"/>
    </w:rPr>
  </w:style>
  <w:style w:type="character" w:customStyle="1" w:styleId="aa">
    <w:name w:val="Верхний колонтитул Знак"/>
    <w:aliases w:val="6_GR Знак,6_G Знак"/>
    <w:link w:val="a9"/>
    <w:locked/>
    <w:rsid w:val="00646C19"/>
    <w:rPr>
      <w:b/>
      <w:sz w:val="18"/>
      <w:lang w:val="en-GB"/>
    </w:rPr>
  </w:style>
  <w:style w:type="character" w:customStyle="1" w:styleId="ae">
    <w:name w:val="Нижний колонтитул Знак"/>
    <w:aliases w:val="3_GR Знак,3_G Знак"/>
    <w:link w:val="ad"/>
    <w:locked/>
    <w:rsid w:val="00646C19"/>
    <w:rPr>
      <w:sz w:val="16"/>
      <w:lang w:val="en-GB"/>
    </w:rPr>
  </w:style>
  <w:style w:type="character" w:customStyle="1" w:styleId="highlightedsearchterm">
    <w:name w:val="highlightedsearchterm"/>
    <w:uiPriority w:val="99"/>
    <w:rsid w:val="00646C19"/>
    <w:rPr>
      <w:rFonts w:cs="Times New Roman"/>
    </w:rPr>
  </w:style>
  <w:style w:type="paragraph" w:styleId="afff2">
    <w:name w:val="List Paragraph"/>
    <w:basedOn w:val="a2"/>
    <w:uiPriority w:val="99"/>
    <w:qFormat/>
    <w:rsid w:val="00646C19"/>
    <w:pPr>
      <w:spacing w:line="240" w:lineRule="auto"/>
      <w:ind w:left="720"/>
      <w:contextualSpacing/>
    </w:pPr>
    <w:rPr>
      <w:spacing w:val="0"/>
      <w:w w:val="100"/>
      <w:kern w:val="0"/>
      <w:sz w:val="24"/>
      <w:szCs w:val="24"/>
      <w:lang w:val="es-MX" w:eastAsia="es-ES"/>
    </w:rPr>
  </w:style>
  <w:style w:type="character" w:customStyle="1" w:styleId="estilo6">
    <w:name w:val="estilo6"/>
    <w:uiPriority w:val="99"/>
    <w:rsid w:val="00646C19"/>
    <w:rPr>
      <w:rFonts w:cs="Times New Roman"/>
    </w:rPr>
  </w:style>
  <w:style w:type="character" w:customStyle="1" w:styleId="af2">
    <w:name w:val="Текст концевой сноски Знак"/>
    <w:aliases w:val="2_GR Знак,2_G Знак"/>
    <w:link w:val="af0"/>
    <w:uiPriority w:val="99"/>
    <w:locked/>
    <w:rsid w:val="00646C19"/>
    <w:rPr>
      <w:spacing w:val="5"/>
      <w:w w:val="104"/>
      <w:kern w:val="14"/>
      <w:sz w:val="18"/>
      <w:lang w:val="en-GB"/>
    </w:rPr>
  </w:style>
  <w:style w:type="character" w:customStyle="1" w:styleId="SingleTxtGCar">
    <w:name w:val="_ Single Txt_G Car"/>
    <w:link w:val="SingleTxtG"/>
    <w:uiPriority w:val="99"/>
    <w:locked/>
    <w:rsid w:val="00646C19"/>
    <w:rPr>
      <w:lang w:eastAsia="en-US"/>
    </w:rPr>
  </w:style>
  <w:style w:type="character" w:customStyle="1" w:styleId="SinespaciadoCar">
    <w:name w:val="Sin espaciado Car"/>
    <w:link w:val="NoSpacing1"/>
    <w:uiPriority w:val="99"/>
    <w:locked/>
    <w:rsid w:val="00646C19"/>
    <w:rPr>
      <w:rFonts w:eastAsia="Calibri"/>
      <w:sz w:val="22"/>
      <w:szCs w:val="22"/>
      <w:lang w:val="es-ES" w:eastAsia="es-CL"/>
    </w:rPr>
  </w:style>
  <w:style w:type="paragraph" w:styleId="afff3">
    <w:name w:val="annotation text"/>
    <w:basedOn w:val="a2"/>
    <w:link w:val="afff4"/>
    <w:rsid w:val="00646C19"/>
    <w:pPr>
      <w:spacing w:line="240" w:lineRule="auto"/>
    </w:pPr>
    <w:rPr>
      <w:rFonts w:eastAsia="Calibri"/>
      <w:spacing w:val="0"/>
      <w:w w:val="100"/>
      <w:kern w:val="0"/>
      <w:lang w:val="es-ES"/>
    </w:rPr>
  </w:style>
  <w:style w:type="character" w:customStyle="1" w:styleId="afff4">
    <w:name w:val="Текст примечания Знак"/>
    <w:basedOn w:val="a3"/>
    <w:link w:val="afff3"/>
    <w:rsid w:val="00646C19"/>
    <w:rPr>
      <w:rFonts w:eastAsia="Calibri"/>
      <w:lang w:val="es-ES" w:eastAsia="en-US"/>
    </w:rPr>
  </w:style>
  <w:style w:type="paragraph" w:styleId="afff5">
    <w:name w:val="annotation subject"/>
    <w:basedOn w:val="afff3"/>
    <w:next w:val="afff3"/>
    <w:link w:val="afff6"/>
    <w:rsid w:val="00646C19"/>
    <w:rPr>
      <w:b/>
      <w:bCs/>
    </w:rPr>
  </w:style>
  <w:style w:type="character" w:customStyle="1" w:styleId="afff6">
    <w:name w:val="Тема примечания Знак"/>
    <w:basedOn w:val="afff4"/>
    <w:link w:val="afff5"/>
    <w:rsid w:val="00646C19"/>
    <w:rPr>
      <w:rFonts w:eastAsia="Calibri"/>
      <w:b/>
      <w:bCs/>
      <w:lang w:val="es-ES" w:eastAsia="en-US"/>
    </w:rPr>
  </w:style>
  <w:style w:type="paragraph" w:styleId="afff7">
    <w:name w:val="Revision"/>
    <w:hidden/>
    <w:uiPriority w:val="99"/>
    <w:semiHidden/>
    <w:rsid w:val="00646C19"/>
    <w:rPr>
      <w:rFonts w:eastAsia="Calibri"/>
      <w:sz w:val="24"/>
      <w:szCs w:val="22"/>
      <w:lang w:val="es-ES" w:eastAsia="en-US"/>
    </w:rPr>
  </w:style>
  <w:style w:type="paragraph" w:customStyle="1" w:styleId="parrafo1">
    <w:name w:val="parrafo1"/>
    <w:basedOn w:val="a2"/>
    <w:rsid w:val="00646C19"/>
    <w:pPr>
      <w:spacing w:before="180" w:after="180" w:line="240" w:lineRule="auto"/>
      <w:ind w:firstLine="360"/>
      <w:jc w:val="both"/>
    </w:pPr>
    <w:rPr>
      <w:rFonts w:eastAsia="Calibri"/>
      <w:spacing w:val="0"/>
      <w:w w:val="100"/>
      <w:kern w:val="0"/>
      <w:sz w:val="24"/>
      <w:szCs w:val="24"/>
      <w:lang w:val="es-ES" w:eastAsia="es-ES"/>
    </w:rPr>
  </w:style>
  <w:style w:type="paragraph" w:customStyle="1" w:styleId="Default">
    <w:name w:val="Default"/>
    <w:rsid w:val="00646C19"/>
    <w:pPr>
      <w:autoSpaceDE w:val="0"/>
      <w:autoSpaceDN w:val="0"/>
      <w:adjustRightInd w:val="0"/>
    </w:pPr>
    <w:rPr>
      <w:rFonts w:ascii="Arial" w:hAnsi="Arial" w:cs="Arial"/>
      <w:color w:val="000000"/>
      <w:sz w:val="24"/>
      <w:szCs w:val="24"/>
      <w:lang w:val="es-ES" w:eastAsia="es-ES"/>
    </w:rPr>
  </w:style>
  <w:style w:type="paragraph" w:customStyle="1" w:styleId="CM111">
    <w:name w:val="CM111"/>
    <w:basedOn w:val="Default"/>
    <w:next w:val="Default"/>
    <w:rsid w:val="00646C19"/>
    <w:rPr>
      <w:rFonts w:ascii="Diavlo Light" w:hAnsi="Diavlo Light" w:cs="Times New Roman"/>
      <w:color w:val="auto"/>
    </w:rPr>
  </w:style>
  <w:style w:type="paragraph" w:customStyle="1" w:styleId="CM4">
    <w:name w:val="CM4"/>
    <w:basedOn w:val="Default"/>
    <w:next w:val="Default"/>
    <w:rsid w:val="00646C19"/>
    <w:pPr>
      <w:spacing w:line="211" w:lineRule="atLeast"/>
    </w:pPr>
    <w:rPr>
      <w:rFonts w:ascii="Diavlo Light" w:hAnsi="Diavlo Light" w:cs="Times New Roman"/>
      <w:color w:val="auto"/>
    </w:rPr>
  </w:style>
  <w:style w:type="paragraph" w:styleId="17">
    <w:name w:val="toc 1"/>
    <w:basedOn w:val="a2"/>
    <w:next w:val="a2"/>
    <w:autoRedefine/>
    <w:uiPriority w:val="39"/>
    <w:rsid w:val="00646C19"/>
    <w:pPr>
      <w:tabs>
        <w:tab w:val="right" w:pos="1134"/>
        <w:tab w:val="left" w:pos="1418"/>
        <w:tab w:val="left" w:pos="1843"/>
        <w:tab w:val="right" w:leader="dot" w:pos="7938"/>
        <w:tab w:val="right" w:pos="8931"/>
        <w:tab w:val="right" w:pos="9638"/>
      </w:tabs>
      <w:spacing w:after="100"/>
    </w:pPr>
    <w:rPr>
      <w:spacing w:val="0"/>
      <w:w w:val="100"/>
      <w:kern w:val="0"/>
      <w:lang w:val="es-ES" w:eastAsia="es-ES"/>
    </w:rPr>
  </w:style>
  <w:style w:type="paragraph" w:styleId="2f">
    <w:name w:val="toc 2"/>
    <w:basedOn w:val="a2"/>
    <w:next w:val="a2"/>
    <w:autoRedefine/>
    <w:uiPriority w:val="39"/>
    <w:rsid w:val="00646C19"/>
    <w:pPr>
      <w:tabs>
        <w:tab w:val="right" w:pos="1134"/>
        <w:tab w:val="left" w:pos="1560"/>
        <w:tab w:val="right" w:leader="dot" w:pos="7655"/>
        <w:tab w:val="right" w:pos="8931"/>
        <w:tab w:val="right" w:pos="9638"/>
      </w:tabs>
      <w:spacing w:after="100"/>
      <w:ind w:left="200"/>
    </w:pPr>
    <w:rPr>
      <w:spacing w:val="0"/>
      <w:w w:val="100"/>
      <w:kern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ta@policia.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xplotacion.mtin.gob.es/oberaxe/inicio_descarga%20Fichero?bibliotecaDatoId=21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HRI.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078B-5316-4344-9ECF-1D2ECACA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65</Pages>
  <Words>30686</Words>
  <Characters>174914</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205190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Салынская Екатерина</dc:creator>
  <cp:lastModifiedBy>Салынская Екатерина</cp:lastModifiedBy>
  <cp:revision>3</cp:revision>
  <cp:lastPrinted>2015-06-18T14:05:00Z</cp:lastPrinted>
  <dcterms:created xsi:type="dcterms:W3CDTF">2015-06-18T14:05:00Z</dcterms:created>
  <dcterms:modified xsi:type="dcterms:W3CDTF">2015-06-18T14:05:00Z</dcterms:modified>
</cp:coreProperties>
</file>