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111191">
                <w:t>C/LIE/4-6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111191">
              <w:rPr>
                <w:sz w:val="20"/>
                <w:lang w:val="en-US"/>
              </w:rPr>
              <w:fldChar w:fldCharType="separate"/>
            </w:r>
            <w:r w:rsidR="00111191">
              <w:rPr>
                <w:sz w:val="20"/>
                <w:lang w:val="en-US"/>
              </w:rPr>
              <w:t>14 February 2012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D94E08" w:rsidRPr="00A412BB" w:rsidRDefault="00D94E08" w:rsidP="00D94E08">
      <w:pPr>
        <w:spacing w:before="120"/>
        <w:ind w:hanging="23"/>
        <w:rPr>
          <w:b/>
          <w:sz w:val="24"/>
          <w:szCs w:val="24"/>
        </w:rPr>
      </w:pPr>
      <w:r w:rsidRPr="00A412BB">
        <w:rPr>
          <w:b/>
          <w:sz w:val="24"/>
          <w:szCs w:val="24"/>
        </w:rPr>
        <w:t>Комитет по ликвидации расовой дискриминации</w:t>
      </w:r>
    </w:p>
    <w:p w:rsidR="00D94E08" w:rsidRPr="00D94E08" w:rsidRDefault="00D94E08" w:rsidP="006D0225">
      <w:pPr>
        <w:pStyle w:val="HChGR"/>
        <w:spacing w:before="600"/>
      </w:pPr>
      <w:r w:rsidRPr="00D94E08">
        <w:tab/>
      </w:r>
      <w:r w:rsidRPr="00D94E08">
        <w:tab/>
        <w:t>Доклады, представляемые государствами-участниками в соответствии со статьей 9 Конвенции</w:t>
      </w:r>
    </w:p>
    <w:p w:rsidR="00D94E08" w:rsidRPr="00A412BB" w:rsidRDefault="00D94E08" w:rsidP="006D0225">
      <w:pPr>
        <w:pStyle w:val="H1GR"/>
      </w:pPr>
      <w:r w:rsidRPr="00A412BB">
        <w:tab/>
      </w:r>
      <w:r w:rsidRPr="00A412BB">
        <w:tab/>
        <w:t>Четвертый−шестой периодические доклады государств-участников, подлежащие представлению в 2011 году</w:t>
      </w:r>
    </w:p>
    <w:p w:rsidR="00D94E08" w:rsidRPr="008505B2" w:rsidRDefault="00D94E08" w:rsidP="006D0225">
      <w:pPr>
        <w:pStyle w:val="HChGR"/>
      </w:pPr>
      <w:r w:rsidRPr="00D94E08">
        <w:tab/>
      </w:r>
      <w:r w:rsidRPr="00D94E08">
        <w:tab/>
        <w:t>Лихтенштейн</w:t>
      </w:r>
      <w:r w:rsidR="00540E0F" w:rsidRPr="006D0225">
        <w:rPr>
          <w:rStyle w:val="FootnoteReference"/>
          <w:szCs w:val="18"/>
          <w:vertAlign w:val="baseline"/>
        </w:rPr>
        <w:footnoteReference w:customMarkFollows="1" w:id="1"/>
        <w:t>*</w:t>
      </w:r>
      <w:r w:rsidR="006D0225" w:rsidRPr="006D0225">
        <w:rPr>
          <w:b w:val="0"/>
          <w:sz w:val="18"/>
          <w:szCs w:val="18"/>
          <w:vertAlign w:val="superscript"/>
          <w:lang w:val="en-US"/>
        </w:rPr>
        <w:t xml:space="preserve"> </w:t>
      </w:r>
      <w:r w:rsidR="00451CFD" w:rsidRPr="006D0225">
        <w:rPr>
          <w:rStyle w:val="FootnoteReference"/>
          <w:szCs w:val="18"/>
        </w:rPr>
        <w:t xml:space="preserve"> </w:t>
      </w:r>
      <w:r w:rsidR="00540E0F" w:rsidRPr="006D0225">
        <w:rPr>
          <w:rStyle w:val="FootnoteReference"/>
          <w:szCs w:val="18"/>
          <w:vertAlign w:val="baseline"/>
        </w:rPr>
        <w:footnoteReference w:customMarkFollows="1" w:id="2"/>
        <w:t>**</w:t>
      </w:r>
    </w:p>
    <w:p w:rsidR="00D94E08" w:rsidRPr="00A412BB" w:rsidRDefault="00D94E08" w:rsidP="006D0225">
      <w:pPr>
        <w:pStyle w:val="SingleTxtGR"/>
        <w:jc w:val="right"/>
      </w:pPr>
      <w:r w:rsidRPr="00A412BB">
        <w:t>[5 сентября 2011 года]</w:t>
      </w:r>
    </w:p>
    <w:p w:rsidR="008505B2" w:rsidRDefault="00D94E08" w:rsidP="008505B2">
      <w:pPr>
        <w:suppressAutoHyphens/>
        <w:spacing w:after="120"/>
        <w:rPr>
          <w:sz w:val="28"/>
          <w:szCs w:val="24"/>
        </w:rPr>
      </w:pPr>
      <w:r w:rsidRPr="00A412BB">
        <w:rPr>
          <w:sz w:val="24"/>
          <w:szCs w:val="24"/>
        </w:rPr>
        <w:br w:type="page"/>
      </w:r>
      <w:bookmarkStart w:id="2" w:name="_Toc151181554"/>
      <w:r w:rsidR="008505B2">
        <w:rPr>
          <w:sz w:val="28"/>
          <w:szCs w:val="24"/>
        </w:rPr>
        <w:t>Содержание</w:t>
      </w:r>
    </w:p>
    <w:p w:rsidR="008505B2" w:rsidRDefault="008505B2" w:rsidP="008505B2">
      <w:pPr>
        <w:tabs>
          <w:tab w:val="right" w:pos="8929"/>
          <w:tab w:val="right" w:pos="9638"/>
        </w:tabs>
        <w:suppressAutoHyphens/>
        <w:spacing w:after="120"/>
        <w:ind w:left="283"/>
        <w:rPr>
          <w:szCs w:val="24"/>
        </w:rPr>
      </w:pPr>
      <w:r>
        <w:rPr>
          <w:i/>
          <w:sz w:val="18"/>
          <w:szCs w:val="24"/>
        </w:rPr>
        <w:tab/>
        <w:t>Пункты</w:t>
      </w:r>
      <w:r>
        <w:rPr>
          <w:i/>
          <w:sz w:val="18"/>
          <w:szCs w:val="24"/>
        </w:rPr>
        <w:tab/>
        <w:t>Стр.</w:t>
      </w:r>
    </w:p>
    <w:p w:rsidR="008505B2" w:rsidRPr="00300726" w:rsidRDefault="008505B2" w:rsidP="008505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I.</w:t>
      </w:r>
      <w:r>
        <w:rPr>
          <w:szCs w:val="24"/>
        </w:rPr>
        <w:tab/>
        <w:t>Введение</w:t>
      </w:r>
      <w:r>
        <w:rPr>
          <w:szCs w:val="24"/>
        </w:rPr>
        <w:tab/>
      </w:r>
      <w:r>
        <w:rPr>
          <w:szCs w:val="24"/>
        </w:rPr>
        <w:tab/>
        <w:t>1−3</w:t>
      </w:r>
      <w:r>
        <w:rPr>
          <w:szCs w:val="24"/>
        </w:rPr>
        <w:tab/>
      </w:r>
      <w:r w:rsidR="00300726" w:rsidRPr="00300726">
        <w:rPr>
          <w:szCs w:val="24"/>
        </w:rPr>
        <w:t>3</w:t>
      </w:r>
    </w:p>
    <w:p w:rsidR="008505B2" w:rsidRPr="00300726" w:rsidRDefault="008505B2" w:rsidP="008505B2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II.</w:t>
      </w:r>
      <w:r>
        <w:rPr>
          <w:szCs w:val="24"/>
        </w:rPr>
        <w:tab/>
        <w:t>Резюме</w:t>
      </w:r>
      <w:r>
        <w:rPr>
          <w:szCs w:val="24"/>
        </w:rPr>
        <w:tab/>
      </w:r>
      <w:r>
        <w:rPr>
          <w:szCs w:val="24"/>
        </w:rPr>
        <w:tab/>
        <w:t>4−6</w:t>
      </w:r>
      <w:r>
        <w:rPr>
          <w:szCs w:val="24"/>
        </w:rPr>
        <w:tab/>
      </w:r>
      <w:r w:rsidR="00300726" w:rsidRPr="00300726">
        <w:rPr>
          <w:szCs w:val="24"/>
        </w:rPr>
        <w:t>3</w:t>
      </w:r>
    </w:p>
    <w:p w:rsidR="008505B2" w:rsidRPr="00300726" w:rsidRDefault="007A0A12" w:rsidP="008505B2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III.</w:t>
      </w:r>
      <w:r>
        <w:rPr>
          <w:szCs w:val="24"/>
        </w:rPr>
        <w:tab/>
      </w:r>
      <w:proofErr w:type="spellStart"/>
      <w:r w:rsidR="005425E1">
        <w:rPr>
          <w:szCs w:val="24"/>
        </w:rPr>
        <w:t>Неграждане</w:t>
      </w:r>
      <w:proofErr w:type="spellEnd"/>
      <w:r w:rsidR="005425E1">
        <w:rPr>
          <w:szCs w:val="24"/>
        </w:rPr>
        <w:tab/>
      </w:r>
      <w:r w:rsidR="005425E1">
        <w:rPr>
          <w:szCs w:val="24"/>
        </w:rPr>
        <w:tab/>
        <w:t>7−16</w:t>
      </w:r>
      <w:r w:rsidR="005425E1">
        <w:rPr>
          <w:szCs w:val="24"/>
        </w:rPr>
        <w:tab/>
      </w:r>
      <w:r w:rsidR="00300726" w:rsidRPr="00300726">
        <w:rPr>
          <w:szCs w:val="24"/>
        </w:rPr>
        <w:t>4</w:t>
      </w:r>
    </w:p>
    <w:p w:rsidR="007A0A12" w:rsidRPr="00300726" w:rsidRDefault="005425E1" w:rsidP="008505B2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IV</w:t>
      </w:r>
      <w:r w:rsidRPr="005425E1">
        <w:rPr>
          <w:szCs w:val="24"/>
        </w:rPr>
        <w:t>.</w:t>
      </w:r>
      <w:r>
        <w:rPr>
          <w:szCs w:val="24"/>
        </w:rPr>
        <w:tab/>
        <w:t>Замечания об осуществлении отдельных статей Конвенции</w:t>
      </w:r>
      <w:r>
        <w:rPr>
          <w:szCs w:val="24"/>
        </w:rPr>
        <w:tab/>
      </w:r>
      <w:r>
        <w:rPr>
          <w:szCs w:val="24"/>
        </w:rPr>
        <w:tab/>
        <w:t>17−72</w:t>
      </w:r>
      <w:r>
        <w:rPr>
          <w:szCs w:val="24"/>
        </w:rPr>
        <w:tab/>
      </w:r>
      <w:r w:rsidR="00300726" w:rsidRPr="00300726">
        <w:rPr>
          <w:szCs w:val="24"/>
        </w:rPr>
        <w:t>8</w:t>
      </w:r>
    </w:p>
    <w:p w:rsidR="005425E1" w:rsidRPr="00300726" w:rsidRDefault="005425E1" w:rsidP="005425E1">
      <w:pPr>
        <w:tabs>
          <w:tab w:val="right" w:pos="850"/>
          <w:tab w:val="left" w:pos="1134"/>
          <w:tab w:val="left" w:pos="1559"/>
          <w:tab w:val="left" w:pos="2100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>Статья 1.</w:t>
      </w:r>
      <w:r>
        <w:rPr>
          <w:szCs w:val="24"/>
        </w:rPr>
        <w:tab/>
        <w:t>Сфера применения.</w:t>
      </w:r>
      <w:r>
        <w:rPr>
          <w:szCs w:val="24"/>
        </w:rPr>
        <w:tab/>
      </w:r>
      <w:r>
        <w:rPr>
          <w:szCs w:val="24"/>
        </w:rPr>
        <w:tab/>
        <w:t>17−19</w:t>
      </w:r>
      <w:r w:rsidR="00E74F5D">
        <w:rPr>
          <w:szCs w:val="24"/>
        </w:rPr>
        <w:tab/>
      </w:r>
      <w:r w:rsidR="00300726">
        <w:rPr>
          <w:szCs w:val="24"/>
          <w:lang w:val="en-US"/>
        </w:rPr>
        <w:t>8</w:t>
      </w:r>
    </w:p>
    <w:p w:rsidR="005425E1" w:rsidRPr="00300726" w:rsidRDefault="005425E1" w:rsidP="005425E1">
      <w:pPr>
        <w:tabs>
          <w:tab w:val="right" w:pos="850"/>
          <w:tab w:val="left" w:pos="1134"/>
          <w:tab w:val="left" w:pos="1559"/>
          <w:tab w:val="left" w:pos="2100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>Статья 2.</w:t>
      </w:r>
      <w:r>
        <w:rPr>
          <w:szCs w:val="24"/>
        </w:rPr>
        <w:tab/>
        <w:t xml:space="preserve">Политика в области ликвидации расовой дискриминации </w:t>
      </w:r>
      <w:r w:rsidR="00E74F5D">
        <w:rPr>
          <w:szCs w:val="24"/>
        </w:rPr>
        <w:br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>
        <w:rPr>
          <w:szCs w:val="24"/>
        </w:rPr>
        <w:t>и содействия взаимопониманию</w:t>
      </w:r>
      <w:r>
        <w:rPr>
          <w:szCs w:val="24"/>
        </w:rPr>
        <w:tab/>
      </w:r>
      <w:r w:rsidR="00E74F5D">
        <w:rPr>
          <w:szCs w:val="24"/>
        </w:rPr>
        <w:tab/>
      </w:r>
      <w:r w:rsidR="00047531">
        <w:rPr>
          <w:szCs w:val="24"/>
        </w:rPr>
        <w:t>20−32</w:t>
      </w:r>
      <w:r w:rsidR="00047531">
        <w:rPr>
          <w:szCs w:val="24"/>
        </w:rPr>
        <w:tab/>
      </w:r>
      <w:r w:rsidR="00300726">
        <w:rPr>
          <w:szCs w:val="24"/>
          <w:lang w:val="en-US"/>
        </w:rPr>
        <w:t>9</w:t>
      </w:r>
    </w:p>
    <w:p w:rsidR="00047531" w:rsidRPr="00300726" w:rsidRDefault="00047531" w:rsidP="005425E1">
      <w:pPr>
        <w:tabs>
          <w:tab w:val="right" w:pos="850"/>
          <w:tab w:val="left" w:pos="1134"/>
          <w:tab w:val="left" w:pos="1559"/>
          <w:tab w:val="left" w:pos="2100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Статья </w:t>
      </w:r>
      <w:r w:rsidR="00DE7E1D">
        <w:rPr>
          <w:szCs w:val="24"/>
        </w:rPr>
        <w:t>4</w:t>
      </w:r>
      <w:r>
        <w:rPr>
          <w:szCs w:val="24"/>
        </w:rPr>
        <w:t>.</w:t>
      </w:r>
      <w:r w:rsidR="00DE7E1D">
        <w:rPr>
          <w:szCs w:val="24"/>
        </w:rPr>
        <w:tab/>
        <w:t xml:space="preserve">Ответственность за теории превосходства, запрет </w:t>
      </w:r>
      <w:r w:rsidR="00E74F5D">
        <w:rPr>
          <w:szCs w:val="24"/>
        </w:rPr>
        <w:br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DE7E1D">
        <w:rPr>
          <w:szCs w:val="24"/>
        </w:rPr>
        <w:t xml:space="preserve">расистских организаций и участия (членства) в них, </w:t>
      </w:r>
      <w:r w:rsidR="00E74F5D">
        <w:rPr>
          <w:szCs w:val="24"/>
        </w:rPr>
        <w:br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DE7E1D">
        <w:rPr>
          <w:szCs w:val="24"/>
        </w:rPr>
        <w:t xml:space="preserve">запрет расовой дискриминации и подстрекательства </w:t>
      </w:r>
      <w:r w:rsidR="00E74F5D">
        <w:rPr>
          <w:szCs w:val="24"/>
        </w:rPr>
        <w:br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DE7E1D">
        <w:rPr>
          <w:szCs w:val="24"/>
        </w:rPr>
        <w:t>со стороны органов государственной власти</w:t>
      </w:r>
      <w:r w:rsidR="00DE7E1D">
        <w:rPr>
          <w:szCs w:val="24"/>
        </w:rPr>
        <w:tab/>
      </w:r>
      <w:r w:rsidR="00E74F5D">
        <w:rPr>
          <w:szCs w:val="24"/>
        </w:rPr>
        <w:tab/>
      </w:r>
      <w:r w:rsidR="00DE7E1D">
        <w:rPr>
          <w:szCs w:val="24"/>
        </w:rPr>
        <w:t>33−37</w:t>
      </w:r>
      <w:r w:rsidR="00DE7E1D">
        <w:rPr>
          <w:szCs w:val="24"/>
        </w:rPr>
        <w:tab/>
      </w:r>
      <w:r w:rsidR="00300726" w:rsidRPr="00300726">
        <w:rPr>
          <w:szCs w:val="24"/>
        </w:rPr>
        <w:t>14</w:t>
      </w:r>
    </w:p>
    <w:p w:rsidR="00DE7E1D" w:rsidRPr="00300726" w:rsidRDefault="00DE7E1D" w:rsidP="00DE7E1D">
      <w:pPr>
        <w:tabs>
          <w:tab w:val="right" w:pos="850"/>
          <w:tab w:val="left" w:pos="1134"/>
          <w:tab w:val="left" w:pos="1559"/>
          <w:tab w:val="left" w:pos="2100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Статья 5.</w:t>
      </w:r>
      <w:r>
        <w:rPr>
          <w:szCs w:val="24"/>
        </w:rPr>
        <w:tab/>
        <w:t>Право на равенство перед законом</w:t>
      </w:r>
      <w:r>
        <w:rPr>
          <w:szCs w:val="24"/>
        </w:rPr>
        <w:tab/>
      </w:r>
      <w:r>
        <w:rPr>
          <w:szCs w:val="24"/>
        </w:rPr>
        <w:tab/>
        <w:t>38−55</w:t>
      </w:r>
      <w:r>
        <w:rPr>
          <w:szCs w:val="24"/>
        </w:rPr>
        <w:tab/>
      </w:r>
      <w:r w:rsidR="00300726" w:rsidRPr="00300726">
        <w:rPr>
          <w:szCs w:val="24"/>
        </w:rPr>
        <w:t>16</w:t>
      </w:r>
    </w:p>
    <w:p w:rsidR="00DE7E1D" w:rsidRPr="00300726" w:rsidRDefault="00DE7E1D" w:rsidP="00DE7E1D">
      <w:pPr>
        <w:tabs>
          <w:tab w:val="right" w:pos="850"/>
          <w:tab w:val="left" w:pos="1134"/>
          <w:tab w:val="left" w:pos="1559"/>
          <w:tab w:val="left" w:pos="2100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Статья 7.</w:t>
      </w:r>
      <w:r>
        <w:rPr>
          <w:szCs w:val="24"/>
        </w:rPr>
        <w:tab/>
      </w:r>
      <w:r w:rsidR="00B341D2">
        <w:rPr>
          <w:szCs w:val="24"/>
        </w:rPr>
        <w:t xml:space="preserve">Меры в области преподавания, воспитания, культуры </w:t>
      </w:r>
      <w:r w:rsidR="00E74F5D">
        <w:rPr>
          <w:szCs w:val="24"/>
        </w:rPr>
        <w:br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B341D2">
        <w:rPr>
          <w:szCs w:val="24"/>
        </w:rPr>
        <w:t xml:space="preserve">и информации, направленные на борьбу с предрассудками </w:t>
      </w:r>
      <w:r w:rsidR="00E74F5D">
        <w:rPr>
          <w:szCs w:val="24"/>
        </w:rPr>
        <w:br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E74F5D">
        <w:rPr>
          <w:szCs w:val="24"/>
        </w:rPr>
        <w:tab/>
      </w:r>
      <w:r w:rsidR="00B341D2">
        <w:rPr>
          <w:szCs w:val="24"/>
        </w:rPr>
        <w:t>и расовой дискриминацией</w:t>
      </w:r>
      <w:r w:rsidR="00300726">
        <w:rPr>
          <w:szCs w:val="24"/>
        </w:rPr>
        <w:t>,</w:t>
      </w:r>
      <w:r w:rsidR="00B341D2">
        <w:rPr>
          <w:szCs w:val="24"/>
        </w:rPr>
        <w:t xml:space="preserve"> и в целях поощрения </w:t>
      </w:r>
      <w:r w:rsidR="008B3A30">
        <w:rPr>
          <w:szCs w:val="24"/>
        </w:rPr>
        <w:br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B341D2">
        <w:rPr>
          <w:szCs w:val="24"/>
        </w:rPr>
        <w:t xml:space="preserve">взаимопонимания и дружбы и популяризации Всеобщей </w:t>
      </w:r>
      <w:r w:rsidR="008B3A30">
        <w:rPr>
          <w:szCs w:val="24"/>
        </w:rPr>
        <w:br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B341D2">
        <w:rPr>
          <w:szCs w:val="24"/>
        </w:rPr>
        <w:t>декларации прав человека и Конвенции</w:t>
      </w:r>
      <w:r w:rsidR="00B341D2">
        <w:rPr>
          <w:szCs w:val="24"/>
        </w:rPr>
        <w:tab/>
      </w:r>
      <w:r w:rsidR="008B3A30">
        <w:rPr>
          <w:szCs w:val="24"/>
        </w:rPr>
        <w:tab/>
      </w:r>
      <w:r w:rsidR="00E74F5D">
        <w:rPr>
          <w:szCs w:val="24"/>
        </w:rPr>
        <w:t>56−72</w:t>
      </w:r>
      <w:r w:rsidR="00E74F5D">
        <w:rPr>
          <w:szCs w:val="24"/>
        </w:rPr>
        <w:tab/>
      </w:r>
      <w:r w:rsidR="00300726" w:rsidRPr="00300726">
        <w:rPr>
          <w:szCs w:val="24"/>
        </w:rPr>
        <w:t>20</w:t>
      </w:r>
    </w:p>
    <w:p w:rsidR="00E74F5D" w:rsidRDefault="00E74F5D" w:rsidP="00DE7E1D">
      <w:pPr>
        <w:tabs>
          <w:tab w:val="right" w:pos="850"/>
          <w:tab w:val="left" w:pos="1134"/>
          <w:tab w:val="left" w:pos="1559"/>
          <w:tab w:val="left" w:pos="2100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>Приложения</w:t>
      </w:r>
    </w:p>
    <w:p w:rsidR="00E74F5D" w:rsidRPr="00300726" w:rsidRDefault="00E74F5D" w:rsidP="008B3A30">
      <w:pPr>
        <w:tabs>
          <w:tab w:val="right" w:pos="850"/>
          <w:tab w:val="left" w:pos="1134"/>
          <w:tab w:val="left" w:pos="1559"/>
          <w:tab w:val="left" w:pos="2100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</w:r>
      <w:r w:rsidR="005425E1">
        <w:rPr>
          <w:szCs w:val="24"/>
          <w:lang w:val="en-US"/>
        </w:rPr>
        <w:t>I</w:t>
      </w:r>
      <w:r w:rsidR="005425E1" w:rsidRPr="005425E1">
        <w:rPr>
          <w:szCs w:val="24"/>
        </w:rPr>
        <w:t>.</w:t>
      </w:r>
      <w:r>
        <w:rPr>
          <w:szCs w:val="24"/>
        </w:rPr>
        <w:tab/>
        <w:t>Законодательные положения по интеграции иностранцев</w:t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300726" w:rsidRPr="00300726">
        <w:rPr>
          <w:szCs w:val="24"/>
        </w:rPr>
        <w:t>25</w:t>
      </w:r>
    </w:p>
    <w:p w:rsidR="005425E1" w:rsidRPr="00300726" w:rsidRDefault="00E74F5D" w:rsidP="008B3A30">
      <w:pPr>
        <w:tabs>
          <w:tab w:val="right" w:pos="850"/>
          <w:tab w:val="left" w:pos="1134"/>
          <w:tab w:val="left" w:pos="1559"/>
          <w:tab w:val="left" w:pos="2100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</w:r>
      <w:r w:rsidR="005425E1">
        <w:rPr>
          <w:szCs w:val="24"/>
          <w:lang w:val="en-US"/>
        </w:rPr>
        <w:t>II</w:t>
      </w:r>
      <w:r w:rsidR="005425E1" w:rsidRPr="005425E1">
        <w:rPr>
          <w:szCs w:val="24"/>
        </w:rPr>
        <w:t>.</w:t>
      </w:r>
      <w:r>
        <w:rPr>
          <w:szCs w:val="24"/>
        </w:rPr>
        <w:tab/>
        <w:t>Другие законодательные акты</w:t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300726" w:rsidRPr="00300726">
        <w:rPr>
          <w:szCs w:val="24"/>
        </w:rPr>
        <w:t>28</w:t>
      </w:r>
    </w:p>
    <w:p w:rsidR="007A0A12" w:rsidRDefault="005425E1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>Таблицы</w:t>
      </w:r>
    </w:p>
    <w:p w:rsidR="005425E1" w:rsidRPr="00300726" w:rsidRDefault="005425E1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1</w:t>
      </w:r>
      <w:r>
        <w:rPr>
          <w:szCs w:val="24"/>
        </w:rPr>
        <w:tab/>
        <w:t>Число просителей убежища в разбивке по группам стран, 2003−2010 годы</w:t>
      </w:r>
      <w:r>
        <w:rPr>
          <w:szCs w:val="24"/>
        </w:rPr>
        <w:tab/>
      </w:r>
      <w:r>
        <w:rPr>
          <w:szCs w:val="24"/>
        </w:rPr>
        <w:tab/>
      </w:r>
      <w:r w:rsidR="00300726" w:rsidRPr="00300726">
        <w:rPr>
          <w:szCs w:val="24"/>
        </w:rPr>
        <w:tab/>
        <w:t>6</w:t>
      </w:r>
    </w:p>
    <w:p w:rsidR="005425E1" w:rsidRPr="00300726" w:rsidRDefault="005425E1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2</w:t>
      </w:r>
      <w:r>
        <w:rPr>
          <w:szCs w:val="24"/>
        </w:rPr>
        <w:tab/>
        <w:t xml:space="preserve">Ходатайства о предоставлении убежища, временный прием, </w:t>
      </w:r>
      <w:r w:rsidR="008B3A30">
        <w:rPr>
          <w:szCs w:val="24"/>
        </w:rPr>
        <w:br/>
      </w:r>
      <w:r w:rsidR="008B3A30">
        <w:rPr>
          <w:szCs w:val="24"/>
        </w:rPr>
        <w:tab/>
      </w:r>
      <w:r w:rsidR="008B3A30">
        <w:rPr>
          <w:szCs w:val="24"/>
        </w:rPr>
        <w:tab/>
      </w:r>
      <w:r>
        <w:rPr>
          <w:szCs w:val="24"/>
        </w:rPr>
        <w:t xml:space="preserve">предоставление убежища и прием по гуманитарным соображениями </w:t>
      </w:r>
      <w:r w:rsidR="008B3A30">
        <w:rPr>
          <w:szCs w:val="24"/>
        </w:rPr>
        <w:br/>
      </w:r>
      <w:r w:rsidR="008B3A30">
        <w:rPr>
          <w:szCs w:val="24"/>
        </w:rPr>
        <w:tab/>
      </w:r>
      <w:r w:rsidR="008B3A30">
        <w:rPr>
          <w:szCs w:val="24"/>
        </w:rPr>
        <w:tab/>
      </w:r>
      <w:r>
        <w:rPr>
          <w:szCs w:val="24"/>
        </w:rPr>
        <w:t>(по состоянию на ноябрь 2010 года)</w:t>
      </w:r>
      <w:r>
        <w:rPr>
          <w:szCs w:val="24"/>
        </w:rPr>
        <w:tab/>
      </w:r>
      <w:r>
        <w:rPr>
          <w:szCs w:val="24"/>
        </w:rPr>
        <w:tab/>
      </w:r>
      <w:r w:rsidR="008B3A30">
        <w:rPr>
          <w:szCs w:val="24"/>
        </w:rPr>
        <w:tab/>
      </w:r>
      <w:r w:rsidR="00300726" w:rsidRPr="00300726">
        <w:rPr>
          <w:szCs w:val="24"/>
        </w:rPr>
        <w:t>7</w:t>
      </w:r>
    </w:p>
    <w:p w:rsidR="005425E1" w:rsidRPr="00300726" w:rsidRDefault="005425E1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3</w:t>
      </w:r>
      <w:r>
        <w:rPr>
          <w:szCs w:val="24"/>
        </w:rPr>
        <w:tab/>
      </w:r>
      <w:r w:rsidR="00047531">
        <w:rPr>
          <w:szCs w:val="24"/>
        </w:rPr>
        <w:t>Число лиц без гражданства в Лихтенштейне в 2003−2009 годах</w:t>
      </w:r>
      <w:r w:rsidR="00047531">
        <w:rPr>
          <w:szCs w:val="24"/>
        </w:rPr>
        <w:tab/>
      </w:r>
      <w:r w:rsidR="00047531">
        <w:rPr>
          <w:szCs w:val="24"/>
        </w:rPr>
        <w:tab/>
      </w:r>
      <w:r w:rsidR="008B3A30">
        <w:rPr>
          <w:szCs w:val="24"/>
        </w:rPr>
        <w:tab/>
      </w:r>
      <w:r w:rsidR="00300726" w:rsidRPr="00300726">
        <w:rPr>
          <w:szCs w:val="24"/>
        </w:rPr>
        <w:t>8</w:t>
      </w:r>
    </w:p>
    <w:p w:rsidR="00047531" w:rsidRPr="00300726" w:rsidRDefault="00047531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4</w:t>
      </w:r>
      <w:r>
        <w:rPr>
          <w:szCs w:val="24"/>
        </w:rPr>
        <w:tab/>
      </w:r>
      <w:r w:rsidR="00DE7E1D">
        <w:rPr>
          <w:szCs w:val="24"/>
        </w:rPr>
        <w:t xml:space="preserve">Начисленная ежемесячная заработная плата в швейцарских франках </w:t>
      </w:r>
      <w:r w:rsidR="008B3A30">
        <w:rPr>
          <w:szCs w:val="24"/>
        </w:rPr>
        <w:br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DE7E1D">
        <w:rPr>
          <w:szCs w:val="24"/>
        </w:rPr>
        <w:t>в разбивке по гражданству в 2008 году (медианная)</w:t>
      </w:r>
      <w:r w:rsidR="00DE7E1D">
        <w:rPr>
          <w:szCs w:val="24"/>
        </w:rPr>
        <w:tab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300726" w:rsidRPr="00300726">
        <w:rPr>
          <w:szCs w:val="24"/>
        </w:rPr>
        <w:t>11</w:t>
      </w:r>
    </w:p>
    <w:p w:rsidR="00DE7E1D" w:rsidRPr="00300726" w:rsidRDefault="00DE7E1D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5</w:t>
      </w:r>
      <w:r>
        <w:rPr>
          <w:szCs w:val="24"/>
        </w:rPr>
        <w:tab/>
        <w:t xml:space="preserve">Безработица в разбивке по группам стран происхождения в 2004 году </w:t>
      </w:r>
      <w:r w:rsidR="008B3A30">
        <w:rPr>
          <w:szCs w:val="24"/>
        </w:rPr>
        <w:br/>
      </w:r>
      <w:r w:rsidR="008B3A30">
        <w:rPr>
          <w:szCs w:val="24"/>
        </w:rPr>
        <w:tab/>
      </w:r>
      <w:r w:rsidR="008B3A30">
        <w:rPr>
          <w:szCs w:val="24"/>
        </w:rPr>
        <w:tab/>
      </w:r>
      <w:r>
        <w:rPr>
          <w:szCs w:val="24"/>
        </w:rPr>
        <w:t>(в процентах по колонкам)</w:t>
      </w:r>
      <w:r>
        <w:rPr>
          <w:szCs w:val="24"/>
        </w:rPr>
        <w:tab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300726" w:rsidRPr="00300726">
        <w:rPr>
          <w:szCs w:val="24"/>
        </w:rPr>
        <w:t>11</w:t>
      </w:r>
    </w:p>
    <w:p w:rsidR="00DE7E1D" w:rsidRPr="00300726" w:rsidRDefault="00DE7E1D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6</w:t>
      </w:r>
      <w:r>
        <w:rPr>
          <w:szCs w:val="24"/>
        </w:rPr>
        <w:tab/>
        <w:t>Количество натурализаций в год, 2004−2009 годы</w:t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300726" w:rsidRPr="00300726">
        <w:rPr>
          <w:szCs w:val="24"/>
        </w:rPr>
        <w:t>13</w:t>
      </w:r>
    </w:p>
    <w:p w:rsidR="00DE7E1D" w:rsidRPr="00300726" w:rsidRDefault="00DE7E1D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7</w:t>
      </w:r>
      <w:r>
        <w:rPr>
          <w:szCs w:val="24"/>
        </w:rPr>
        <w:tab/>
        <w:t>Эпизоды, связанные с расовой дискриминацией, 2004−2010 годы</w:t>
      </w:r>
      <w:r>
        <w:rPr>
          <w:szCs w:val="24"/>
        </w:rPr>
        <w:tab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300726" w:rsidRPr="00300726">
        <w:rPr>
          <w:szCs w:val="24"/>
        </w:rPr>
        <w:t>16</w:t>
      </w:r>
    </w:p>
    <w:p w:rsidR="00B341D2" w:rsidRPr="00300726" w:rsidRDefault="00B341D2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8</w:t>
      </w:r>
      <w:r>
        <w:rPr>
          <w:szCs w:val="24"/>
        </w:rPr>
        <w:tab/>
        <w:t xml:space="preserve">Лица, прибывающие в государство на основании воссоединения семьи </w:t>
      </w:r>
      <w:r w:rsidR="008B3A30">
        <w:rPr>
          <w:szCs w:val="24"/>
        </w:rPr>
        <w:br/>
      </w:r>
      <w:r w:rsidR="008B3A30">
        <w:rPr>
          <w:szCs w:val="24"/>
        </w:rPr>
        <w:tab/>
      </w:r>
      <w:r w:rsidR="008B3A30">
        <w:rPr>
          <w:szCs w:val="24"/>
        </w:rPr>
        <w:tab/>
      </w:r>
      <w:r>
        <w:rPr>
          <w:szCs w:val="24"/>
        </w:rPr>
        <w:t>или работы по найму</w:t>
      </w:r>
      <w:r>
        <w:rPr>
          <w:szCs w:val="24"/>
        </w:rPr>
        <w:tab/>
      </w:r>
      <w:r>
        <w:rPr>
          <w:szCs w:val="24"/>
        </w:rPr>
        <w:tab/>
      </w:r>
      <w:r w:rsidR="008B3A30">
        <w:rPr>
          <w:szCs w:val="24"/>
        </w:rPr>
        <w:tab/>
      </w:r>
      <w:r w:rsidR="00300726" w:rsidRPr="00300726">
        <w:rPr>
          <w:szCs w:val="24"/>
        </w:rPr>
        <w:t>18</w:t>
      </w:r>
    </w:p>
    <w:p w:rsidR="007A0A12" w:rsidRDefault="00047531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>Диаграммы</w:t>
      </w:r>
    </w:p>
    <w:p w:rsidR="00047531" w:rsidRPr="00300726" w:rsidRDefault="00047531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1</w:t>
      </w:r>
      <w:r>
        <w:rPr>
          <w:szCs w:val="24"/>
        </w:rPr>
        <w:tab/>
        <w:t>Число просителей убежища, 2003−2010 годы (только по ноябрь 2010 года)</w:t>
      </w:r>
      <w:r>
        <w:rPr>
          <w:szCs w:val="24"/>
        </w:rPr>
        <w:tab/>
      </w:r>
      <w:r w:rsidR="008B3A30">
        <w:rPr>
          <w:szCs w:val="24"/>
        </w:rPr>
        <w:tab/>
      </w:r>
      <w:r w:rsidR="00300726" w:rsidRPr="00300726">
        <w:rPr>
          <w:szCs w:val="24"/>
        </w:rPr>
        <w:tab/>
        <w:t>6</w:t>
      </w:r>
    </w:p>
    <w:p w:rsidR="00047531" w:rsidRPr="009D174D" w:rsidRDefault="00047531" w:rsidP="008B3A30">
      <w:pPr>
        <w:tabs>
          <w:tab w:val="right" w:pos="850"/>
          <w:tab w:val="left" w:pos="1134"/>
          <w:tab w:val="left" w:pos="1559"/>
          <w:tab w:val="left" w:leader="dot" w:pos="8820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  <w:t>2</w:t>
      </w:r>
      <w:r>
        <w:rPr>
          <w:szCs w:val="24"/>
        </w:rPr>
        <w:tab/>
        <w:t xml:space="preserve">Происхождение лиц, обращающихся за помощью в Управление </w:t>
      </w:r>
      <w:r w:rsidR="008B3A30">
        <w:rPr>
          <w:szCs w:val="24"/>
        </w:rPr>
        <w:br/>
      </w:r>
      <w:r w:rsidR="008B3A30">
        <w:rPr>
          <w:szCs w:val="24"/>
        </w:rPr>
        <w:tab/>
      </w:r>
      <w:r w:rsidR="008B3A30">
        <w:rPr>
          <w:szCs w:val="24"/>
        </w:rPr>
        <w:tab/>
      </w:r>
      <w:r>
        <w:rPr>
          <w:szCs w:val="24"/>
        </w:rPr>
        <w:t>социальных услуг (с 2001 года), в процентах</w:t>
      </w:r>
      <w:r>
        <w:rPr>
          <w:szCs w:val="24"/>
        </w:rPr>
        <w:tab/>
      </w:r>
      <w:r w:rsidR="008B3A30">
        <w:rPr>
          <w:szCs w:val="24"/>
        </w:rPr>
        <w:tab/>
      </w:r>
      <w:r w:rsidR="008B3A30">
        <w:rPr>
          <w:szCs w:val="24"/>
        </w:rPr>
        <w:tab/>
      </w:r>
      <w:r w:rsidR="00300726" w:rsidRPr="009D174D">
        <w:rPr>
          <w:szCs w:val="24"/>
        </w:rPr>
        <w:t>10</w:t>
      </w:r>
    </w:p>
    <w:p w:rsidR="00D94E08" w:rsidRPr="00A412BB" w:rsidRDefault="00D94E08" w:rsidP="007A0A12">
      <w:pPr>
        <w:pStyle w:val="HChGR"/>
      </w:pPr>
      <w:r w:rsidRPr="00A412BB">
        <w:br w:type="page"/>
      </w:r>
      <w:bookmarkEnd w:id="2"/>
      <w:r w:rsidR="007A0A12">
        <w:tab/>
      </w:r>
      <w:r w:rsidRPr="00A412BB">
        <w:t>I.</w:t>
      </w:r>
      <w:r w:rsidRPr="00A412BB">
        <w:tab/>
        <w:t>Введение</w:t>
      </w:r>
    </w:p>
    <w:p w:rsidR="00D94E08" w:rsidRPr="00A412BB" w:rsidRDefault="00D94E08" w:rsidP="007A0A12">
      <w:pPr>
        <w:pStyle w:val="SingleTxtGR"/>
      </w:pPr>
      <w:r w:rsidRPr="00A412BB">
        <w:t>1.</w:t>
      </w:r>
      <w:r w:rsidRPr="00A412BB">
        <w:tab/>
        <w:t>Настоящий доклад, утвержденный правительством Княжества Лихте</w:t>
      </w:r>
      <w:r w:rsidRPr="00A412BB">
        <w:t>н</w:t>
      </w:r>
      <w:r w:rsidRPr="00A412BB">
        <w:t>штейн 14 июня 2011 года, представляется в соответствии со статьей 9 Межд</w:t>
      </w:r>
      <w:r w:rsidRPr="00A412BB">
        <w:t>у</w:t>
      </w:r>
      <w:r w:rsidRPr="00A412BB">
        <w:t>народной конвенции о ликвидации всех форм расовой дискриминации (МКЛРД) от 21 декабря 1965 года. Он содержит объединенные четвертый, п</w:t>
      </w:r>
      <w:r w:rsidRPr="00A412BB">
        <w:t>я</w:t>
      </w:r>
      <w:r w:rsidRPr="00A412BB">
        <w:t xml:space="preserve">тый и шестой </w:t>
      </w:r>
      <w:r w:rsidR="007A0A12">
        <w:t xml:space="preserve">периодические </w:t>
      </w:r>
      <w:r w:rsidRPr="00A412BB">
        <w:t xml:space="preserve">доклады Лихтенштейна и охватывает период </w:t>
      </w:r>
      <w:r w:rsidR="00D25BAE" w:rsidRPr="00A412BB">
        <w:t>с</w:t>
      </w:r>
      <w:r w:rsidR="00D25BAE">
        <w:t xml:space="preserve"> </w:t>
      </w:r>
      <w:r w:rsidR="00D25BAE" w:rsidRPr="00A412BB">
        <w:t>марта</w:t>
      </w:r>
      <w:r w:rsidRPr="00A412BB">
        <w:t xml:space="preserve"> 2005 года по март 2011 года. </w:t>
      </w:r>
    </w:p>
    <w:p w:rsidR="00D94E08" w:rsidRPr="00A412BB" w:rsidRDefault="00D94E08" w:rsidP="007A0A12">
      <w:pPr>
        <w:pStyle w:val="SingleTxtGR"/>
      </w:pPr>
      <w:r w:rsidRPr="00A412BB">
        <w:t>2.</w:t>
      </w:r>
      <w:r w:rsidRPr="00A412BB">
        <w:tab/>
        <w:t>Доклад был подготовлен Управлением иностранных дел в сотрудничестве с различными правительственными ведомствами, отвечающими за соответс</w:t>
      </w:r>
      <w:r w:rsidRPr="00A412BB">
        <w:t>т</w:t>
      </w:r>
      <w:r w:rsidRPr="00A412BB">
        <w:t>вующие вопросы. Неправительственным организациям была предоставлена возможность прокомментировать настоящий доклад. Эти комментарии пре</w:t>
      </w:r>
      <w:r w:rsidRPr="00A412BB">
        <w:t>д</w:t>
      </w:r>
      <w:r w:rsidRPr="00A412BB">
        <w:t>ставл</w:t>
      </w:r>
      <w:r w:rsidR="00647C72">
        <w:t xml:space="preserve">яются </w:t>
      </w:r>
      <w:r w:rsidRPr="00A412BB">
        <w:t>вместе с настоящим докладом.</w:t>
      </w:r>
    </w:p>
    <w:p w:rsidR="00D94E08" w:rsidRPr="00A412BB" w:rsidRDefault="00D94E08" w:rsidP="007A0A12">
      <w:pPr>
        <w:pStyle w:val="SingleTxtGR"/>
      </w:pPr>
      <w:r w:rsidRPr="00A412BB">
        <w:t>3.</w:t>
      </w:r>
      <w:r w:rsidRPr="00A412BB">
        <w:tab/>
      </w:r>
      <w:r w:rsidR="00647C72">
        <w:t>В д</w:t>
      </w:r>
      <w:r w:rsidRPr="00A412BB">
        <w:t>оклад</w:t>
      </w:r>
      <w:r w:rsidR="00647C72">
        <w:t xml:space="preserve">е, который </w:t>
      </w:r>
      <w:r w:rsidRPr="00A412BB">
        <w:t>был подготовлен в соответствии с руководящими принципами, содержащимися в документах CERD/C/2007/1 и CERD/C/68/</w:t>
      </w:r>
      <w:r w:rsidR="00647C72">
        <w:t xml:space="preserve"> </w:t>
      </w:r>
      <w:r w:rsidRPr="00A412BB">
        <w:t>Misc.5/Rev.1,</w:t>
      </w:r>
      <w:r w:rsidR="00647C72">
        <w:t xml:space="preserve">перечисляются </w:t>
      </w:r>
      <w:r w:rsidRPr="00A412BB">
        <w:t>законодательные, административные и иные меры по осуществлению Конвенции, которые были приняты в течение отчетного п</w:t>
      </w:r>
      <w:r w:rsidRPr="00A412BB">
        <w:t>е</w:t>
      </w:r>
      <w:r w:rsidRPr="00A412BB">
        <w:t xml:space="preserve">риода. В настоящем докладе приводятся ссылки на замечания и рекомендации Комитета по объединенным второму и третьему </w:t>
      </w:r>
      <w:r w:rsidR="00647C72">
        <w:t xml:space="preserve">периодическим </w:t>
      </w:r>
      <w:r w:rsidRPr="00A412BB">
        <w:t>докладам Ли</w:t>
      </w:r>
      <w:r w:rsidRPr="00A412BB">
        <w:t>х</w:t>
      </w:r>
      <w:r w:rsidRPr="00A412BB">
        <w:t xml:space="preserve">тенштейна, которые Комитет выпустил в качестве документа </w:t>
      </w:r>
      <w:r w:rsidR="00CB4AF3">
        <w:rPr>
          <w:lang w:val="en-US"/>
        </w:rPr>
        <w:t>CERD</w:t>
      </w:r>
      <w:r w:rsidR="00CB4AF3" w:rsidRPr="00CB4AF3">
        <w:t>/</w:t>
      </w:r>
      <w:r w:rsidR="00CB4AF3">
        <w:rPr>
          <w:lang w:val="en-US"/>
        </w:rPr>
        <w:t>C</w:t>
      </w:r>
      <w:r w:rsidR="00CB4AF3" w:rsidRPr="00CB4AF3">
        <w:t>/</w:t>
      </w:r>
      <w:r w:rsidR="00CB4AF3">
        <w:rPr>
          <w:lang w:val="en-US"/>
        </w:rPr>
        <w:t>LIE</w:t>
      </w:r>
      <w:r w:rsidR="00CB4AF3" w:rsidRPr="00CB4AF3">
        <w:t>/</w:t>
      </w:r>
      <w:r w:rsidR="00CB4AF3">
        <w:rPr>
          <w:lang w:val="en-US"/>
        </w:rPr>
        <w:t>CO</w:t>
      </w:r>
      <w:r w:rsidR="00CB4AF3" w:rsidRPr="00CB4AF3">
        <w:t xml:space="preserve">/3 </w:t>
      </w:r>
      <w:r w:rsidRPr="00A412BB">
        <w:t>от 7 мая 2007 года</w:t>
      </w:r>
      <w:r w:rsidRPr="00A412BB">
        <w:rPr>
          <w:bCs/>
        </w:rPr>
        <w:t>.</w:t>
      </w:r>
    </w:p>
    <w:p w:rsidR="00D94E08" w:rsidRPr="00A412BB" w:rsidRDefault="00D94E08" w:rsidP="007A0A12">
      <w:pPr>
        <w:pStyle w:val="HChGR"/>
      </w:pPr>
      <w:bookmarkStart w:id="3" w:name="_Toc292102417"/>
      <w:bookmarkStart w:id="4" w:name="_Toc302400164"/>
      <w:r w:rsidRPr="00A412BB">
        <w:tab/>
        <w:t>II.</w:t>
      </w:r>
      <w:r w:rsidRPr="00A412BB">
        <w:tab/>
      </w:r>
      <w:bookmarkEnd w:id="3"/>
      <w:bookmarkEnd w:id="4"/>
      <w:r w:rsidRPr="00A412BB">
        <w:t>Резюме</w:t>
      </w:r>
    </w:p>
    <w:p w:rsidR="00D94E08" w:rsidRPr="00A412BB" w:rsidRDefault="00D94E08" w:rsidP="007A0A12">
      <w:pPr>
        <w:pStyle w:val="SingleTxtGR"/>
      </w:pPr>
      <w:r w:rsidRPr="00A412BB">
        <w:t>4.</w:t>
      </w:r>
      <w:r w:rsidRPr="00A412BB">
        <w:tab/>
        <w:t xml:space="preserve">Сосуществование коренного и иностранного населения в течение многих десятилетий </w:t>
      </w:r>
      <w:r w:rsidR="00EB52A9">
        <w:t xml:space="preserve">носило </w:t>
      </w:r>
      <w:r w:rsidRPr="00A412BB">
        <w:t>мирны</w:t>
      </w:r>
      <w:r w:rsidR="00EB52A9">
        <w:t>й характер</w:t>
      </w:r>
      <w:r w:rsidRPr="00A412BB">
        <w:t>, в частности благодаря тому, что ин</w:t>
      </w:r>
      <w:r w:rsidRPr="00A412BB">
        <w:t>о</w:t>
      </w:r>
      <w:r w:rsidRPr="00A412BB">
        <w:t>стран</w:t>
      </w:r>
      <w:r w:rsidR="00EB52A9">
        <w:t xml:space="preserve">цы </w:t>
      </w:r>
      <w:r w:rsidRPr="00A412BB">
        <w:t>на равных условиях участву</w:t>
      </w:r>
      <w:r w:rsidR="00EB52A9">
        <w:t>ю</w:t>
      </w:r>
      <w:r w:rsidRPr="00A412BB">
        <w:t>т в успешном экономическом развитии страны и так же, как и коренное население, интегрирован</w:t>
      </w:r>
      <w:r w:rsidR="00EB52A9">
        <w:t>ы</w:t>
      </w:r>
      <w:r w:rsidRPr="00A412BB">
        <w:t xml:space="preserve"> в ее общественные структуры. Наряду с этим содействие интеграции иностранцев является одним из приоритетов правительства Лихтенштейна. Положения об этом включены в Закон об иностранцах и в Закон о свободном передвижении лиц. Интеграция понимается как </w:t>
      </w:r>
      <w:r w:rsidR="00EB52A9">
        <w:t>двусторонний</w:t>
      </w:r>
      <w:r w:rsidRPr="00A412BB">
        <w:t xml:space="preserve"> процесс, направленный на достижение взаимного уважения и понимания как со стороны принимающего сообщества, так и со стороны м</w:t>
      </w:r>
      <w:r w:rsidRPr="00A412BB">
        <w:t>и</w:t>
      </w:r>
      <w:r w:rsidRPr="00A412BB">
        <w:t>грантов, на основе принципа "спроса и поощрения".</w:t>
      </w:r>
    </w:p>
    <w:p w:rsidR="00D94E08" w:rsidRPr="00A412BB" w:rsidRDefault="00D94E08" w:rsidP="007A0A12">
      <w:pPr>
        <w:pStyle w:val="SingleTxtGR"/>
      </w:pPr>
      <w:r w:rsidRPr="00A412BB">
        <w:t>5.</w:t>
      </w:r>
      <w:r w:rsidRPr="00A412BB">
        <w:tab/>
      </w:r>
      <w:r>
        <w:t>П</w:t>
      </w:r>
      <w:r w:rsidRPr="00A412BB">
        <w:t xml:space="preserve">равительство 1 сентября 2008 года учредило должность </w:t>
      </w:r>
      <w:r w:rsidR="00EB52A9">
        <w:t>У</w:t>
      </w:r>
      <w:r w:rsidRPr="00A412BB">
        <w:t>полномоче</w:t>
      </w:r>
      <w:r w:rsidRPr="00A412BB">
        <w:t>н</w:t>
      </w:r>
      <w:r w:rsidRPr="00A412BB">
        <w:t>ного по вопросам интеграции. В декабре 2010 года правительство приняло ко</w:t>
      </w:r>
      <w:r w:rsidRPr="00A412BB">
        <w:t>м</w:t>
      </w:r>
      <w:r w:rsidRPr="00A412BB">
        <w:t>плексную концепцию интеграции, озаглавленную "Лихтенштейн – сила через многообразие", и план мер на 2011</w:t>
      </w:r>
      <w:r w:rsidR="008D408E">
        <w:t>−</w:t>
      </w:r>
      <w:r w:rsidRPr="00A412BB">
        <w:t xml:space="preserve">2013 годы. </w:t>
      </w:r>
      <w:r w:rsidR="00EB52A9">
        <w:t>Данная к</w:t>
      </w:r>
      <w:r w:rsidRPr="00A412BB">
        <w:t xml:space="preserve">онцепция содержит пять ключевых </w:t>
      </w:r>
      <w:r>
        <w:t>принципов</w:t>
      </w:r>
      <w:r w:rsidRPr="00A412BB">
        <w:t xml:space="preserve"> политики интеграции: 1) Лихтенштейн содействует раскрытию потенциала местного населения и извлекает пользу из этого поте</w:t>
      </w:r>
      <w:r w:rsidRPr="00A412BB">
        <w:t>н</w:t>
      </w:r>
      <w:r w:rsidRPr="00A412BB">
        <w:t>циала; 2) Лихтенштейн ценит разнообразие и целенаправленно его поощряет; 3)</w:t>
      </w:r>
      <w:r w:rsidR="00EB52A9">
        <w:t> </w:t>
      </w:r>
      <w:r w:rsidRPr="00A412BB">
        <w:t>Лихтенштейн видит себя "межкультурной страной", которая позволяет ка</w:t>
      </w:r>
      <w:r w:rsidRPr="00A412BB">
        <w:t>ж</w:t>
      </w:r>
      <w:r w:rsidRPr="00A412BB">
        <w:t>дому участвовать в ее жизни; 4) Лихтенштейн является страной, по отношению к которой ее жители чувствуют свою глубокую причастность и гордость; 5)</w:t>
      </w:r>
      <w:r w:rsidR="00EB52A9">
        <w:t> </w:t>
      </w:r>
      <w:r w:rsidRPr="00A412BB">
        <w:t>Лихтенштейн активно поощряет многоязычие</w:t>
      </w:r>
      <w:r w:rsidR="00EB52A9">
        <w:rPr>
          <w:rStyle w:val="FootnoteReference"/>
        </w:rPr>
        <w:footnoteReference w:id="3"/>
      </w:r>
      <w:r w:rsidRPr="00A412BB">
        <w:t xml:space="preserve"> (см. дальнейшие замечания по рекомендации № 15 в разделе, посвященном статье 2, и № 23 в разделе, посв</w:t>
      </w:r>
      <w:r w:rsidRPr="00A412BB">
        <w:t>я</w:t>
      </w:r>
      <w:r w:rsidRPr="00A412BB">
        <w:t>щенном статье 5).</w:t>
      </w:r>
    </w:p>
    <w:p w:rsidR="00D94E08" w:rsidRDefault="00D94E08" w:rsidP="007A0A12">
      <w:pPr>
        <w:pStyle w:val="SingleTxtGR"/>
      </w:pPr>
      <w:r w:rsidRPr="00A412BB">
        <w:t>6.</w:t>
      </w:r>
      <w:r w:rsidRPr="00A412BB">
        <w:tab/>
        <w:t>В целях борьбы с расовой дискриминацией, в особенности с правым эк</w:t>
      </w:r>
      <w:r w:rsidRPr="00A412BB">
        <w:t>с</w:t>
      </w:r>
      <w:r w:rsidRPr="00A412BB">
        <w:t>тремизмом</w:t>
      </w:r>
      <w:r w:rsidR="00D25BAE">
        <w:t>, за</w:t>
      </w:r>
      <w:r w:rsidRPr="00A412BB">
        <w:t xml:space="preserve"> период </w:t>
      </w:r>
      <w:r w:rsidR="00D25BAE">
        <w:t xml:space="preserve">с представления последнего </w:t>
      </w:r>
      <w:r w:rsidRPr="00A412BB">
        <w:t>доклада были осуществл</w:t>
      </w:r>
      <w:r w:rsidRPr="00A412BB">
        <w:t>е</w:t>
      </w:r>
      <w:r w:rsidRPr="00A412BB">
        <w:t>ны многочисленные меры. В дополнение к мероприятиям и кампаниям по инфо</w:t>
      </w:r>
      <w:r w:rsidRPr="00A412BB">
        <w:t>р</w:t>
      </w:r>
      <w:r w:rsidRPr="00A412BB">
        <w:t>мированию и повышению осведомленности были проведены базовые исслед</w:t>
      </w:r>
      <w:r w:rsidRPr="00A412BB">
        <w:t>о</w:t>
      </w:r>
      <w:r w:rsidRPr="00A412BB">
        <w:t>вания, подготовлены и расширены статистические материалы, а также осущ</w:t>
      </w:r>
      <w:r w:rsidRPr="00A412BB">
        <w:t>е</w:t>
      </w:r>
      <w:r w:rsidRPr="00A412BB">
        <w:t>ствлены изменения в институциональной сфере. По нескольким уголовным д</w:t>
      </w:r>
      <w:r w:rsidRPr="00A412BB">
        <w:t>е</w:t>
      </w:r>
      <w:r w:rsidRPr="00A412BB">
        <w:t>лам, связанны</w:t>
      </w:r>
      <w:r w:rsidR="00642DAE">
        <w:t>м</w:t>
      </w:r>
      <w:r w:rsidRPr="00A412BB">
        <w:t xml:space="preserve"> с расовой дискриминацией, были вынесены приговоры, пред</w:t>
      </w:r>
      <w:r w:rsidRPr="00A412BB">
        <w:t>у</w:t>
      </w:r>
      <w:r w:rsidRPr="00A412BB">
        <w:t>сматривающие тюремное заключение (см. замечания по рекомендациям №</w:t>
      </w:r>
      <w:r w:rsidR="00D25BAE">
        <w:t> </w:t>
      </w:r>
      <w:r w:rsidRPr="00A412BB">
        <w:t>15 и</w:t>
      </w:r>
      <w:r w:rsidR="00140C65">
        <w:t xml:space="preserve"> </w:t>
      </w:r>
      <w:r w:rsidRPr="00A412BB">
        <w:t>18 в разделе, посвященном статье 2, и по рекомендации № 19 в разделе, посв</w:t>
      </w:r>
      <w:r w:rsidRPr="00A412BB">
        <w:t>я</w:t>
      </w:r>
      <w:r w:rsidRPr="00A412BB">
        <w:t>щенном статье 4).</w:t>
      </w:r>
    </w:p>
    <w:p w:rsidR="005D2199" w:rsidRPr="00A412BB" w:rsidRDefault="005D2199" w:rsidP="005D2199">
      <w:pPr>
        <w:pStyle w:val="HChGR"/>
      </w:pPr>
      <w:r w:rsidRPr="005D2199">
        <w:tab/>
      </w:r>
      <w:r w:rsidRPr="00A412BB">
        <w:t>III.</w:t>
      </w:r>
      <w:r w:rsidRPr="00A412BB">
        <w:tab/>
      </w:r>
      <w:proofErr w:type="spellStart"/>
      <w:r w:rsidRPr="00A412BB">
        <w:t>Неграждане</w:t>
      </w:r>
      <w:proofErr w:type="spellEnd"/>
    </w:p>
    <w:p w:rsidR="005D2199" w:rsidRPr="00A412BB" w:rsidRDefault="005D2199" w:rsidP="005D2199">
      <w:pPr>
        <w:pStyle w:val="SingleTxtGR"/>
      </w:pPr>
      <w:r w:rsidRPr="00A412BB">
        <w:t>7.</w:t>
      </w:r>
      <w:r w:rsidRPr="00A412BB">
        <w:tab/>
        <w:t>В свете выраженного в Декларации Конференции по борьбе против р</w:t>
      </w:r>
      <w:r w:rsidRPr="00A412BB">
        <w:t>а</w:t>
      </w:r>
      <w:r w:rsidRPr="00A412BB">
        <w:t>сизма, расовой дискриминации, ксенофобии и связанной с ними нетерпимости, состоявшейся в Дурбане в 2001 году, признания того, что ксенофобия в отн</w:t>
      </w:r>
      <w:r w:rsidRPr="00A412BB">
        <w:t>о</w:t>
      </w:r>
      <w:r w:rsidRPr="00A412BB">
        <w:t xml:space="preserve">шении </w:t>
      </w:r>
      <w:proofErr w:type="spellStart"/>
      <w:r w:rsidRPr="00A412BB">
        <w:t>неграждан</w:t>
      </w:r>
      <w:proofErr w:type="spellEnd"/>
      <w:r w:rsidRPr="00A412BB">
        <w:t>, особенно мигрантов, беженцев и</w:t>
      </w:r>
      <w:r w:rsidRPr="00D15FA3">
        <w:t xml:space="preserve"> </w:t>
      </w:r>
      <w:r>
        <w:t xml:space="preserve">просителей </w:t>
      </w:r>
      <w:r w:rsidRPr="00A412BB">
        <w:t>убежища</w:t>
      </w:r>
      <w:r w:rsidR="00140C65">
        <w:t>,</w:t>
      </w:r>
      <w:r w:rsidRPr="00A412BB">
        <w:t xml:space="preserve"> явл</w:t>
      </w:r>
      <w:r w:rsidRPr="00A412BB">
        <w:t>я</w:t>
      </w:r>
      <w:r w:rsidRPr="00A412BB">
        <w:t xml:space="preserve">ется одним из основных источников современного расизма, а также </w:t>
      </w:r>
      <w:r>
        <w:t>с учетом</w:t>
      </w:r>
      <w:r w:rsidRPr="00A412BB">
        <w:t xml:space="preserve"> содержащегося в Итоговом документе Конференции по обзору 2009 года пр</w:t>
      </w:r>
      <w:r w:rsidRPr="00A412BB">
        <w:t>и</w:t>
      </w:r>
      <w:r w:rsidRPr="00A412BB">
        <w:t xml:space="preserve">зыва к государствам принимать меры для борьбы с проявлениями ксенофобии по отношению к </w:t>
      </w:r>
      <w:proofErr w:type="spellStart"/>
      <w:r w:rsidRPr="00A412BB">
        <w:t>негражданам</w:t>
      </w:r>
      <w:proofErr w:type="spellEnd"/>
      <w:r w:rsidRPr="00A412BB">
        <w:t xml:space="preserve"> и формированием их негативного образа в пр</w:t>
      </w:r>
      <w:r w:rsidRPr="00A412BB">
        <w:t>и</w:t>
      </w:r>
      <w:r w:rsidRPr="00A412BB">
        <w:t>веденные ниже замечания включена некоторая основная информация о прав</w:t>
      </w:r>
      <w:r w:rsidRPr="00A412BB">
        <w:t>о</w:t>
      </w:r>
      <w:r w:rsidRPr="00A412BB">
        <w:t xml:space="preserve">вом положении </w:t>
      </w:r>
      <w:proofErr w:type="spellStart"/>
      <w:r w:rsidRPr="00A412BB">
        <w:t>неграждан</w:t>
      </w:r>
      <w:proofErr w:type="spellEnd"/>
      <w:r w:rsidRPr="00A412BB">
        <w:t xml:space="preserve"> в Лихтенштейне</w:t>
      </w:r>
      <w:r w:rsidRPr="00757231">
        <w:rPr>
          <w:sz w:val="18"/>
          <w:szCs w:val="18"/>
          <w:vertAlign w:val="superscript"/>
        </w:rPr>
        <w:footnoteReference w:id="4"/>
      </w:r>
      <w:r w:rsidRPr="00A412BB">
        <w:t>.</w:t>
      </w:r>
    </w:p>
    <w:p w:rsidR="005D2199" w:rsidRPr="00A412BB" w:rsidRDefault="005D2199" w:rsidP="005D2199">
      <w:pPr>
        <w:pStyle w:val="SingleTxtGR"/>
      </w:pPr>
      <w:r w:rsidRPr="00A412BB">
        <w:t>8.</w:t>
      </w:r>
      <w:r w:rsidRPr="00A412BB">
        <w:tab/>
      </w:r>
      <w:r>
        <w:t>На долю и</w:t>
      </w:r>
      <w:r w:rsidRPr="00A412BB">
        <w:t>ностранц</w:t>
      </w:r>
      <w:r>
        <w:t>ев приходится</w:t>
      </w:r>
      <w:r w:rsidRPr="00A412BB">
        <w:t xml:space="preserve"> треть постоянного населения Лихте</w:t>
      </w:r>
      <w:r w:rsidRPr="00A412BB">
        <w:t>н</w:t>
      </w:r>
      <w:r w:rsidRPr="00A412BB">
        <w:t>штейна. Половину иностранных граждан, проживающих в Лихтенштейне, с</w:t>
      </w:r>
      <w:r w:rsidRPr="00A412BB">
        <w:t>о</w:t>
      </w:r>
      <w:r w:rsidRPr="00A412BB">
        <w:t xml:space="preserve">ставляют выходцы из стран Европейской экономической зоны (ЕЭЗ), </w:t>
      </w:r>
      <w:r>
        <w:t xml:space="preserve">прежде всего </w:t>
      </w:r>
      <w:r w:rsidRPr="00A412BB">
        <w:t xml:space="preserve">Австрии и Германии. Треть иностранного населения составляют граждане Швейцарии, а одну пятую – выходцы из других стран, кроме ЕЭЗ и Швейцарии. </w:t>
      </w:r>
      <w:r>
        <w:t>За</w:t>
      </w:r>
      <w:r w:rsidRPr="00A412BB">
        <w:t xml:space="preserve"> период с </w:t>
      </w:r>
      <w:r>
        <w:t xml:space="preserve">представления </w:t>
      </w:r>
      <w:r w:rsidRPr="00A412BB">
        <w:t>последнего доклад</w:t>
      </w:r>
      <w:r>
        <w:t>а</w:t>
      </w:r>
      <w:r w:rsidRPr="00A412BB">
        <w:t xml:space="preserve"> компетентные органы не пол</w:t>
      </w:r>
      <w:r w:rsidRPr="00A412BB">
        <w:t>у</w:t>
      </w:r>
      <w:r w:rsidRPr="00A412BB">
        <w:t xml:space="preserve">чали сообщений о лицах, проживающих в </w:t>
      </w:r>
      <w:r>
        <w:t>Лихтенштейне без действующего</w:t>
      </w:r>
      <w:r w:rsidRPr="00A412BB">
        <w:t xml:space="preserve"> разрешения. Подробная информация о составе населения страны содержится в главе А общего базового документа. </w:t>
      </w:r>
    </w:p>
    <w:p w:rsidR="005D2199" w:rsidRPr="00A412BB" w:rsidRDefault="005D2199" w:rsidP="005D2199">
      <w:pPr>
        <w:pStyle w:val="SingleTxtGR"/>
      </w:pPr>
      <w:r w:rsidRPr="00A412BB">
        <w:t>9.</w:t>
      </w:r>
      <w:r w:rsidRPr="00A412BB">
        <w:tab/>
        <w:t>В законе, регулирующем положение иностранцев в Лихтенштейне, ра</w:t>
      </w:r>
      <w:r w:rsidRPr="00A412BB">
        <w:t>з</w:t>
      </w:r>
      <w:r w:rsidRPr="00A412BB">
        <w:t>личаются три группы иностранцев: 1) граждане Швейцарии, 2) граждане гос</w:t>
      </w:r>
      <w:r w:rsidRPr="00A412BB">
        <w:t>у</w:t>
      </w:r>
      <w:r w:rsidRPr="00A412BB">
        <w:t>дарств</w:t>
      </w:r>
      <w:r>
        <w:t xml:space="preserve"> − </w:t>
      </w:r>
      <w:r w:rsidRPr="00A412BB">
        <w:t xml:space="preserve">членов Европейской экономической зоны (ЕЭЗ) и 3) граждане всех других стран ("третьих стран"). Это различие вытекает из </w:t>
      </w:r>
      <w:r>
        <w:t xml:space="preserve">положений </w:t>
      </w:r>
      <w:r w:rsidRPr="00A412BB">
        <w:t>междун</w:t>
      </w:r>
      <w:r w:rsidRPr="00A412BB">
        <w:t>а</w:t>
      </w:r>
      <w:r w:rsidRPr="00A412BB">
        <w:t>родных договоров, заключенных с</w:t>
      </w:r>
      <w:r w:rsidR="00140C65">
        <w:t>о</w:t>
      </w:r>
      <w:r w:rsidRPr="00A412BB">
        <w:t xml:space="preserve"> Швейцарией и государствами Европейской экономической з</w:t>
      </w:r>
      <w:r>
        <w:t xml:space="preserve">оны, в которых содержатся </w:t>
      </w:r>
      <w:proofErr w:type="spellStart"/>
      <w:r>
        <w:t>взаимоприменимые</w:t>
      </w:r>
      <w:proofErr w:type="spellEnd"/>
      <w:r w:rsidRPr="00A412BB">
        <w:t xml:space="preserve"> правила, рег</w:t>
      </w:r>
      <w:r w:rsidRPr="00A412BB">
        <w:t>у</w:t>
      </w:r>
      <w:r w:rsidRPr="00A412BB">
        <w:t>лирующие обращение с гражданами и членами их семей, и разрешается огр</w:t>
      </w:r>
      <w:r w:rsidRPr="00A412BB">
        <w:t>а</w:t>
      </w:r>
      <w:r w:rsidRPr="00A412BB">
        <w:t>ниченное (обусловленное конкретными обстоятельствами) свободное перем</w:t>
      </w:r>
      <w:r w:rsidRPr="00A412BB">
        <w:t>е</w:t>
      </w:r>
      <w:r w:rsidRPr="00A412BB">
        <w:t>щение лиц. С другими странами такие договоры не подписаны. Раз</w:t>
      </w:r>
      <w:r>
        <w:t>ное</w:t>
      </w:r>
      <w:r w:rsidRPr="00A412BB">
        <w:t xml:space="preserve"> обращ</w:t>
      </w:r>
      <w:r w:rsidRPr="00A412BB">
        <w:t>е</w:t>
      </w:r>
      <w:r w:rsidRPr="00A412BB">
        <w:t>ние с лицами из различных стран, таким образом, не является дискриминац</w:t>
      </w:r>
      <w:r w:rsidRPr="00A412BB">
        <w:t>и</w:t>
      </w:r>
      <w:r w:rsidRPr="00A412BB">
        <w:t>онным по смыслу пункта 1 статьи 1 МКЛРД и не составляет дискриминации в отнош</w:t>
      </w:r>
      <w:r w:rsidRPr="00A412BB">
        <w:t>е</w:t>
      </w:r>
      <w:r w:rsidRPr="00A412BB">
        <w:t>нии какой-либо определенной национальности (пункт</w:t>
      </w:r>
      <w:r w:rsidR="00140C65">
        <w:t> </w:t>
      </w:r>
      <w:r w:rsidRPr="00A412BB">
        <w:t>3 статьи</w:t>
      </w:r>
      <w:r w:rsidR="00140C65">
        <w:t> </w:t>
      </w:r>
      <w:r w:rsidRPr="00A412BB">
        <w:t>1 МКЛРД).</w:t>
      </w:r>
    </w:p>
    <w:p w:rsidR="005D2199" w:rsidRPr="00A412BB" w:rsidRDefault="005D2199" w:rsidP="005D2199">
      <w:pPr>
        <w:pStyle w:val="SingleTxtGR"/>
      </w:pPr>
      <w:r w:rsidRPr="00A412BB">
        <w:t>10.</w:t>
      </w:r>
      <w:r w:rsidRPr="00A412BB">
        <w:tab/>
        <w:t>Со времени представления в 2005 году последнего доклада Комитету по ликвидации расовой дискриминации (КЛРД) в правовые основы законодател</w:t>
      </w:r>
      <w:r w:rsidRPr="00A412BB">
        <w:t>ь</w:t>
      </w:r>
      <w:r w:rsidRPr="00A412BB">
        <w:t>ства, регулирующего статус иностранцев, были внесены изменения: 1 января 2009 года вступили в силу новый Закон об иностранцах и соответствующий указ</w:t>
      </w:r>
      <w:r w:rsidRPr="00757231">
        <w:rPr>
          <w:rStyle w:val="FootnoteReference"/>
          <w:szCs w:val="18"/>
        </w:rPr>
        <w:footnoteReference w:id="5"/>
      </w:r>
      <w:r w:rsidRPr="00A412BB">
        <w:t xml:space="preserve">. </w:t>
      </w:r>
      <w:r>
        <w:t>Д</w:t>
      </w:r>
      <w:r w:rsidRPr="00A412BB">
        <w:t>анный закон применяется к иностранцам, которые не являются гражд</w:t>
      </w:r>
      <w:r w:rsidRPr="00A412BB">
        <w:t>а</w:t>
      </w:r>
      <w:r w:rsidRPr="00A412BB">
        <w:t>нами государств</w:t>
      </w:r>
      <w:r>
        <w:t xml:space="preserve"> − </w:t>
      </w:r>
      <w:r w:rsidRPr="00A412BB">
        <w:t>членов ЕЭЗ или Швейцарии и право которых на нахождение в стране не вытекает из их отношений с гражданином государства</w:t>
      </w:r>
      <w:r>
        <w:t xml:space="preserve"> − </w:t>
      </w:r>
      <w:r w:rsidRPr="00A412BB">
        <w:t xml:space="preserve">члена ЕЭЗ или Швейцарии. </w:t>
      </w:r>
    </w:p>
    <w:p w:rsidR="005D2199" w:rsidRPr="00A412BB" w:rsidRDefault="005D2199" w:rsidP="005D2199">
      <w:pPr>
        <w:pStyle w:val="SingleTxtGR"/>
      </w:pPr>
      <w:r w:rsidRPr="00A412BB">
        <w:t>11.</w:t>
      </w:r>
      <w:r w:rsidRPr="00A412BB">
        <w:tab/>
        <w:t>1 января 2010 году вступили в силу Закон о свободном передвижении лиц и соответствующий указ, касающиеся граждан ЕЭЗ и Швейцарии</w:t>
      </w:r>
      <w:r w:rsidRPr="00757231">
        <w:rPr>
          <w:rStyle w:val="FootnoteReference"/>
          <w:szCs w:val="18"/>
        </w:rPr>
        <w:footnoteReference w:id="6"/>
      </w:r>
      <w:r w:rsidRPr="00A412BB">
        <w:t xml:space="preserve">. </w:t>
      </w:r>
      <w:r>
        <w:t>Данный з</w:t>
      </w:r>
      <w:r w:rsidRPr="00A412BB">
        <w:t>а</w:t>
      </w:r>
      <w:r w:rsidRPr="00A412BB">
        <w:t xml:space="preserve">кон в основном </w:t>
      </w:r>
      <w:r>
        <w:t>имплементиру</w:t>
      </w:r>
      <w:r w:rsidRPr="00A412BB">
        <w:t>ет директиву Европейского Союза в отношении прав граждан ЕС на свободное проживание на территории государств</w:t>
      </w:r>
      <w:r>
        <w:t xml:space="preserve"> − </w:t>
      </w:r>
      <w:r w:rsidRPr="00A412BB">
        <w:t>членов ЕС. Он регламентирует порядок въезда и выезда, постоянного проживания и воссоединения семей граждан государств</w:t>
      </w:r>
      <w:r>
        <w:t xml:space="preserve"> − </w:t>
      </w:r>
      <w:r w:rsidRPr="00A412BB">
        <w:t>членов Европейской экономической зоны (граждан ЕЭЗ) или Швейцарии и основан на действующих договорах</w:t>
      </w:r>
      <w:r w:rsidRPr="00757231">
        <w:rPr>
          <w:rStyle w:val="FootnoteReference"/>
          <w:szCs w:val="18"/>
        </w:rPr>
        <w:footnoteReference w:id="7"/>
      </w:r>
      <w:r w:rsidRPr="00A412BB">
        <w:t>. В</w:t>
      </w:r>
      <w:r>
        <w:t> </w:t>
      </w:r>
      <w:r w:rsidRPr="00A412BB">
        <w:t xml:space="preserve">обоих законах содержатся статьи, регламентирующие вопросы интеграции; Закон о свободном передвижении лиц определяет намеченные цели, а Закон об иностранцах устанавливает </w:t>
      </w:r>
      <w:r>
        <w:t xml:space="preserve">юридически </w:t>
      </w:r>
      <w:r w:rsidRPr="00A412BB">
        <w:t>обязательные требования.</w:t>
      </w:r>
    </w:p>
    <w:p w:rsidR="005D2199" w:rsidRPr="00A412BB" w:rsidRDefault="005D2199" w:rsidP="005D2199">
      <w:pPr>
        <w:pStyle w:val="SingleTxtGR"/>
      </w:pPr>
      <w:r w:rsidRPr="00A412BB">
        <w:t>12.</w:t>
      </w:r>
      <w:r w:rsidRPr="00A412BB">
        <w:tab/>
        <w:t>Принципы, касающиеся предоставления убежища и временной защиты, правового статуса беженцев и лиц, нуждающихся в защите, а также восстано</w:t>
      </w:r>
      <w:r w:rsidRPr="00A412BB">
        <w:t>в</w:t>
      </w:r>
      <w:r w:rsidRPr="00A412BB">
        <w:t>ления их безопасности и достоинства, определены в Законе от 2 апреля 1998</w:t>
      </w:r>
      <w:r>
        <w:t> </w:t>
      </w:r>
      <w:r w:rsidRPr="00A412BB">
        <w:t xml:space="preserve">года о </w:t>
      </w:r>
      <w:r>
        <w:t>прием</w:t>
      </w:r>
      <w:r w:rsidRPr="00A412BB">
        <w:t>е просителей убежища и лиц, нуждающихся в защите (Закон о беженцах)</w:t>
      </w:r>
      <w:r w:rsidRPr="008703EF">
        <w:rPr>
          <w:rStyle w:val="FootnoteReference"/>
          <w:szCs w:val="18"/>
        </w:rPr>
        <w:footnoteReference w:id="8"/>
      </w:r>
      <w:r w:rsidRPr="00A412BB">
        <w:t>. В настоящее время этот закон пересматривается. Принятие парл</w:t>
      </w:r>
      <w:r w:rsidRPr="00A412BB">
        <w:t>а</w:t>
      </w:r>
      <w:r w:rsidRPr="00A412BB">
        <w:t>ментом пересмотренного закона ожидается в течение 2011 года. Законопроект расширяет масштабы защиты пострадавших лиц в нескольких областях, пред</w:t>
      </w:r>
      <w:r w:rsidRPr="00A412BB">
        <w:t>у</w:t>
      </w:r>
      <w:r w:rsidRPr="00A412BB">
        <w:t>сматривая, в частности, переход от теории ответственности к теории защиты (защита</w:t>
      </w:r>
      <w:r w:rsidR="00036E76">
        <w:t>,</w:t>
      </w:r>
      <w:r w:rsidRPr="00A412BB">
        <w:t xml:space="preserve"> в том числе в случае негосударственного преследования), возмо</w:t>
      </w:r>
      <w:r w:rsidRPr="00A412BB">
        <w:t>ж</w:t>
      </w:r>
      <w:r w:rsidRPr="00A412BB">
        <w:t>ность переселения лиц, признанных беженцами, укрепление практики предоставл</w:t>
      </w:r>
      <w:r w:rsidRPr="00A412BB">
        <w:t>е</w:t>
      </w:r>
      <w:r w:rsidRPr="00A412BB">
        <w:t>ния индивидуальных юридических консультаций, а также расширение прав на обжалование (расширение списка оснований для обжалования и продление ср</w:t>
      </w:r>
      <w:r w:rsidRPr="00A412BB">
        <w:t>о</w:t>
      </w:r>
      <w:r w:rsidRPr="00A412BB">
        <w:t xml:space="preserve">ков подачи апелляций). </w:t>
      </w:r>
    </w:p>
    <w:p w:rsidR="005D2199" w:rsidRPr="00743DF4" w:rsidRDefault="005D2199" w:rsidP="005D2199">
      <w:pPr>
        <w:pStyle w:val="SingleTxtGR"/>
      </w:pPr>
      <w:r w:rsidRPr="00743DF4">
        <w:t>13.</w:t>
      </w:r>
      <w:r w:rsidRPr="00743DF4">
        <w:tab/>
        <w:t>Число просителей убежища значительно колеблется в зависимости от т</w:t>
      </w:r>
      <w:r w:rsidRPr="00743DF4">
        <w:t>е</w:t>
      </w:r>
      <w:r w:rsidRPr="00743DF4">
        <w:t>кущих кризисов и конфликтов. Просителям убежища предоставляется надл</w:t>
      </w:r>
      <w:r w:rsidRPr="00743DF4">
        <w:t>е</w:t>
      </w:r>
      <w:r w:rsidRPr="00743DF4">
        <w:t xml:space="preserve">жащее жилье и услуги </w:t>
      </w:r>
      <w:r>
        <w:t>национальной с</w:t>
      </w:r>
      <w:r w:rsidRPr="00743DF4">
        <w:t>лужбы помощи беженцам. Просители убежища должны по возможности самостоятельно обеспечивать себя, и поэт</w:t>
      </w:r>
      <w:r w:rsidRPr="00743DF4">
        <w:t>о</w:t>
      </w:r>
      <w:r w:rsidRPr="00743DF4">
        <w:t>му им разрешается работать без ограничений по времени. Заработная плата в</w:t>
      </w:r>
      <w:r w:rsidRPr="00743DF4">
        <w:t>ы</w:t>
      </w:r>
      <w:r w:rsidRPr="00743DF4">
        <w:t>плачивается по завершении процедуры предоставления убежища за вычетом расходов на проживание и питание. Просители убежища вкл</w:t>
      </w:r>
      <w:r w:rsidRPr="00743DF4">
        <w:t>ю</w:t>
      </w:r>
      <w:r w:rsidRPr="00743DF4">
        <w:t>чаются в систему социального страхования Лихтенштейна и получают социальную помощь от г</w:t>
      </w:r>
      <w:r w:rsidRPr="00743DF4">
        <w:t>о</w:t>
      </w:r>
      <w:r w:rsidRPr="00743DF4">
        <w:t>сударства; их дети направляются на обучение в школу</w:t>
      </w:r>
      <w:r w:rsidRPr="006520AF">
        <w:rPr>
          <w:sz w:val="18"/>
          <w:szCs w:val="18"/>
          <w:vertAlign w:val="superscript"/>
        </w:rPr>
        <w:footnoteReference w:id="9"/>
      </w:r>
      <w:r>
        <w:t>.</w:t>
      </w:r>
    </w:p>
    <w:p w:rsidR="005D2199" w:rsidRPr="00743DF4" w:rsidRDefault="00036E76" w:rsidP="00036E76">
      <w:pPr>
        <w:pStyle w:val="H23GR"/>
      </w:pPr>
      <w:r w:rsidRPr="00036E76">
        <w:rPr>
          <w:b w:val="0"/>
        </w:rPr>
        <w:tab/>
      </w:r>
      <w:r w:rsidRPr="00036E76">
        <w:rPr>
          <w:b w:val="0"/>
        </w:rPr>
        <w:tab/>
      </w:r>
      <w:r w:rsidR="005D2199" w:rsidRPr="00036E76">
        <w:rPr>
          <w:b w:val="0"/>
        </w:rPr>
        <w:t>Диаграмма 1</w:t>
      </w:r>
      <w:r w:rsidR="005D2199" w:rsidRPr="00036E76">
        <w:rPr>
          <w:b w:val="0"/>
        </w:rPr>
        <w:br/>
      </w:r>
      <w:r w:rsidR="005D2199" w:rsidRPr="00743DF4">
        <w:t>Число просителей убежища</w:t>
      </w:r>
      <w:r w:rsidR="005D2199">
        <w:t>,</w:t>
      </w:r>
      <w:r w:rsidR="005D2199" w:rsidRPr="00743DF4">
        <w:t xml:space="preserve"> 2003</w:t>
      </w:r>
      <w:r w:rsidR="005D2199">
        <w:t>−</w:t>
      </w:r>
      <w:r w:rsidR="005D2199" w:rsidRPr="00743DF4">
        <w:t>2010 год</w:t>
      </w:r>
      <w:r w:rsidR="005D2199">
        <w:t>ы</w:t>
      </w:r>
      <w:r w:rsidR="005D2199" w:rsidRPr="00743DF4">
        <w:t xml:space="preserve"> (только по ноябрь 2010 г</w:t>
      </w:r>
      <w:r w:rsidR="005D2199" w:rsidRPr="00743DF4">
        <w:t>о</w:t>
      </w:r>
      <w:r w:rsidR="005D2199" w:rsidRPr="00743DF4">
        <w:t>да)</w:t>
      </w:r>
    </w:p>
    <w:p w:rsidR="005D2199" w:rsidRPr="00743DF4" w:rsidRDefault="005D2199" w:rsidP="005D2199">
      <w:pPr>
        <w:ind w:firstLine="1155"/>
      </w:pPr>
      <w:r w:rsidRPr="00743DF4">
        <w:object w:dxaOrig="6556" w:dyaOrig="1950">
          <v:shape id="_x0000_i1026" type="#_x0000_t75" style="width:377.25pt;height:96.75pt">
            <v:imagedata r:id="rId8" o:title="" croptop="4570f" cropbottom="4201f" cropleft="1639f" cropright="1369f"/>
          </v:shape>
        </w:object>
      </w:r>
    </w:p>
    <w:p w:rsidR="005D2199" w:rsidRPr="00743DF4" w:rsidRDefault="00036E76" w:rsidP="00036E76">
      <w:pPr>
        <w:pStyle w:val="H23GR"/>
      </w:pPr>
      <w:r w:rsidRPr="00036E76">
        <w:rPr>
          <w:b w:val="0"/>
        </w:rPr>
        <w:tab/>
      </w:r>
      <w:r w:rsidRPr="00036E76">
        <w:rPr>
          <w:b w:val="0"/>
        </w:rPr>
        <w:tab/>
      </w:r>
      <w:r w:rsidR="005D2199" w:rsidRPr="00036E76">
        <w:rPr>
          <w:b w:val="0"/>
        </w:rPr>
        <w:t>Таблица 1</w:t>
      </w:r>
      <w:r w:rsidRPr="00036E76">
        <w:rPr>
          <w:b w:val="0"/>
        </w:rPr>
        <w:br/>
      </w:r>
      <w:r w:rsidR="005D2199" w:rsidRPr="00743DF4">
        <w:t>Число просителей убежища в разбивке по группам стран</w:t>
      </w:r>
      <w:r w:rsidR="005D2199">
        <w:t>,</w:t>
      </w:r>
      <w:r w:rsidR="005D2199" w:rsidRPr="00743DF4">
        <w:t xml:space="preserve"> 2003</w:t>
      </w:r>
      <w:r w:rsidR="005D2199">
        <w:t>−</w:t>
      </w:r>
      <w:r w:rsidR="005D2199" w:rsidRPr="00743DF4">
        <w:t>2010 год</w:t>
      </w:r>
      <w:r w:rsidR="005D2199">
        <w:t>ы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3024"/>
        <w:gridCol w:w="543"/>
        <w:gridCol w:w="543"/>
        <w:gridCol w:w="543"/>
        <w:gridCol w:w="544"/>
        <w:gridCol w:w="543"/>
        <w:gridCol w:w="543"/>
        <w:gridCol w:w="543"/>
        <w:gridCol w:w="544"/>
      </w:tblGrid>
      <w:tr w:rsidR="005D2199" w:rsidRPr="002E2603" w:rsidTr="00703C5B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Borders>
              <w:bottom w:val="single" w:sz="12" w:space="0" w:color="auto"/>
            </w:tcBorders>
            <w:shd w:val="clear" w:color="auto" w:fill="auto"/>
          </w:tcPr>
          <w:p w:rsidR="005D2199" w:rsidRPr="002E2603" w:rsidRDefault="005D2199" w:rsidP="009D174D">
            <w:pPr>
              <w:spacing w:before="80" w:after="80" w:line="200" w:lineRule="exact"/>
              <w:rPr>
                <w:i/>
                <w:sz w:val="16"/>
              </w:rPr>
            </w:pPr>
            <w:r w:rsidRPr="002E2603">
              <w:rPr>
                <w:i/>
                <w:sz w:val="16"/>
              </w:rPr>
              <w:t>Группа стран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2E2603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E2603">
              <w:rPr>
                <w:i/>
                <w:sz w:val="16"/>
              </w:rPr>
              <w:t>2003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2E2603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E2603">
              <w:rPr>
                <w:i/>
                <w:sz w:val="16"/>
              </w:rPr>
              <w:t>2004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2E2603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E2603">
              <w:rPr>
                <w:i/>
                <w:sz w:val="16"/>
              </w:rPr>
              <w:t>2005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2E2603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E2603">
              <w:rPr>
                <w:i/>
                <w:sz w:val="16"/>
              </w:rPr>
              <w:t>2006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2E2603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E2603">
              <w:rPr>
                <w:i/>
                <w:sz w:val="16"/>
              </w:rPr>
              <w:t>2007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2E2603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E2603">
              <w:rPr>
                <w:i/>
                <w:sz w:val="16"/>
              </w:rPr>
              <w:t>2008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2E2603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E2603">
              <w:rPr>
                <w:i/>
                <w:sz w:val="16"/>
              </w:rPr>
              <w:t>2009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2E2603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E2603">
              <w:rPr>
                <w:i/>
                <w:sz w:val="16"/>
              </w:rPr>
              <w:t>2010*</w:t>
            </w:r>
          </w:p>
        </w:tc>
      </w:tr>
      <w:tr w:rsidR="005D2199" w:rsidRPr="002E2603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Borders>
              <w:top w:val="single" w:sz="12" w:space="0" w:color="auto"/>
            </w:tcBorders>
          </w:tcPr>
          <w:p w:rsidR="005D2199" w:rsidRPr="002E2603" w:rsidRDefault="005D2199" w:rsidP="009D174D">
            <w:r w:rsidRPr="002E2603">
              <w:t>Западная/Северная Европа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0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5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2</w:t>
            </w: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2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3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4</w:t>
            </w: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</w:t>
            </w:r>
          </w:p>
        </w:tc>
      </w:tr>
      <w:tr w:rsidR="005D2199" w:rsidRPr="002E2603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5D2199" w:rsidRPr="002E2603" w:rsidRDefault="005D2199" w:rsidP="009D174D">
            <w:r w:rsidRPr="002E2603">
              <w:t>Восточная/Юго-Восточная Е</w:t>
            </w:r>
            <w:r w:rsidRPr="002E2603">
              <w:t>в</w:t>
            </w:r>
            <w:r w:rsidRPr="002E2603">
              <w:t>ропа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72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45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16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13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6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10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19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47</w:t>
            </w:r>
          </w:p>
        </w:tc>
      </w:tr>
      <w:tr w:rsidR="005D2199" w:rsidRPr="002E2603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5D2199" w:rsidRPr="002E2603" w:rsidRDefault="005D2199" w:rsidP="009D174D">
            <w:r w:rsidRPr="002E2603">
              <w:t>Средняя</w:t>
            </w:r>
            <w:r>
              <w:t xml:space="preserve"> Азия</w:t>
            </w:r>
            <w:r w:rsidRPr="002E2603">
              <w:t>/Кавказ/Ро</w:t>
            </w:r>
            <w:r w:rsidRPr="002E2603">
              <w:t>с</w:t>
            </w:r>
            <w:r w:rsidRPr="002E2603">
              <w:t>сия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26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10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15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20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8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5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30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38</w:t>
            </w:r>
          </w:p>
        </w:tc>
      </w:tr>
      <w:tr w:rsidR="005D2199" w:rsidRPr="002E2603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5D2199" w:rsidRPr="002E2603" w:rsidRDefault="005D2199" w:rsidP="009D174D">
            <w:r w:rsidRPr="002E2603">
              <w:t>Страны Африки к югу от С</w:t>
            </w:r>
            <w:r w:rsidRPr="002E2603">
              <w:t>а</w:t>
            </w:r>
            <w:r w:rsidRPr="002E2603">
              <w:t>хары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0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2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13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8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6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4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230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7</w:t>
            </w:r>
          </w:p>
        </w:tc>
      </w:tr>
      <w:tr w:rsidR="005D2199" w:rsidRPr="002E2603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5D2199" w:rsidRPr="002E2603" w:rsidRDefault="005D2199" w:rsidP="009D174D">
            <w:r>
              <w:t>Северная Афр</w:t>
            </w:r>
            <w:r>
              <w:t>и</w:t>
            </w:r>
            <w:r>
              <w:t>ка</w:t>
            </w:r>
            <w:r w:rsidRPr="002E2603">
              <w:t>/Турция/</w:t>
            </w:r>
            <w:r>
              <w:t xml:space="preserve"> </w:t>
            </w:r>
            <w:r w:rsidRPr="002E2603">
              <w:t>Ближний Восток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3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8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3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3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8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3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8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6</w:t>
            </w:r>
          </w:p>
        </w:tc>
      </w:tr>
      <w:tr w:rsidR="005D2199" w:rsidRPr="002E2603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5D2199" w:rsidRPr="002E2603" w:rsidRDefault="005D2199" w:rsidP="009D174D">
            <w:r w:rsidRPr="002E2603">
              <w:t>Азия/Океания/Латинская Ам</w:t>
            </w:r>
            <w:r w:rsidRPr="002E2603">
              <w:t>е</w:t>
            </w:r>
            <w:r w:rsidRPr="002E2603">
              <w:t>рика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4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4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2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0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</w:t>
            </w:r>
          </w:p>
        </w:tc>
      </w:tr>
      <w:tr w:rsidR="005D2199" w:rsidRPr="002E2603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5D2199" w:rsidRPr="002E2603" w:rsidRDefault="005D2199" w:rsidP="009D174D">
            <w:r w:rsidRPr="002E2603">
              <w:t>Лица без гражданства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0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0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0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0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0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2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0</w:t>
            </w:r>
          </w:p>
        </w:tc>
      </w:tr>
      <w:tr w:rsidR="005D2199" w:rsidRPr="002E2603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5D2199" w:rsidRPr="002E2603" w:rsidRDefault="005D2199" w:rsidP="009D174D">
            <w:r w:rsidRPr="002E2603">
              <w:t>Всего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102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74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53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47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32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26</w:t>
            </w:r>
          </w:p>
        </w:tc>
        <w:tc>
          <w:tcPr>
            <w:tcW w:w="543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293</w:t>
            </w:r>
          </w:p>
        </w:tc>
        <w:tc>
          <w:tcPr>
            <w:tcW w:w="544" w:type="dxa"/>
          </w:tcPr>
          <w:p w:rsidR="005D2199" w:rsidRPr="002E2603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603">
              <w:t>100</w:t>
            </w:r>
          </w:p>
        </w:tc>
      </w:tr>
    </w:tbl>
    <w:p w:rsidR="005D2199" w:rsidRPr="002973FA" w:rsidRDefault="005D2199" w:rsidP="00703C5B">
      <w:pPr>
        <w:pStyle w:val="SingleTxtGR"/>
        <w:spacing w:before="120" w:after="240"/>
        <w:ind w:firstLine="85"/>
        <w:rPr>
          <w:sz w:val="18"/>
          <w:szCs w:val="18"/>
        </w:rPr>
      </w:pPr>
      <w:r w:rsidRPr="002973FA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 </w:t>
      </w:r>
      <w:r w:rsidRPr="002973FA">
        <w:rPr>
          <w:sz w:val="18"/>
          <w:szCs w:val="18"/>
        </w:rPr>
        <w:t>По состоянию на ноябрь 2010 года.</w:t>
      </w:r>
    </w:p>
    <w:p w:rsidR="005D2199" w:rsidRPr="00743DF4" w:rsidRDefault="005D2199" w:rsidP="005D2199">
      <w:pPr>
        <w:pStyle w:val="SingleTxtGR"/>
      </w:pPr>
      <w:r w:rsidRPr="00743DF4">
        <w:t>14.</w:t>
      </w:r>
      <w:r w:rsidRPr="00743DF4">
        <w:tab/>
        <w:t>Резкий рост числа ходатайств о предоставлении убежища в 2009 году обусловлен переправкой в Лихтенштейн большой группы просителей убежища из Эритреи и Сомали, предположительно лицами, организованно занимающ</w:t>
      </w:r>
      <w:r w:rsidRPr="00743DF4">
        <w:t>и</w:t>
      </w:r>
      <w:r w:rsidRPr="00743DF4">
        <w:t xml:space="preserve">мися </w:t>
      </w:r>
      <w:r>
        <w:t xml:space="preserve">контрабандой </w:t>
      </w:r>
      <w:r w:rsidRPr="00743DF4">
        <w:t>людей. Анализ ходатайств о предоставлении убежища пок</w:t>
      </w:r>
      <w:r w:rsidRPr="00743DF4">
        <w:t>а</w:t>
      </w:r>
      <w:r w:rsidRPr="00743DF4">
        <w:t>зал, что в большинстве случаев такие лица ранее проживали в других европе</w:t>
      </w:r>
      <w:r w:rsidRPr="00743DF4">
        <w:t>й</w:t>
      </w:r>
      <w:r w:rsidRPr="00743DF4">
        <w:t xml:space="preserve">ских странах и уже подавали в них ходатайства о предоставлении убежища. Большинство </w:t>
      </w:r>
      <w:r>
        <w:t xml:space="preserve">из них </w:t>
      </w:r>
      <w:r w:rsidRPr="00743DF4">
        <w:t>добровольно вернулись в страны своего происхождения или в государства</w:t>
      </w:r>
      <w:r>
        <w:t>, удовлетворяющие требованиям безопасности</w:t>
      </w:r>
      <w:r w:rsidRPr="00743DF4">
        <w:t>. На момент с</w:t>
      </w:r>
      <w:r w:rsidRPr="00743DF4">
        <w:t>о</w:t>
      </w:r>
      <w:r w:rsidRPr="00743DF4">
        <w:t>ставления настоящего доклада 26 человек из этой группы все еще н</w:t>
      </w:r>
      <w:r w:rsidRPr="00743DF4">
        <w:t>а</w:t>
      </w:r>
      <w:r w:rsidRPr="00743DF4">
        <w:t xml:space="preserve">ходились в Лихтенштейне, ожидая завершения процедур </w:t>
      </w:r>
      <w:r>
        <w:t>предоставления</w:t>
      </w:r>
      <w:r w:rsidRPr="00743DF4">
        <w:t xml:space="preserve"> убежища. Со вр</w:t>
      </w:r>
      <w:r w:rsidRPr="00743DF4">
        <w:t>е</w:t>
      </w:r>
      <w:r w:rsidRPr="00743DF4">
        <w:t>мени представления последнего доклада были осуществлены только три прин</w:t>
      </w:r>
      <w:r w:rsidRPr="00743DF4">
        <w:t>у</w:t>
      </w:r>
      <w:r w:rsidRPr="00743DF4">
        <w:t>дительных д</w:t>
      </w:r>
      <w:r w:rsidRPr="00743DF4">
        <w:t>е</w:t>
      </w:r>
      <w:r w:rsidRPr="00743DF4">
        <w:t xml:space="preserve">портации (в 2007 году). </w:t>
      </w:r>
    </w:p>
    <w:p w:rsidR="005D2199" w:rsidRPr="00743DF4" w:rsidRDefault="00703C5B" w:rsidP="00703C5B">
      <w:pPr>
        <w:pStyle w:val="H23GR"/>
      </w:pPr>
      <w:r w:rsidRPr="00703C5B">
        <w:rPr>
          <w:b w:val="0"/>
        </w:rPr>
        <w:tab/>
      </w:r>
      <w:r w:rsidRPr="00703C5B">
        <w:rPr>
          <w:b w:val="0"/>
        </w:rPr>
        <w:tab/>
      </w:r>
      <w:r w:rsidR="005D2199" w:rsidRPr="00703C5B">
        <w:rPr>
          <w:b w:val="0"/>
        </w:rPr>
        <w:t>Таблица 2</w:t>
      </w:r>
      <w:r w:rsidR="005D2199" w:rsidRPr="00703C5B">
        <w:rPr>
          <w:b w:val="0"/>
        </w:rPr>
        <w:br/>
      </w:r>
      <w:r w:rsidR="005D2199" w:rsidRPr="00743DF4">
        <w:t xml:space="preserve">Ходатайства о предоставлении убежища, временный прием, предоставление убежища и прием по гуманитарным соображениям </w:t>
      </w:r>
      <w:r>
        <w:br/>
      </w:r>
      <w:r w:rsidR="005D2199" w:rsidRPr="00743DF4">
        <w:t>(по состоянию на ноябрь 2010 года)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3122"/>
        <w:gridCol w:w="1400"/>
        <w:gridCol w:w="1455"/>
        <w:gridCol w:w="1393"/>
      </w:tblGrid>
      <w:tr w:rsidR="005D2199" w:rsidRPr="002973FA" w:rsidTr="00703C5B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bottom w:val="single" w:sz="12" w:space="0" w:color="auto"/>
            </w:tcBorders>
            <w:shd w:val="clear" w:color="auto" w:fill="auto"/>
          </w:tcPr>
          <w:p w:rsidR="005D2199" w:rsidRPr="002973FA" w:rsidRDefault="005D2199" w:rsidP="009D174D">
            <w:pPr>
              <w:spacing w:before="80" w:after="80" w:line="200" w:lineRule="exact"/>
              <w:rPr>
                <w:i/>
                <w:sz w:val="16"/>
              </w:rPr>
            </w:pPr>
            <w:r w:rsidRPr="002973FA">
              <w:rPr>
                <w:i/>
                <w:sz w:val="16"/>
              </w:rPr>
              <w:t>Гражданство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2973FA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973FA">
              <w:rPr>
                <w:i/>
                <w:sz w:val="16"/>
              </w:rPr>
              <w:t>Ходатайств</w:t>
            </w:r>
            <w:r>
              <w:rPr>
                <w:i/>
                <w:sz w:val="16"/>
              </w:rPr>
              <w:t>а</w:t>
            </w:r>
            <w:r w:rsidRPr="002973FA">
              <w:rPr>
                <w:i/>
                <w:sz w:val="16"/>
              </w:rPr>
              <w:t xml:space="preserve"> о предоставл</w:t>
            </w:r>
            <w:r w:rsidRPr="002973FA">
              <w:rPr>
                <w:i/>
                <w:sz w:val="16"/>
              </w:rPr>
              <w:t>е</w:t>
            </w:r>
            <w:r w:rsidRPr="002973FA">
              <w:rPr>
                <w:i/>
                <w:sz w:val="16"/>
              </w:rPr>
              <w:t>нии убежища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2973FA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973FA">
              <w:rPr>
                <w:i/>
                <w:sz w:val="16"/>
              </w:rPr>
              <w:t>Предоставление убежища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2973FA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973FA">
              <w:rPr>
                <w:i/>
                <w:sz w:val="16"/>
              </w:rPr>
              <w:t xml:space="preserve">Прием по </w:t>
            </w:r>
            <w:r w:rsidR="00703C5B">
              <w:rPr>
                <w:i/>
                <w:sz w:val="16"/>
              </w:rPr>
              <w:br/>
            </w:r>
            <w:r w:rsidRPr="002973FA">
              <w:rPr>
                <w:i/>
                <w:sz w:val="16"/>
              </w:rPr>
              <w:t>гум</w:t>
            </w:r>
            <w:r w:rsidRPr="002973FA">
              <w:rPr>
                <w:i/>
                <w:sz w:val="16"/>
              </w:rPr>
              <w:t>а</w:t>
            </w:r>
            <w:r w:rsidRPr="002973FA">
              <w:rPr>
                <w:i/>
                <w:sz w:val="16"/>
              </w:rPr>
              <w:t>нитарным соо</w:t>
            </w:r>
            <w:r w:rsidRPr="002973FA">
              <w:rPr>
                <w:i/>
                <w:sz w:val="16"/>
              </w:rPr>
              <w:t>б</w:t>
            </w:r>
            <w:r w:rsidRPr="002973FA">
              <w:rPr>
                <w:i/>
                <w:sz w:val="16"/>
              </w:rPr>
              <w:t>ражениям</w:t>
            </w: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single" w:sz="12" w:space="0" w:color="auto"/>
            </w:tcBorders>
          </w:tcPr>
          <w:p w:rsidR="005D2199" w:rsidRPr="002973FA" w:rsidRDefault="005D2199" w:rsidP="009D174D">
            <w:r w:rsidRPr="002973FA">
              <w:t>Алжир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Аргентина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4</w:t>
            </w: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Армения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8</w:t>
            </w: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Беларусь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4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Босния и Герцегов</w:t>
            </w:r>
            <w:r w:rsidRPr="002973FA">
              <w:t>и</w:t>
            </w:r>
            <w:r w:rsidRPr="002973FA">
              <w:t>на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108</w:t>
            </w: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Камерун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1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Китай (Тибет)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19</w:t>
            </w: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27</w:t>
            </w: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Чешская Республика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2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25</w:t>
            </w: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Египет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2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Эритрея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Франция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1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Венгрия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2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15</w:t>
            </w: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Иран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1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2</w:t>
            </w: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Ирак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3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Косово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2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Бывшая югославская Республика Макед</w:t>
            </w:r>
            <w:r w:rsidRPr="002973FA">
              <w:t>о</w:t>
            </w:r>
            <w:r w:rsidRPr="002973FA">
              <w:t>ния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38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Никарагуа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1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Нигерия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3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Россия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32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Сербия и Черногория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3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1</w:t>
            </w: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51</w:t>
            </w: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Сомали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3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Узбекистан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2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Вьетнам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31</w:t>
            </w: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9</w:t>
            </w:r>
          </w:p>
        </w:tc>
      </w:tr>
      <w:tr w:rsidR="005D2199" w:rsidRPr="002973FA" w:rsidTr="00703C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5D2199" w:rsidRPr="002973FA" w:rsidRDefault="005D2199" w:rsidP="009D174D">
            <w:r w:rsidRPr="002973FA">
              <w:t>Всего</w:t>
            </w:r>
          </w:p>
        </w:tc>
        <w:tc>
          <w:tcPr>
            <w:tcW w:w="1400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100</w:t>
            </w:r>
          </w:p>
        </w:tc>
        <w:tc>
          <w:tcPr>
            <w:tcW w:w="1455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97</w:t>
            </w:r>
          </w:p>
        </w:tc>
        <w:tc>
          <w:tcPr>
            <w:tcW w:w="1393" w:type="dxa"/>
          </w:tcPr>
          <w:p w:rsidR="005D2199" w:rsidRPr="002973FA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3FA">
              <w:t>203</w:t>
            </w:r>
          </w:p>
        </w:tc>
      </w:tr>
    </w:tbl>
    <w:p w:rsidR="005D2199" w:rsidRPr="00743DF4" w:rsidRDefault="005D2199" w:rsidP="00703C5B">
      <w:pPr>
        <w:pStyle w:val="SingleTxtGR"/>
        <w:spacing w:before="240"/>
      </w:pPr>
      <w:r w:rsidRPr="00743DF4">
        <w:t>15.</w:t>
      </w:r>
      <w:r w:rsidRPr="00743DF4">
        <w:tab/>
        <w:t>Большинство лиц, находящихся в Лихтенштейне на основании Закона о беженцах, были допущены в страну по гуманитарным соображениям</w:t>
      </w:r>
      <w:r>
        <w:t xml:space="preserve"> в силу о</w:t>
      </w:r>
      <w:r>
        <w:t>т</w:t>
      </w:r>
      <w:r>
        <w:t xml:space="preserve">сутствия </w:t>
      </w:r>
      <w:r w:rsidRPr="00743DF4">
        <w:t>оснований для предоставления им права</w:t>
      </w:r>
      <w:r>
        <w:t xml:space="preserve"> на</w:t>
      </w:r>
      <w:r w:rsidRPr="00743DF4">
        <w:t xml:space="preserve"> пребывани</w:t>
      </w:r>
      <w:r>
        <w:t>е</w:t>
      </w:r>
      <w:r w:rsidRPr="00743DF4">
        <w:t xml:space="preserve"> в стране </w:t>
      </w:r>
      <w:r>
        <w:t>с</w:t>
      </w:r>
      <w:r>
        <w:t>о</w:t>
      </w:r>
      <w:r>
        <w:t xml:space="preserve">гласно </w:t>
      </w:r>
      <w:r w:rsidRPr="00743DF4">
        <w:t xml:space="preserve">законодательству о предоставлении убежища. </w:t>
      </w:r>
    </w:p>
    <w:p w:rsidR="005D2199" w:rsidRPr="005D2199" w:rsidRDefault="005D2199" w:rsidP="005D2199">
      <w:pPr>
        <w:pStyle w:val="SingleTxtGR"/>
      </w:pPr>
      <w:r w:rsidRPr="00743DF4">
        <w:t>16.</w:t>
      </w:r>
      <w:r w:rsidRPr="00743DF4">
        <w:tab/>
      </w:r>
      <w:r>
        <w:t xml:space="preserve">После </w:t>
      </w:r>
      <w:r w:rsidRPr="00743DF4">
        <w:t>пересмотра Закона о гражданстве в 2008 году лица без гражданс</w:t>
      </w:r>
      <w:r w:rsidRPr="00743DF4">
        <w:t>т</w:t>
      </w:r>
      <w:r w:rsidRPr="00743DF4">
        <w:t xml:space="preserve">ва получили право </w:t>
      </w:r>
      <w:r>
        <w:t xml:space="preserve">после подачи соответствующего заявления </w:t>
      </w:r>
      <w:r w:rsidRPr="00743DF4">
        <w:t xml:space="preserve">на </w:t>
      </w:r>
      <w:r>
        <w:t xml:space="preserve">получение </w:t>
      </w:r>
      <w:r w:rsidRPr="00743DF4">
        <w:t>н</w:t>
      </w:r>
      <w:r w:rsidRPr="00743DF4">
        <w:t>а</w:t>
      </w:r>
      <w:r w:rsidRPr="00743DF4">
        <w:t xml:space="preserve">ционального и </w:t>
      </w:r>
      <w:r>
        <w:t xml:space="preserve">муниципального </w:t>
      </w:r>
      <w:r w:rsidRPr="00743DF4">
        <w:t>гражданства, если они родились в Лихте</w:t>
      </w:r>
      <w:r w:rsidRPr="00743DF4">
        <w:t>н</w:t>
      </w:r>
      <w:r w:rsidRPr="00743DF4">
        <w:t>штейне и прожили в Лихтенштейне пять лет. Это право действует до достиж</w:t>
      </w:r>
      <w:r w:rsidRPr="00743DF4">
        <w:t>е</w:t>
      </w:r>
      <w:r w:rsidRPr="00743DF4">
        <w:t>ния такими лицами 21-летнего возраста и также распространяется на их нес</w:t>
      </w:r>
      <w:r w:rsidRPr="00743DF4">
        <w:t>о</w:t>
      </w:r>
      <w:r w:rsidRPr="00743DF4">
        <w:t>вершеннолетних детей</w:t>
      </w:r>
      <w:r w:rsidRPr="006520AF">
        <w:rPr>
          <w:sz w:val="18"/>
          <w:szCs w:val="18"/>
          <w:vertAlign w:val="superscript"/>
        </w:rPr>
        <w:footnoteReference w:id="10"/>
      </w:r>
      <w:r>
        <w:t>.</w:t>
      </w:r>
      <w:r w:rsidRPr="00743DF4">
        <w:t xml:space="preserve"> Дети с не</w:t>
      </w:r>
      <w:r>
        <w:t xml:space="preserve">установленным </w:t>
      </w:r>
      <w:r w:rsidRPr="00743DF4">
        <w:t>гражданством, о</w:t>
      </w:r>
      <w:r w:rsidRPr="00743DF4">
        <w:t>б</w:t>
      </w:r>
      <w:r w:rsidRPr="00743DF4">
        <w:t>наруженные на территории Лихтенштейна (найденыши), получают гражданство Лихте</w:t>
      </w:r>
      <w:r w:rsidRPr="00743DF4">
        <w:t>н</w:t>
      </w:r>
      <w:r w:rsidRPr="00743DF4">
        <w:t>штейна и гражданство той общины, в которой они были обнаружены</w:t>
      </w:r>
      <w:r w:rsidRPr="006520AF">
        <w:rPr>
          <w:sz w:val="18"/>
          <w:szCs w:val="18"/>
          <w:vertAlign w:val="superscript"/>
        </w:rPr>
        <w:footnoteReference w:id="11"/>
      </w:r>
      <w:r>
        <w:t>.</w:t>
      </w:r>
      <w:r w:rsidRPr="00743DF4">
        <w:t xml:space="preserve"> С пер</w:t>
      </w:r>
      <w:r w:rsidRPr="00743DF4">
        <w:t>е</w:t>
      </w:r>
      <w:r w:rsidRPr="00743DF4">
        <w:t>смотром закона были созданы предпосылки для ратификации Конвенции о ст</w:t>
      </w:r>
      <w:r w:rsidRPr="00743DF4">
        <w:t>а</w:t>
      </w:r>
      <w:r w:rsidRPr="00743DF4">
        <w:t xml:space="preserve">тусе лиц без гражданства 1954 года и Конвенции о сокращении </w:t>
      </w:r>
      <w:proofErr w:type="spellStart"/>
      <w:r w:rsidRPr="00743DF4">
        <w:t>безгражда</w:t>
      </w:r>
      <w:r w:rsidRPr="00743DF4">
        <w:t>н</w:t>
      </w:r>
      <w:r w:rsidRPr="00743DF4">
        <w:t>ства</w:t>
      </w:r>
      <w:proofErr w:type="spellEnd"/>
      <w:r w:rsidRPr="00743DF4">
        <w:t xml:space="preserve"> 1961 года. Лихтенштейн присоединился к обеим этим конвенциям 25 сентября 2009 г</w:t>
      </w:r>
      <w:r w:rsidRPr="00743DF4">
        <w:t>о</w:t>
      </w:r>
      <w:r w:rsidRPr="00743DF4">
        <w:t xml:space="preserve">да. </w:t>
      </w:r>
    </w:p>
    <w:p w:rsidR="005D2199" w:rsidRPr="000E12E6" w:rsidRDefault="00703C5B" w:rsidP="00703C5B">
      <w:pPr>
        <w:pStyle w:val="H23GR"/>
      </w:pPr>
      <w:r w:rsidRPr="00703C5B">
        <w:rPr>
          <w:b w:val="0"/>
        </w:rPr>
        <w:tab/>
      </w:r>
      <w:r w:rsidRPr="00703C5B">
        <w:rPr>
          <w:b w:val="0"/>
        </w:rPr>
        <w:tab/>
      </w:r>
      <w:r w:rsidR="005D2199" w:rsidRPr="00703C5B">
        <w:rPr>
          <w:b w:val="0"/>
        </w:rPr>
        <w:t>Таблица 3</w:t>
      </w:r>
      <w:r w:rsidR="005D2199" w:rsidRPr="00703C5B">
        <w:rPr>
          <w:b w:val="0"/>
        </w:rPr>
        <w:br/>
      </w:r>
      <w:r w:rsidR="005D2199" w:rsidRPr="000E12E6">
        <w:t>Число лиц без гражданства в Лихтенштейне в 2003−2009 годах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2427"/>
        <w:gridCol w:w="687"/>
        <w:gridCol w:w="801"/>
        <w:gridCol w:w="801"/>
        <w:gridCol w:w="594"/>
        <w:gridCol w:w="687"/>
        <w:gridCol w:w="687"/>
        <w:gridCol w:w="686"/>
      </w:tblGrid>
      <w:tr w:rsidR="005D2199" w:rsidRPr="00CC41FD" w:rsidTr="00CC41FD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bottom w:val="single" w:sz="12" w:space="0" w:color="auto"/>
            </w:tcBorders>
            <w:shd w:val="clear" w:color="auto" w:fill="auto"/>
          </w:tcPr>
          <w:p w:rsidR="005D2199" w:rsidRPr="00CC41FD" w:rsidRDefault="005D2199" w:rsidP="00CC41F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CC41FD" w:rsidRDefault="005D2199" w:rsidP="00CC41F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C41FD">
              <w:rPr>
                <w:i/>
                <w:sz w:val="16"/>
              </w:rPr>
              <w:t>2003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CC41FD" w:rsidRDefault="005D2199" w:rsidP="00CC41F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C41FD">
              <w:rPr>
                <w:i/>
                <w:sz w:val="16"/>
              </w:rPr>
              <w:t>2004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CC41FD" w:rsidRDefault="005D2199" w:rsidP="00CC41F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C41FD">
              <w:rPr>
                <w:i/>
                <w:sz w:val="16"/>
              </w:rPr>
              <w:t>2005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CC41FD" w:rsidRDefault="005D2199" w:rsidP="00CC41F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C41FD">
              <w:rPr>
                <w:i/>
                <w:sz w:val="16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CC41FD" w:rsidRDefault="005D2199" w:rsidP="00CC41F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C41FD">
              <w:rPr>
                <w:i/>
                <w:sz w:val="16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CC41FD" w:rsidRDefault="005D2199" w:rsidP="00CC41F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C41FD">
              <w:rPr>
                <w:i/>
                <w:sz w:val="16"/>
              </w:rPr>
              <w:t>2008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CC41FD" w:rsidRDefault="005D2199" w:rsidP="00CC41F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C41FD">
              <w:rPr>
                <w:i/>
                <w:sz w:val="16"/>
              </w:rPr>
              <w:t>2009</w:t>
            </w:r>
          </w:p>
        </w:tc>
      </w:tr>
      <w:tr w:rsidR="005D2199" w:rsidRPr="00CC41FD" w:rsidTr="00CC41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12" w:space="0" w:color="auto"/>
            </w:tcBorders>
          </w:tcPr>
          <w:p w:rsidR="005D2199" w:rsidRPr="00CC41FD" w:rsidRDefault="005D2199" w:rsidP="00CC41FD">
            <w:r w:rsidRPr="00CC41FD">
              <w:t>Лица без гражданства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5D2199" w:rsidRPr="00CC41FD" w:rsidRDefault="005D2199" w:rsidP="00C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1FD">
              <w:t>5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5D2199" w:rsidRPr="00CC41FD" w:rsidRDefault="005D2199" w:rsidP="00C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1FD">
              <w:t>5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5D2199" w:rsidRPr="00CC41FD" w:rsidRDefault="005D2199" w:rsidP="00C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1FD">
              <w:t>6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5D2199" w:rsidRPr="00CC41FD" w:rsidRDefault="005D2199" w:rsidP="00C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1FD">
              <w:t>5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5D2199" w:rsidRPr="00CC41FD" w:rsidRDefault="005D2199" w:rsidP="00C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1FD">
              <w:t>5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5D2199" w:rsidRPr="00CC41FD" w:rsidRDefault="005D2199" w:rsidP="00C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1FD">
              <w:t>5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:rsidR="005D2199" w:rsidRPr="00CC41FD" w:rsidRDefault="005D2199" w:rsidP="00C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1FD">
              <w:t>4</w:t>
            </w:r>
          </w:p>
        </w:tc>
      </w:tr>
    </w:tbl>
    <w:p w:rsidR="005D2199" w:rsidRPr="000E12E6" w:rsidRDefault="005D2199" w:rsidP="005D2199">
      <w:pPr>
        <w:pStyle w:val="HChGR"/>
      </w:pPr>
      <w:bookmarkStart w:id="5" w:name="_Toc174467031"/>
      <w:bookmarkStart w:id="6" w:name="_Toc302400166"/>
      <w:r w:rsidRPr="000E12E6">
        <w:tab/>
        <w:t>IV.</w:t>
      </w:r>
      <w:r w:rsidRPr="000E12E6">
        <w:tab/>
        <w:t>Замечания об осуществлении отдельных статей Конвенции</w:t>
      </w:r>
      <w:bookmarkEnd w:id="5"/>
      <w:bookmarkEnd w:id="6"/>
    </w:p>
    <w:p w:rsidR="005D2199" w:rsidRPr="000E12E6" w:rsidRDefault="005D2199" w:rsidP="005D2199">
      <w:pPr>
        <w:pStyle w:val="H1GR"/>
      </w:pPr>
      <w:bookmarkStart w:id="7" w:name="_Toc174467032"/>
      <w:bookmarkStart w:id="8" w:name="_Toc302400167"/>
      <w:r w:rsidRPr="000E12E6">
        <w:tab/>
      </w:r>
      <w:r w:rsidRPr="000E12E6">
        <w:tab/>
        <w:t>Статья 1</w:t>
      </w:r>
      <w:r w:rsidR="00A41E46">
        <w:br/>
      </w:r>
      <w:r w:rsidRPr="000E12E6">
        <w:t>Сфера применения</w:t>
      </w:r>
      <w:bookmarkEnd w:id="7"/>
      <w:bookmarkEnd w:id="8"/>
    </w:p>
    <w:p w:rsidR="005D2199" w:rsidRPr="000E12E6" w:rsidRDefault="005D2199" w:rsidP="005D2199">
      <w:pPr>
        <w:pStyle w:val="SingleTxtGR"/>
      </w:pPr>
      <w:r w:rsidRPr="000E12E6">
        <w:t>17.</w:t>
      </w:r>
      <w:r w:rsidRPr="000E12E6">
        <w:tab/>
        <w:t>В Лихтенштейне действует система принятия и включения междунаро</w:t>
      </w:r>
      <w:r w:rsidRPr="000E12E6">
        <w:t>д</w:t>
      </w:r>
      <w:r w:rsidRPr="000E12E6">
        <w:t>ных договоров в законодательство ("монистическая система"). Ратифицирова</w:t>
      </w:r>
      <w:r w:rsidRPr="000E12E6">
        <w:t>н</w:t>
      </w:r>
      <w:r w:rsidRPr="000E12E6">
        <w:t>ный международный договор становится частью национального законодател</w:t>
      </w:r>
      <w:r w:rsidRPr="000E12E6">
        <w:t>ь</w:t>
      </w:r>
      <w:r w:rsidRPr="000E12E6">
        <w:t>ства в день его вступления в силу без необходимости принятия специального имплементирующего законодательства, и он может применяться напрямую в той степени, в которой положения данного договора являются достаточно по</w:t>
      </w:r>
      <w:r w:rsidRPr="000E12E6">
        <w:t>д</w:t>
      </w:r>
      <w:r w:rsidRPr="000E12E6">
        <w:t>робными для принятия решений ("обладающими самостоятельной исполн</w:t>
      </w:r>
      <w:r w:rsidRPr="000E12E6">
        <w:t>и</w:t>
      </w:r>
      <w:r w:rsidRPr="000E12E6">
        <w:t>тельной силой")</w:t>
      </w:r>
      <w:r w:rsidRPr="000E12E6">
        <w:rPr>
          <w:rStyle w:val="FootnoteReference"/>
        </w:rPr>
        <w:footnoteReference w:id="12"/>
      </w:r>
      <w:r w:rsidRPr="000E12E6">
        <w:t>. Таким образом, положения МКЛРД напрямую применяю</w:t>
      </w:r>
      <w:r w:rsidRPr="000E12E6">
        <w:t>т</w:t>
      </w:r>
      <w:r w:rsidRPr="000E12E6">
        <w:t xml:space="preserve">ся в национальном законодательстве. </w:t>
      </w:r>
    </w:p>
    <w:p w:rsidR="005D2199" w:rsidRPr="000E12E6" w:rsidRDefault="005D2199" w:rsidP="005D2199">
      <w:pPr>
        <w:pStyle w:val="SingleTxtGR"/>
      </w:pPr>
      <w:r w:rsidRPr="000E12E6">
        <w:t>18.</w:t>
      </w:r>
      <w:r w:rsidRPr="000E12E6">
        <w:tab/>
        <w:t>В правовой системе Лихтенштейна отсутствует общий закон о запрещ</w:t>
      </w:r>
      <w:r w:rsidRPr="000E12E6">
        <w:t>е</w:t>
      </w:r>
      <w:r w:rsidRPr="000E12E6">
        <w:t>нии дискриминации, однако пострадавшие лица могут ссылаться на конкре</w:t>
      </w:r>
      <w:r w:rsidRPr="000E12E6">
        <w:t>т</w:t>
      </w:r>
      <w:r w:rsidRPr="000E12E6">
        <w:t>ные запреты, содержащиеся в действующих законах. В то же время в соотве</w:t>
      </w:r>
      <w:r w:rsidRPr="000E12E6">
        <w:t>т</w:t>
      </w:r>
      <w:r w:rsidRPr="000E12E6">
        <w:t>ствии с Законом о Конституционном суде многочисленные индивидуальные права по праву международных договоров могут, так же как и конституционные права, отстаиваться путем подачи индивидуальных жалоб и, таким образом, стоят по существу на одном уровне с конституционными. Помимо прав, гарантирова</w:t>
      </w:r>
      <w:r w:rsidRPr="000E12E6">
        <w:t>н</w:t>
      </w:r>
      <w:r w:rsidRPr="000E12E6">
        <w:t xml:space="preserve">ных Европейской конвенцией о правах человека (ЕКПЧ), </w:t>
      </w:r>
      <w:r w:rsidRPr="000E12E6">
        <w:rPr>
          <w:color w:val="000000"/>
        </w:rPr>
        <w:t>Международным па</w:t>
      </w:r>
      <w:r w:rsidRPr="000E12E6">
        <w:rPr>
          <w:color w:val="000000"/>
        </w:rPr>
        <w:t>к</w:t>
      </w:r>
      <w:r w:rsidRPr="000E12E6">
        <w:rPr>
          <w:color w:val="000000"/>
        </w:rPr>
        <w:t>том о гражданских и политических правах</w:t>
      </w:r>
      <w:r w:rsidRPr="000E12E6">
        <w:t xml:space="preserve"> (МПГПП), Конвенцией против п</w:t>
      </w:r>
      <w:r w:rsidRPr="000E12E6">
        <w:t>ы</w:t>
      </w:r>
      <w:r w:rsidRPr="000E12E6">
        <w:t xml:space="preserve">ток </w:t>
      </w:r>
      <w:r w:rsidR="00A41E46">
        <w:t xml:space="preserve">и </w:t>
      </w:r>
      <w:r w:rsidRPr="000E12E6">
        <w:rPr>
          <w:color w:val="000000"/>
        </w:rPr>
        <w:t>других жестоких, бесчеловечных или унижающих достоинство видов о</w:t>
      </w:r>
      <w:r w:rsidRPr="000E12E6">
        <w:rPr>
          <w:color w:val="000000"/>
        </w:rPr>
        <w:t>б</w:t>
      </w:r>
      <w:r w:rsidRPr="000E12E6">
        <w:rPr>
          <w:color w:val="000000"/>
        </w:rPr>
        <w:t xml:space="preserve">ращения и наказания </w:t>
      </w:r>
      <w:r w:rsidRPr="000E12E6">
        <w:t xml:space="preserve">и </w:t>
      </w:r>
      <w:r w:rsidRPr="000E12E6">
        <w:rPr>
          <w:color w:val="000000"/>
        </w:rPr>
        <w:t>Конвенцией о ликвидации всех форм дискриминации в отношении женщин</w:t>
      </w:r>
      <w:r w:rsidRPr="000E12E6">
        <w:t>, это правило распространяется, в частности, и на права, предусмотренные Конвенцией о ликвидации всех форм расовой дискримин</w:t>
      </w:r>
      <w:r w:rsidRPr="000E12E6">
        <w:t>а</w:t>
      </w:r>
      <w:r w:rsidRPr="000E12E6">
        <w:t xml:space="preserve">ции. До сих пор, однако, число судебных дел, связанных с применением этого средства правовой защиты, было небольшим. </w:t>
      </w:r>
    </w:p>
    <w:p w:rsidR="005D2199" w:rsidRPr="000E12E6" w:rsidRDefault="005D2199" w:rsidP="00A41E46">
      <w:pPr>
        <w:pStyle w:val="SingleTxtGR"/>
        <w:keepLines/>
      </w:pPr>
      <w:r w:rsidRPr="000E12E6">
        <w:t>19.</w:t>
      </w:r>
      <w:r w:rsidRPr="000E12E6">
        <w:tab/>
        <w:t>Значительным шагом в деле ликвидации дискриминации стало учрежд</w:t>
      </w:r>
      <w:r w:rsidRPr="000E12E6">
        <w:t>е</w:t>
      </w:r>
      <w:r w:rsidRPr="000E12E6">
        <w:t xml:space="preserve">ние в 2005 году межведомственной </w:t>
      </w:r>
      <w:r w:rsidRPr="000E12E6">
        <w:rPr>
          <w:color w:val="000000"/>
        </w:rPr>
        <w:t>Комиссии по обеспечению равных возмо</w:t>
      </w:r>
      <w:r w:rsidRPr="000E12E6">
        <w:rPr>
          <w:color w:val="000000"/>
        </w:rPr>
        <w:t>ж</w:t>
      </w:r>
      <w:r w:rsidRPr="000E12E6">
        <w:rPr>
          <w:color w:val="000000"/>
        </w:rPr>
        <w:t>ностей и действующего в ее рамках Управления по обеспечению равных во</w:t>
      </w:r>
      <w:r w:rsidRPr="000E12E6">
        <w:rPr>
          <w:color w:val="000000"/>
        </w:rPr>
        <w:t>з</w:t>
      </w:r>
      <w:r w:rsidRPr="000E12E6">
        <w:rPr>
          <w:color w:val="000000"/>
        </w:rPr>
        <w:t>можностей</w:t>
      </w:r>
      <w:r w:rsidRPr="000E12E6">
        <w:t>. Деятельность Управления направлена на борьбу с дискриминацией и поощрение де-юре и де-факт</w:t>
      </w:r>
      <w:r w:rsidR="000B09CF">
        <w:t>о</w:t>
      </w:r>
      <w:r w:rsidRPr="000E12E6">
        <w:t xml:space="preserve"> равных возможностей в ключевых областях, имеющих отношение к защите прав человека, включая </w:t>
      </w:r>
      <w:proofErr w:type="spellStart"/>
      <w:r w:rsidRPr="000E12E6">
        <w:t>гендерное</w:t>
      </w:r>
      <w:proofErr w:type="spellEnd"/>
      <w:r w:rsidRPr="000E12E6">
        <w:t xml:space="preserve"> равенство, инвалидность, миграцию и интеграцию иностранцев, социальное неблагопол</w:t>
      </w:r>
      <w:r w:rsidRPr="000E12E6">
        <w:t>у</w:t>
      </w:r>
      <w:r w:rsidRPr="000E12E6">
        <w:t>чие и сексуальную ориентацию</w:t>
      </w:r>
      <w:r w:rsidRPr="000E12E6">
        <w:rPr>
          <w:rStyle w:val="FootnoteReference"/>
        </w:rPr>
        <w:footnoteReference w:id="13"/>
      </w:r>
      <w:r w:rsidRPr="000E12E6">
        <w:t>.</w:t>
      </w:r>
    </w:p>
    <w:p w:rsidR="005D2199" w:rsidRDefault="005D2199" w:rsidP="005D2199">
      <w:pPr>
        <w:pStyle w:val="H1GR"/>
      </w:pPr>
      <w:bookmarkStart w:id="9" w:name="_Toc174467033"/>
      <w:bookmarkStart w:id="10" w:name="_Toc302400168"/>
      <w:r w:rsidRPr="000E12E6">
        <w:tab/>
      </w:r>
      <w:r w:rsidRPr="000E12E6">
        <w:tab/>
        <w:t>Статья 2</w:t>
      </w:r>
      <w:r w:rsidR="00A41E46">
        <w:br/>
      </w:r>
      <w:r w:rsidRPr="000E12E6">
        <w:t>Политика в области ликвидации расовой дискриминации и</w:t>
      </w:r>
      <w:r w:rsidR="00A41E46">
        <w:t> </w:t>
      </w:r>
      <w:r w:rsidRPr="000E12E6">
        <w:t xml:space="preserve">содействия </w:t>
      </w:r>
      <w:bookmarkEnd w:id="9"/>
      <w:bookmarkEnd w:id="10"/>
      <w:r w:rsidRPr="000E12E6">
        <w:t xml:space="preserve">взаимопониманию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0B09CF" w:rsidTr="000B09C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0B09CF" w:rsidRDefault="000B09CF" w:rsidP="000B09CF">
            <w:pPr>
              <w:spacing w:line="240" w:lineRule="auto"/>
              <w:rPr>
                <w:lang w:eastAsia="ru-RU"/>
              </w:rPr>
            </w:pPr>
          </w:p>
        </w:tc>
      </w:tr>
      <w:tr w:rsidR="000B09CF" w:rsidTr="000B09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0B09CF" w:rsidRDefault="000B09CF" w:rsidP="000B09CF">
            <w:pPr>
              <w:spacing w:after="120"/>
              <w:jc w:val="both"/>
              <w:rPr>
                <w:lang w:eastAsia="ru-RU"/>
              </w:rPr>
            </w:pPr>
            <w:r w:rsidRPr="000B09CF">
              <w:rPr>
                <w:lang w:eastAsia="ru-RU"/>
              </w:rPr>
              <w:t>Рекомендация КЛРД № 15:</w:t>
            </w:r>
          </w:p>
        </w:tc>
      </w:tr>
      <w:tr w:rsidR="000B09CF" w:rsidTr="000B09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0B09CF" w:rsidRDefault="000B09CF" w:rsidP="000B09CF">
            <w:pPr>
              <w:spacing w:after="120"/>
              <w:jc w:val="both"/>
              <w:rPr>
                <w:lang w:eastAsia="ru-RU"/>
              </w:rPr>
            </w:pPr>
            <w:r w:rsidRPr="000B09CF">
              <w:rPr>
                <w:lang w:eastAsia="ru-RU"/>
              </w:rPr>
              <w:tab/>
              <w:t>Комитет рекомендует государству-участнику принять необходимые меры для сбора дезагрегированных статистических данных, которые позволят оц</w:t>
            </w:r>
            <w:r w:rsidRPr="000B09CF">
              <w:rPr>
                <w:lang w:eastAsia="ru-RU"/>
              </w:rPr>
              <w:t>е</w:t>
            </w:r>
            <w:r w:rsidRPr="000B09CF">
              <w:rPr>
                <w:lang w:eastAsia="ru-RU"/>
              </w:rPr>
              <w:t>нить социально-экономический статус различных этнических групп среди н</w:t>
            </w:r>
            <w:r w:rsidRPr="000B09CF">
              <w:rPr>
                <w:lang w:eastAsia="ru-RU"/>
              </w:rPr>
              <w:t>а</w:t>
            </w:r>
            <w:r w:rsidRPr="000B09CF">
              <w:rPr>
                <w:lang w:eastAsia="ru-RU"/>
              </w:rPr>
              <w:t xml:space="preserve">селения в целом. Кроме того, Комитет просит государство-участник включить в свой следующий периодический доклад статистические данные о </w:t>
            </w:r>
            <w:proofErr w:type="spellStart"/>
            <w:r w:rsidRPr="000B09CF">
              <w:rPr>
                <w:lang w:eastAsia="ru-RU"/>
              </w:rPr>
              <w:t>представле</w:t>
            </w:r>
            <w:r w:rsidRPr="000B09CF">
              <w:rPr>
                <w:lang w:eastAsia="ru-RU"/>
              </w:rPr>
              <w:t>н</w:t>
            </w:r>
            <w:r w:rsidRPr="000B09CF">
              <w:rPr>
                <w:lang w:eastAsia="ru-RU"/>
              </w:rPr>
              <w:t>ности</w:t>
            </w:r>
            <w:proofErr w:type="spellEnd"/>
            <w:r w:rsidRPr="000B09CF">
              <w:rPr>
                <w:lang w:eastAsia="ru-RU"/>
              </w:rPr>
              <w:t xml:space="preserve"> различных этнических групп в государственных органах и учреждениях.</w:t>
            </w:r>
          </w:p>
        </w:tc>
      </w:tr>
      <w:tr w:rsidR="000B09CF" w:rsidTr="000B09CF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0B09CF" w:rsidRDefault="000B09CF" w:rsidP="000B09CF">
            <w:pPr>
              <w:spacing w:line="240" w:lineRule="auto"/>
              <w:rPr>
                <w:lang w:eastAsia="ru-RU"/>
              </w:rPr>
            </w:pPr>
          </w:p>
        </w:tc>
      </w:tr>
    </w:tbl>
    <w:p w:rsidR="005D2199" w:rsidRPr="000E12E6" w:rsidRDefault="005D2199" w:rsidP="000B09CF">
      <w:pPr>
        <w:pStyle w:val="SingleTxtGR"/>
        <w:spacing w:before="240"/>
      </w:pPr>
      <w:r w:rsidRPr="000E12E6">
        <w:t>20.</w:t>
      </w:r>
      <w:r w:rsidRPr="000E12E6">
        <w:tab/>
        <w:t xml:space="preserve">На основании этой рекомендации </w:t>
      </w:r>
      <w:proofErr w:type="spellStart"/>
      <w:r w:rsidRPr="000E12E6">
        <w:t>Лихтенштейнскому</w:t>
      </w:r>
      <w:proofErr w:type="spellEnd"/>
      <w:r w:rsidRPr="000E12E6">
        <w:t xml:space="preserve"> институту в 2004</w:t>
      </w:r>
      <w:r>
        <w:rPr>
          <w:lang w:val="en-US"/>
        </w:rPr>
        <w:t> </w:t>
      </w:r>
      <w:r w:rsidRPr="000E12E6">
        <w:t>году было поручено провести исследование, направленное на сбор недо</w:t>
      </w:r>
      <w:r w:rsidRPr="000E12E6">
        <w:t>с</w:t>
      </w:r>
      <w:r w:rsidRPr="000E12E6">
        <w:t>тающих данных о дискриминации по признаку национальности, расы, религии, культуры и языка. В 2007 году было дополнительно поручено провести базовые исследования по таким темам, как "интеграция иностранного населения", "с</w:t>
      </w:r>
      <w:r w:rsidRPr="000E12E6">
        <w:t>о</w:t>
      </w:r>
      <w:r w:rsidRPr="000E12E6">
        <w:t>циальное положение инвалидов" и "гомосексуалисты и дискриминация в Ли</w:t>
      </w:r>
      <w:r w:rsidRPr="000E12E6">
        <w:t>х</w:t>
      </w:r>
      <w:r w:rsidRPr="000E12E6">
        <w:t>тенштейне"</w:t>
      </w:r>
      <w:r w:rsidRPr="000E12E6">
        <w:rPr>
          <w:rStyle w:val="FootnoteReference"/>
        </w:rPr>
        <w:footnoteReference w:id="14"/>
      </w:r>
      <w:r w:rsidRPr="000E12E6">
        <w:t>. Благодаря этим исследованиям были восполнены недостатки в имеющихся данных и высказаны рекомендации относительно расширения си</w:t>
      </w:r>
      <w:r w:rsidRPr="000E12E6">
        <w:t>с</w:t>
      </w:r>
      <w:r w:rsidRPr="000E12E6">
        <w:t xml:space="preserve">тематического и регулярного сбора данных, объединения существующих баз и реестров данных, </w:t>
      </w:r>
      <w:proofErr w:type="spellStart"/>
      <w:r w:rsidRPr="000E12E6">
        <w:t>дезагрегации</w:t>
      </w:r>
      <w:proofErr w:type="spellEnd"/>
      <w:r w:rsidRPr="000E12E6">
        <w:t xml:space="preserve"> данных и проведения дополнительных базовых исследований. Целый ряд усовершенствований уже воплощен в жизнь. Напр</w:t>
      </w:r>
      <w:r w:rsidRPr="000E12E6">
        <w:t>и</w:t>
      </w:r>
      <w:r w:rsidRPr="000E12E6">
        <w:t>мер, статистика оплаты труда с 2008 года позволяет подробно анализировать структуру заработной платы трудящихся Лихтенштейна и содержит сопостав</w:t>
      </w:r>
      <w:r w:rsidRPr="000E12E6">
        <w:t>и</w:t>
      </w:r>
      <w:r w:rsidRPr="000E12E6">
        <w:t>мые на международном уровне данные. В 2006 году правительство поручило межведомственной проектной группе в сотрудничестве с независимым иссл</w:t>
      </w:r>
      <w:r w:rsidRPr="000E12E6">
        <w:t>е</w:t>
      </w:r>
      <w:r w:rsidRPr="000E12E6">
        <w:t>довательским институтом осуществить конкретные меры по улучшению сбора и анализа данных. На основе Европейского справочника данных о положении в области равенства проектная группа обсудила возможности для создания н</w:t>
      </w:r>
      <w:r w:rsidRPr="000E12E6">
        <w:t>а</w:t>
      </w:r>
      <w:r w:rsidRPr="000E12E6">
        <w:t>циональной базы данных и пришла в выводу о необходимости публикации еж</w:t>
      </w:r>
      <w:r w:rsidRPr="000E12E6">
        <w:t>е</w:t>
      </w:r>
      <w:r w:rsidRPr="000E12E6">
        <w:t>годного доклада о положении дел в области прав человека, который будет осн</w:t>
      </w:r>
      <w:r w:rsidRPr="000E12E6">
        <w:t>о</w:t>
      </w:r>
      <w:r w:rsidRPr="000E12E6">
        <w:t>ван на существующих статистических обзорах и обеспечит сбор и использов</w:t>
      </w:r>
      <w:r w:rsidRPr="000E12E6">
        <w:t>а</w:t>
      </w:r>
      <w:r w:rsidRPr="000E12E6">
        <w:t>ние данных всеми участвующими правительственными ведомствами и орган</w:t>
      </w:r>
      <w:r w:rsidRPr="000E12E6">
        <w:t>и</w:t>
      </w:r>
      <w:r w:rsidRPr="000E12E6">
        <w:t>зациями, с тем чтобы такие данные – при условии соблюдения законодател</w:t>
      </w:r>
      <w:r w:rsidRPr="000E12E6">
        <w:t>ь</w:t>
      </w:r>
      <w:r w:rsidRPr="000E12E6">
        <w:t>ства о защите данных – могли использоваться для самых разных целей. В янв</w:t>
      </w:r>
      <w:r w:rsidRPr="000E12E6">
        <w:t>а</w:t>
      </w:r>
      <w:r w:rsidRPr="000E12E6">
        <w:t>ре 2011 года был представлен первый доклад о положении дел в области прав ч</w:t>
      </w:r>
      <w:r w:rsidRPr="000E12E6">
        <w:t>е</w:t>
      </w:r>
      <w:r w:rsidRPr="000E12E6">
        <w:t>ловека в Лихтенштейне. В этом докладе в краткой и удобной для читателя фо</w:t>
      </w:r>
      <w:r w:rsidRPr="000E12E6">
        <w:t>р</w:t>
      </w:r>
      <w:r w:rsidRPr="000E12E6">
        <w:t>ме представлены данные, информация и пояснения по более чем 80 темам, св</w:t>
      </w:r>
      <w:r w:rsidRPr="000E12E6">
        <w:t>я</w:t>
      </w:r>
      <w:r w:rsidRPr="000E12E6">
        <w:t>занным с правами человека</w:t>
      </w:r>
      <w:r w:rsidRPr="000E12E6">
        <w:rPr>
          <w:rStyle w:val="FootnoteReference"/>
        </w:rPr>
        <w:footnoteReference w:id="15"/>
      </w:r>
      <w:r w:rsidRPr="000E12E6">
        <w:t>.</w:t>
      </w:r>
    </w:p>
    <w:p w:rsidR="005D2199" w:rsidRPr="000E12E6" w:rsidRDefault="005D2199" w:rsidP="005D2199">
      <w:pPr>
        <w:pStyle w:val="SingleTxtGR"/>
      </w:pPr>
      <w:r w:rsidRPr="000E12E6">
        <w:t>21.</w:t>
      </w:r>
      <w:r w:rsidRPr="000E12E6">
        <w:tab/>
        <w:t>В Лихтенштейне нет национальных меньшинств. Доля иностранцев в н</w:t>
      </w:r>
      <w:r w:rsidRPr="000E12E6">
        <w:t>а</w:t>
      </w:r>
      <w:r w:rsidRPr="000E12E6">
        <w:t>селении страны составляет 33,1%. Немногим более двух третей всех работн</w:t>
      </w:r>
      <w:r w:rsidRPr="000E12E6">
        <w:t>и</w:t>
      </w:r>
      <w:r w:rsidRPr="000E12E6">
        <w:t>ков являются иностранцами (проживающими в Лихтенштейне или прибыва</w:t>
      </w:r>
      <w:r w:rsidRPr="000E12E6">
        <w:t>ю</w:t>
      </w:r>
      <w:r w:rsidRPr="000E12E6">
        <w:t xml:space="preserve">щими на работу из-за границы). Доля иностранных работников в Национальной государственной администрации составляет 23,8%. </w:t>
      </w:r>
    </w:p>
    <w:p w:rsidR="005D2199" w:rsidRPr="000E12E6" w:rsidRDefault="005D2199" w:rsidP="005D2199">
      <w:pPr>
        <w:pStyle w:val="SingleTxtGR"/>
      </w:pPr>
      <w:r w:rsidRPr="000E12E6">
        <w:t>22.</w:t>
      </w:r>
      <w:r w:rsidRPr="000E12E6">
        <w:tab/>
        <w:t>Лихтенштейн является социальным государством с очень высоким уро</w:t>
      </w:r>
      <w:r w:rsidRPr="000E12E6">
        <w:t>в</w:t>
      </w:r>
      <w:r w:rsidRPr="000E12E6">
        <w:t>нем жизни и хорошо развитой сетью социального обеспечения, а также одной из самых низких в Европе долей домохозяйств, имеющих низкий доход. В Ли</w:t>
      </w:r>
      <w:r w:rsidRPr="000E12E6">
        <w:t>х</w:t>
      </w:r>
      <w:r w:rsidRPr="000E12E6">
        <w:t>тенштейне отсутствует нищета; однако, несмотря на предоставляемые госуда</w:t>
      </w:r>
      <w:r w:rsidRPr="000E12E6">
        <w:t>р</w:t>
      </w:r>
      <w:r w:rsidRPr="000E12E6">
        <w:t>ством социальные услуги, 11% домохозяйств имеют низкие доходы</w:t>
      </w:r>
      <w:r w:rsidRPr="000E12E6">
        <w:rPr>
          <w:rStyle w:val="FootnoteReference"/>
        </w:rPr>
        <w:footnoteReference w:id="16"/>
      </w:r>
      <w:r w:rsidRPr="000E12E6">
        <w:t>. Чаще вс</w:t>
      </w:r>
      <w:r w:rsidRPr="000E12E6">
        <w:t>е</w:t>
      </w:r>
      <w:r w:rsidRPr="000E12E6">
        <w:t>го низкий доход имеют родители-одиночки. Социальные льготы для малоим</w:t>
      </w:r>
      <w:r w:rsidRPr="000E12E6">
        <w:t>у</w:t>
      </w:r>
      <w:r w:rsidRPr="000E12E6">
        <w:t>щих (например, уменьшение взносов медицинского страхования, субсидии на оплату съемного жилья) предоставляются всем лицам, проживающим в Ли</w:t>
      </w:r>
      <w:r w:rsidRPr="000E12E6">
        <w:t>х</w:t>
      </w:r>
      <w:r w:rsidRPr="000E12E6">
        <w:t>тенштейне независимо от их национального происхождения. Распределение домохозяйств с низкими доходами в разбивке по национальному или этнич</w:t>
      </w:r>
      <w:r w:rsidRPr="000E12E6">
        <w:t>е</w:t>
      </w:r>
      <w:r w:rsidRPr="000E12E6">
        <w:t>скому происхождению в статистике не отражено. Индивидуальная статистика Управления социальных услуг, тем не менее, свидетельс</w:t>
      </w:r>
      <w:r w:rsidRPr="000E12E6">
        <w:t>т</w:t>
      </w:r>
      <w:r w:rsidRPr="000E12E6">
        <w:t>вует о том, что лица из третьих стран чаще пользуются социальной помощью экономического характ</w:t>
      </w:r>
      <w:r w:rsidRPr="000E12E6">
        <w:t>е</w:t>
      </w:r>
      <w:r w:rsidRPr="000E12E6">
        <w:t>ра и в силу этого, возможно, им в большей степени, нежели другим жителям Лихтенштейна, угрожает нищета.</w:t>
      </w:r>
    </w:p>
    <w:p w:rsidR="005D2199" w:rsidRPr="00803FE0" w:rsidRDefault="00803FE0" w:rsidP="00803FE0">
      <w:pPr>
        <w:pStyle w:val="H23GR"/>
        <w:rPr>
          <w:b w:val="0"/>
          <w:i/>
          <w:sz w:val="18"/>
          <w:szCs w:val="18"/>
        </w:rPr>
      </w:pPr>
      <w:r w:rsidRPr="00803FE0">
        <w:rPr>
          <w:b w:val="0"/>
        </w:rPr>
        <w:tab/>
      </w:r>
      <w:r w:rsidRPr="00803FE0">
        <w:rPr>
          <w:b w:val="0"/>
        </w:rPr>
        <w:tab/>
      </w:r>
      <w:r w:rsidR="005D2199" w:rsidRPr="00803FE0">
        <w:rPr>
          <w:b w:val="0"/>
        </w:rPr>
        <w:t>Диаграмма 2</w:t>
      </w:r>
      <w:r w:rsidR="005D2199" w:rsidRPr="00803FE0">
        <w:rPr>
          <w:b w:val="0"/>
        </w:rPr>
        <w:br/>
      </w:r>
      <w:r w:rsidR="005D2199" w:rsidRPr="00023BF9">
        <w:t xml:space="preserve">Происхождение лиц, обращающихся за помощью </w:t>
      </w:r>
      <w:r>
        <w:br/>
      </w:r>
      <w:r w:rsidR="005D2199" w:rsidRPr="00023BF9">
        <w:t>в Управление социальных услуг (с 2001 года)</w:t>
      </w:r>
      <w:r w:rsidR="00CC41FD">
        <w:t>,</w:t>
      </w:r>
      <w:r w:rsidR="005D2199" w:rsidRPr="00023BF9">
        <w:t xml:space="preserve"> </w:t>
      </w:r>
      <w:r>
        <w:br/>
      </w:r>
      <w:r w:rsidR="005D2199" w:rsidRPr="00803FE0">
        <w:rPr>
          <w:b w:val="0"/>
          <w:i/>
          <w:sz w:val="18"/>
          <w:szCs w:val="18"/>
        </w:rPr>
        <w:t>в процентах</w:t>
      </w:r>
    </w:p>
    <w:p w:rsidR="005D2199" w:rsidRPr="000E12E6" w:rsidRDefault="00803FE0" w:rsidP="00803FE0">
      <w:pPr>
        <w:ind w:left="24" w:hanging="24"/>
        <w:jc w:val="center"/>
        <w:rPr>
          <w:sz w:val="24"/>
          <w:szCs w:val="24"/>
        </w:rPr>
      </w:pPr>
      <w:r w:rsidRPr="000E12E6">
        <w:rPr>
          <w:sz w:val="24"/>
          <w:szCs w:val="24"/>
        </w:rPr>
        <w:object w:dxaOrig="5793" w:dyaOrig="2962">
          <v:shape id="_x0000_i1027" type="#_x0000_t75" style="width:289.5pt;height:147.75pt" o:ole="">
            <v:imagedata r:id="rId9" o:title=""/>
          </v:shape>
          <o:OLEObject Type="Embed" ProgID="MSGraph.Chart.8" ShapeID="_x0000_i1027" DrawAspect="Content" ObjectID="_1395481650" r:id="rId10">
            <o:FieldCodes>\s</o:FieldCodes>
          </o:OLEObject>
        </w:object>
      </w:r>
    </w:p>
    <w:p w:rsidR="005D2199" w:rsidRPr="00FD5EF9" w:rsidRDefault="005D2199" w:rsidP="00803FE0">
      <w:pPr>
        <w:pStyle w:val="SingleTxtGR"/>
        <w:spacing w:before="240"/>
      </w:pPr>
      <w:r w:rsidRPr="00FD5EF9">
        <w:t>23.</w:t>
      </w:r>
      <w:r w:rsidRPr="00FD5EF9">
        <w:tab/>
        <w:t xml:space="preserve">Статистическое управление публикует </w:t>
      </w:r>
      <w:r>
        <w:t xml:space="preserve">данные об </w:t>
      </w:r>
      <w:r w:rsidRPr="00FD5EF9">
        <w:t>оплат</w:t>
      </w:r>
      <w:r>
        <w:t>е</w:t>
      </w:r>
      <w:r w:rsidRPr="00FD5EF9">
        <w:t xml:space="preserve"> труда начиная с 2005 года. Первые два статистических доклада за 2005 и 2006 годы показыв</w:t>
      </w:r>
      <w:r w:rsidRPr="00FD5EF9">
        <w:t>а</w:t>
      </w:r>
      <w:r w:rsidRPr="00FD5EF9">
        <w:t>ют, что медианная заработная плата среди иностранного населения была в целом примерно на 15% ниже, чем среди гра</w:t>
      </w:r>
      <w:r>
        <w:t>ждан Лихтенштейна. Тем не менее</w:t>
      </w:r>
      <w:r w:rsidRPr="00FD5EF9">
        <w:t xml:space="preserve"> с 2006</w:t>
      </w:r>
      <w:r>
        <w:t> </w:t>
      </w:r>
      <w:r w:rsidRPr="00FD5EF9">
        <w:t xml:space="preserve">по 2008 год разница в </w:t>
      </w:r>
      <w:r>
        <w:t xml:space="preserve">уровне </w:t>
      </w:r>
      <w:r w:rsidRPr="00FD5EF9">
        <w:t>заработной плат</w:t>
      </w:r>
      <w:r>
        <w:t>ы</w:t>
      </w:r>
      <w:r w:rsidRPr="00FD5EF9">
        <w:t xml:space="preserve"> граждан Лихтенштейна и иностранцев значительно </w:t>
      </w:r>
      <w:r>
        <w:t>сократилась</w:t>
      </w:r>
      <w:r w:rsidRPr="00FD5EF9">
        <w:t>. В 2008 году медианная начисленная з</w:t>
      </w:r>
      <w:r w:rsidRPr="00FD5EF9">
        <w:t>а</w:t>
      </w:r>
      <w:r w:rsidRPr="00FD5EF9">
        <w:t>работная плата граждан Лихтенштейна была лишь на 10% выше, чем среди иностранных работников. Существуют виды деятельности, особенно в сфере услуг, в которых это соотношение является обратным: по имеющимся данным, более высокая начисленная заработная плата иностранцев наблюдалась в сект</w:t>
      </w:r>
      <w:r w:rsidRPr="00FD5EF9">
        <w:t>о</w:t>
      </w:r>
      <w:r w:rsidRPr="00FD5EF9">
        <w:t>рах кредитования и страхования; образования; государственного управления; недвижимости, информационных технологий и обслуживания компаний; тран</w:t>
      </w:r>
      <w:r w:rsidRPr="00FD5EF9">
        <w:t>с</w:t>
      </w:r>
      <w:r w:rsidRPr="00FD5EF9">
        <w:t>порта и телекоммуникаций; и других услуг</w:t>
      </w:r>
      <w:r>
        <w:rPr>
          <w:rStyle w:val="FootnoteReference"/>
        </w:rPr>
        <w:footnoteReference w:id="17"/>
      </w:r>
      <w:r w:rsidRPr="00FD5EF9">
        <w:t>.</w:t>
      </w:r>
    </w:p>
    <w:p w:rsidR="005D2199" w:rsidRPr="00FD5EF9" w:rsidRDefault="00803FE0" w:rsidP="00803FE0">
      <w:pPr>
        <w:pStyle w:val="H23GR"/>
      </w:pPr>
      <w:r w:rsidRPr="00803FE0">
        <w:rPr>
          <w:b w:val="0"/>
        </w:rPr>
        <w:tab/>
      </w:r>
      <w:r w:rsidRPr="00803FE0">
        <w:rPr>
          <w:b w:val="0"/>
        </w:rPr>
        <w:tab/>
      </w:r>
      <w:r w:rsidR="005D2199" w:rsidRPr="00803FE0">
        <w:rPr>
          <w:b w:val="0"/>
        </w:rPr>
        <w:t>Таблица 4</w:t>
      </w:r>
      <w:r w:rsidR="005D2199" w:rsidRPr="00803FE0">
        <w:rPr>
          <w:b w:val="0"/>
        </w:rPr>
        <w:br/>
      </w:r>
      <w:r w:rsidR="005D2199" w:rsidRPr="00FD5EF9">
        <w:t>Начисленная ежемесячная заработная плата в швейцарских франках в</w:t>
      </w:r>
      <w:r w:rsidR="005D2199">
        <w:t> </w:t>
      </w:r>
      <w:r w:rsidR="005D2199" w:rsidRPr="00FD5EF9">
        <w:t>разбивке по гражда</w:t>
      </w:r>
      <w:r w:rsidR="005D2199" w:rsidRPr="00FD5EF9">
        <w:t>н</w:t>
      </w:r>
      <w:r w:rsidR="005D2199" w:rsidRPr="00FD5EF9">
        <w:t>ству в 2008 году (медианная)</w:t>
      </w:r>
    </w:p>
    <w:tbl>
      <w:tblPr>
        <w:tblStyle w:val="TabNum"/>
        <w:tblW w:w="7405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178"/>
        <w:gridCol w:w="1462"/>
        <w:gridCol w:w="1197"/>
        <w:gridCol w:w="1568"/>
      </w:tblGrid>
      <w:tr w:rsidR="005D2199" w:rsidRPr="006E3452" w:rsidTr="008E2356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tcBorders>
              <w:bottom w:val="single" w:sz="12" w:space="0" w:color="auto"/>
            </w:tcBorders>
            <w:shd w:val="clear" w:color="auto" w:fill="auto"/>
          </w:tcPr>
          <w:p w:rsidR="005D2199" w:rsidRPr="006E3452" w:rsidRDefault="005D2199" w:rsidP="009D174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6E3452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E3452">
              <w:rPr>
                <w:i/>
                <w:sz w:val="16"/>
              </w:rPr>
              <w:t>Промышле</w:t>
            </w:r>
            <w:r w:rsidRPr="006E3452">
              <w:rPr>
                <w:i/>
                <w:sz w:val="16"/>
              </w:rPr>
              <w:t>н</w:t>
            </w:r>
            <w:r w:rsidRPr="006E3452">
              <w:rPr>
                <w:i/>
                <w:sz w:val="16"/>
              </w:rPr>
              <w:t>ность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6E3452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E3452">
              <w:rPr>
                <w:i/>
                <w:sz w:val="16"/>
              </w:rPr>
              <w:t>Сфера услуг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6E3452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E3452">
              <w:rPr>
                <w:i/>
                <w:sz w:val="16"/>
              </w:rPr>
              <w:t>Экономика в ц</w:t>
            </w:r>
            <w:r w:rsidRPr="006E3452">
              <w:rPr>
                <w:i/>
                <w:sz w:val="16"/>
              </w:rPr>
              <w:t>е</w:t>
            </w:r>
            <w:r w:rsidRPr="006E3452">
              <w:rPr>
                <w:i/>
                <w:sz w:val="16"/>
              </w:rPr>
              <w:t>лом</w:t>
            </w:r>
          </w:p>
        </w:tc>
      </w:tr>
      <w:tr w:rsidR="005D2199" w:rsidRPr="006E3452" w:rsidTr="008E235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tcBorders>
              <w:top w:val="single" w:sz="12" w:space="0" w:color="auto"/>
            </w:tcBorders>
          </w:tcPr>
          <w:p w:rsidR="005D2199" w:rsidRPr="006E3452" w:rsidRDefault="005D2199" w:rsidP="009D174D">
            <w:r w:rsidRPr="006E3452">
              <w:t>Работники – граждане Ли</w:t>
            </w:r>
            <w:r w:rsidRPr="006E3452">
              <w:t>х</w:t>
            </w:r>
            <w:r w:rsidRPr="006E3452">
              <w:t>тенштейна</w:t>
            </w:r>
          </w:p>
        </w:tc>
        <w:tc>
          <w:tcPr>
            <w:tcW w:w="1462" w:type="dxa"/>
            <w:tcBorders>
              <w:top w:val="single" w:sz="12" w:space="0" w:color="auto"/>
            </w:tcBorders>
          </w:tcPr>
          <w:p w:rsidR="005D2199" w:rsidRPr="006E3452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452">
              <w:t>6 288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5D2199" w:rsidRPr="006E3452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452">
              <w:t>6 901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5D2199" w:rsidRPr="006E3452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452">
              <w:t>6 663</w:t>
            </w:r>
          </w:p>
        </w:tc>
      </w:tr>
      <w:tr w:rsidR="005D2199" w:rsidRPr="006E3452" w:rsidTr="008E235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:rsidR="005D2199" w:rsidRPr="006E3452" w:rsidRDefault="005D2199" w:rsidP="009D174D">
            <w:r w:rsidRPr="006E3452">
              <w:t>Иностранные работники</w:t>
            </w:r>
          </w:p>
        </w:tc>
        <w:tc>
          <w:tcPr>
            <w:tcW w:w="1462" w:type="dxa"/>
          </w:tcPr>
          <w:p w:rsidR="005D2199" w:rsidRPr="006E3452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452">
              <w:t>6 062</w:t>
            </w:r>
          </w:p>
        </w:tc>
        <w:tc>
          <w:tcPr>
            <w:tcW w:w="1197" w:type="dxa"/>
          </w:tcPr>
          <w:p w:rsidR="005D2199" w:rsidRPr="006E3452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452">
              <w:t>6 126</w:t>
            </w:r>
          </w:p>
        </w:tc>
        <w:tc>
          <w:tcPr>
            <w:tcW w:w="1568" w:type="dxa"/>
          </w:tcPr>
          <w:p w:rsidR="005D2199" w:rsidRPr="006E3452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452">
              <w:t>6 067</w:t>
            </w:r>
          </w:p>
        </w:tc>
      </w:tr>
    </w:tbl>
    <w:p w:rsidR="005D2199" w:rsidRPr="00FD5EF9" w:rsidRDefault="005D2199" w:rsidP="008E2356">
      <w:pPr>
        <w:pStyle w:val="SingleTxtGR"/>
        <w:spacing w:before="240"/>
      </w:pPr>
      <w:r w:rsidRPr="00FD5EF9">
        <w:t>24.</w:t>
      </w:r>
      <w:r w:rsidRPr="00FD5EF9">
        <w:tab/>
        <w:t>Уровень безработицы в Лихтенштейне, составляющий 2,3%, является очень низким по сравнению с другими странами Европы</w:t>
      </w:r>
      <w:r>
        <w:rPr>
          <w:rStyle w:val="FootnoteReference"/>
        </w:rPr>
        <w:footnoteReference w:id="18"/>
      </w:r>
      <w:r w:rsidRPr="00FD5EF9">
        <w:t>. Работники, явля</w:t>
      </w:r>
      <w:r w:rsidRPr="00FD5EF9">
        <w:t>ю</w:t>
      </w:r>
      <w:r w:rsidRPr="00FD5EF9">
        <w:t>щиеся гражданами Лихтенштейна или выходцами из других немецкоязычных стран, затронуты безработицей в меньшей степени, чем иностранцы из других стран.</w:t>
      </w:r>
    </w:p>
    <w:p w:rsidR="005D2199" w:rsidRPr="008E2356" w:rsidRDefault="008E2356" w:rsidP="008E2356">
      <w:pPr>
        <w:pStyle w:val="H23GR"/>
        <w:rPr>
          <w:b w:val="0"/>
          <w:i/>
          <w:sz w:val="18"/>
          <w:szCs w:val="18"/>
        </w:rPr>
      </w:pPr>
      <w:r w:rsidRPr="008E2356">
        <w:rPr>
          <w:b w:val="0"/>
        </w:rPr>
        <w:tab/>
      </w:r>
      <w:r w:rsidRPr="008E2356">
        <w:rPr>
          <w:b w:val="0"/>
        </w:rPr>
        <w:tab/>
      </w:r>
      <w:r w:rsidR="005D2199" w:rsidRPr="008E2356">
        <w:rPr>
          <w:b w:val="0"/>
        </w:rPr>
        <w:t>Таблица 5</w:t>
      </w:r>
      <w:r w:rsidR="005D2199" w:rsidRPr="008E2356">
        <w:rPr>
          <w:b w:val="0"/>
        </w:rPr>
        <w:br/>
      </w:r>
      <w:r w:rsidR="005D2199" w:rsidRPr="00FD5EF9">
        <w:t>Безработица в разбивке по группам стран происхождения в 2004 году</w:t>
      </w:r>
      <w:r w:rsidR="005D2199" w:rsidRPr="003B5D77">
        <w:rPr>
          <w:rStyle w:val="FootnoteReference"/>
          <w:b w:val="0"/>
        </w:rPr>
        <w:footnoteReference w:id="19"/>
      </w:r>
      <w:r w:rsidR="005D2199" w:rsidRPr="003B5D77">
        <w:t xml:space="preserve"> </w:t>
      </w:r>
      <w:r w:rsidR="005D2199" w:rsidRPr="008E2356">
        <w:rPr>
          <w:b w:val="0"/>
          <w:i/>
          <w:sz w:val="18"/>
          <w:szCs w:val="18"/>
        </w:rPr>
        <w:t>(в процентах по к</w:t>
      </w:r>
      <w:r w:rsidR="005D2199" w:rsidRPr="008E2356">
        <w:rPr>
          <w:b w:val="0"/>
          <w:i/>
          <w:sz w:val="18"/>
          <w:szCs w:val="18"/>
        </w:rPr>
        <w:t>о</w:t>
      </w:r>
      <w:r w:rsidR="005D2199" w:rsidRPr="008E2356">
        <w:rPr>
          <w:b w:val="0"/>
          <w:i/>
          <w:sz w:val="18"/>
          <w:szCs w:val="18"/>
        </w:rPr>
        <w:t>лонкам)</w:t>
      </w:r>
    </w:p>
    <w:tbl>
      <w:tblPr>
        <w:tblStyle w:val="TabNum"/>
        <w:tblW w:w="7406" w:type="dxa"/>
        <w:tblInd w:w="1134" w:type="dxa"/>
        <w:tblLook w:val="01E0" w:firstRow="1" w:lastRow="1" w:firstColumn="1" w:lastColumn="1" w:noHBand="0" w:noVBand="0"/>
      </w:tblPr>
      <w:tblGrid>
        <w:gridCol w:w="4060"/>
        <w:gridCol w:w="1115"/>
        <w:gridCol w:w="1082"/>
        <w:gridCol w:w="1149"/>
      </w:tblGrid>
      <w:tr w:rsidR="005D2199" w:rsidRPr="008E2356" w:rsidTr="00325FAF">
        <w:trPr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D2199" w:rsidRPr="008E2356" w:rsidRDefault="005D2199" w:rsidP="008E2356">
            <w:pPr>
              <w:spacing w:before="80" w:after="80" w:line="200" w:lineRule="exact"/>
              <w:rPr>
                <w:i/>
                <w:sz w:val="16"/>
              </w:rPr>
            </w:pPr>
            <w:r w:rsidRPr="008E2356">
              <w:rPr>
                <w:i/>
                <w:sz w:val="16"/>
              </w:rPr>
              <w:t>Группа стран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8E2356" w:rsidRDefault="005D2199" w:rsidP="008E235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2356">
              <w:rPr>
                <w:i/>
                <w:sz w:val="16"/>
              </w:rPr>
              <w:t>Общая доля безработных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D2199" w:rsidRPr="008E2356" w:rsidRDefault="005D2199" w:rsidP="008E235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2356">
              <w:rPr>
                <w:i/>
                <w:sz w:val="16"/>
              </w:rPr>
              <w:t>Доля в массе постоянного населения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8E2356" w:rsidRDefault="005D2199" w:rsidP="008E235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2356">
              <w:rPr>
                <w:i/>
                <w:sz w:val="16"/>
              </w:rPr>
              <w:t>Уровень</w:t>
            </w:r>
            <w:r w:rsidRPr="008E2356">
              <w:rPr>
                <w:i/>
                <w:sz w:val="16"/>
              </w:rPr>
              <w:br/>
              <w:t>безработицы</w:t>
            </w:r>
          </w:p>
        </w:tc>
      </w:tr>
      <w:tr w:rsidR="005D2199" w:rsidRPr="008E2356" w:rsidTr="00325FA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tcBorders>
              <w:top w:val="single" w:sz="12" w:space="0" w:color="auto"/>
            </w:tcBorders>
            <w:noWrap/>
          </w:tcPr>
          <w:p w:rsidR="005D2199" w:rsidRPr="008E2356" w:rsidRDefault="005D2199" w:rsidP="008E2356">
            <w:r w:rsidRPr="008E2356">
              <w:t>Лихтенштейн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44,0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noWrap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65,7</w:t>
            </w:r>
          </w:p>
        </w:tc>
        <w:tc>
          <w:tcPr>
            <w:tcW w:w="1149" w:type="dxa"/>
            <w:tcBorders>
              <w:top w:val="single" w:sz="12" w:space="0" w:color="auto"/>
            </w:tcBorders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1,4</w:t>
            </w:r>
          </w:p>
        </w:tc>
      </w:tr>
      <w:tr w:rsidR="005D2199" w:rsidRPr="008E2356" w:rsidTr="00325FA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noWrap/>
          </w:tcPr>
          <w:p w:rsidR="005D2199" w:rsidRPr="008E2356" w:rsidRDefault="005D2199" w:rsidP="008E2356">
            <w:r w:rsidRPr="008E2356">
              <w:t>Западная и Северная Европа/Северная Америка</w:t>
            </w:r>
          </w:p>
        </w:tc>
        <w:tc>
          <w:tcPr>
            <w:tcW w:w="1115" w:type="dxa"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24,2</w:t>
            </w:r>
          </w:p>
        </w:tc>
        <w:tc>
          <w:tcPr>
            <w:tcW w:w="1082" w:type="dxa"/>
            <w:noWrap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20,8</w:t>
            </w:r>
          </w:p>
        </w:tc>
        <w:tc>
          <w:tcPr>
            <w:tcW w:w="1149" w:type="dxa"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2,4</w:t>
            </w:r>
          </w:p>
        </w:tc>
      </w:tr>
      <w:tr w:rsidR="005D2199" w:rsidRPr="008E2356" w:rsidTr="00325FA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noWrap/>
          </w:tcPr>
          <w:p w:rsidR="005D2199" w:rsidRPr="008E2356" w:rsidRDefault="005D2199" w:rsidP="008E2356">
            <w:r w:rsidRPr="008E2356">
              <w:t>Южная Европа</w:t>
            </w:r>
          </w:p>
        </w:tc>
        <w:tc>
          <w:tcPr>
            <w:tcW w:w="1115" w:type="dxa"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10,7</w:t>
            </w:r>
          </w:p>
        </w:tc>
        <w:tc>
          <w:tcPr>
            <w:tcW w:w="1082" w:type="dxa"/>
            <w:noWrap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6,6</w:t>
            </w:r>
          </w:p>
        </w:tc>
        <w:tc>
          <w:tcPr>
            <w:tcW w:w="1149" w:type="dxa"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3,4</w:t>
            </w:r>
          </w:p>
        </w:tc>
      </w:tr>
      <w:tr w:rsidR="005D2199" w:rsidRPr="008E2356" w:rsidTr="00325FA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noWrap/>
          </w:tcPr>
          <w:p w:rsidR="005D2199" w:rsidRPr="008E2356" w:rsidRDefault="005D2199" w:rsidP="008E2356">
            <w:r w:rsidRPr="008E2356">
              <w:t>Восточная/Юго-Восточная Европа</w:t>
            </w:r>
          </w:p>
        </w:tc>
        <w:tc>
          <w:tcPr>
            <w:tcW w:w="1115" w:type="dxa"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10,1</w:t>
            </w:r>
          </w:p>
        </w:tc>
        <w:tc>
          <w:tcPr>
            <w:tcW w:w="1082" w:type="dxa"/>
            <w:noWrap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3,5</w:t>
            </w:r>
          </w:p>
        </w:tc>
        <w:tc>
          <w:tcPr>
            <w:tcW w:w="1149" w:type="dxa"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6,0</w:t>
            </w:r>
          </w:p>
        </w:tc>
      </w:tr>
      <w:tr w:rsidR="005D2199" w:rsidRPr="008E2356" w:rsidTr="00325FA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noWrap/>
          </w:tcPr>
          <w:p w:rsidR="005D2199" w:rsidRPr="008E2356" w:rsidRDefault="005D2199" w:rsidP="008E2356">
            <w:r w:rsidRPr="008E2356">
              <w:t>Турция/Ближний Восток/Северная Африка</w:t>
            </w:r>
          </w:p>
        </w:tc>
        <w:tc>
          <w:tcPr>
            <w:tcW w:w="1115" w:type="dxa"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7,7</w:t>
            </w:r>
          </w:p>
        </w:tc>
        <w:tc>
          <w:tcPr>
            <w:tcW w:w="1082" w:type="dxa"/>
            <w:noWrap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2,6</w:t>
            </w:r>
          </w:p>
        </w:tc>
        <w:tc>
          <w:tcPr>
            <w:tcW w:w="1149" w:type="dxa"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6,2</w:t>
            </w:r>
          </w:p>
        </w:tc>
      </w:tr>
      <w:tr w:rsidR="005D2199" w:rsidRPr="008E2356" w:rsidTr="00325FA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tcBorders>
              <w:bottom w:val="single" w:sz="4" w:space="0" w:color="auto"/>
            </w:tcBorders>
            <w:noWrap/>
          </w:tcPr>
          <w:p w:rsidR="005D2199" w:rsidRPr="008E2356" w:rsidRDefault="005D2199" w:rsidP="008E2356">
            <w:r w:rsidRPr="008E2356">
              <w:t xml:space="preserve">Страны Африки к югу от Сахары/Латинская </w:t>
            </w:r>
            <w:r w:rsidRPr="008E2356">
              <w:br/>
              <w:t>Америка/Азия/Океания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3,3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0,7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9,2</w:t>
            </w:r>
          </w:p>
        </w:tc>
      </w:tr>
      <w:tr w:rsidR="005D2199" w:rsidRPr="008E2356" w:rsidTr="00325FA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tcBorders>
              <w:top w:val="single" w:sz="4" w:space="0" w:color="auto"/>
            </w:tcBorders>
          </w:tcPr>
          <w:p w:rsidR="005D2199" w:rsidRPr="008E2356" w:rsidRDefault="005D2199" w:rsidP="008E2356">
            <w:r w:rsidRPr="008E2356">
              <w:t>Всего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100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12" w:space="0" w:color="auto"/>
            </w:tcBorders>
          </w:tcPr>
          <w:p w:rsidR="005D2199" w:rsidRPr="008E2356" w:rsidRDefault="005D2199" w:rsidP="008E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56">
              <w:t>2,1</w:t>
            </w:r>
          </w:p>
        </w:tc>
      </w:tr>
    </w:tbl>
    <w:p w:rsidR="005D2199" w:rsidRDefault="005D2199" w:rsidP="008E2356">
      <w:pPr>
        <w:pStyle w:val="SingleTxtGR"/>
        <w:keepLines/>
        <w:spacing w:before="120"/>
      </w:pPr>
      <w:r w:rsidRPr="00FD5EF9">
        <w:t>25.</w:t>
      </w:r>
      <w:r w:rsidRPr="00FD5EF9">
        <w:tab/>
        <w:t>Служба рынка труда и система страхования на случай безработицы стр</w:t>
      </w:r>
      <w:r w:rsidRPr="00FD5EF9">
        <w:t>е</w:t>
      </w:r>
      <w:r w:rsidRPr="00FD5EF9">
        <w:t>мятся ограничить негативные последствия безработицы и обеспечить трудоус</w:t>
      </w:r>
      <w:r w:rsidRPr="00FD5EF9">
        <w:t>т</w:t>
      </w:r>
      <w:r w:rsidRPr="00FD5EF9">
        <w:t>ройство безработных в кратчайшие возможные сроки. Все безработные, прож</w:t>
      </w:r>
      <w:r w:rsidRPr="00FD5EF9">
        <w:t>и</w:t>
      </w:r>
      <w:r w:rsidRPr="00FD5EF9">
        <w:t>вающие в Лихтенштейне, имеют право на получение пособий по безраб</w:t>
      </w:r>
      <w:r w:rsidRPr="00FD5EF9">
        <w:t>о</w:t>
      </w:r>
      <w:r w:rsidRPr="00FD5EF9">
        <w:t>тице.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5D2199" w:rsidTr="009D174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5D2199" w:rsidRDefault="005D2199" w:rsidP="009D174D">
            <w:pPr>
              <w:spacing w:line="240" w:lineRule="auto"/>
            </w:pPr>
          </w:p>
        </w:tc>
      </w:tr>
      <w:tr w:rsidR="005D2199" w:rsidTr="009D17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5D2199" w:rsidRDefault="005D2199" w:rsidP="009D174D">
            <w:pPr>
              <w:spacing w:after="120"/>
              <w:jc w:val="both"/>
            </w:pPr>
            <w:r w:rsidRPr="00A86BC6">
              <w:t>Рекомендация КЛРД № 16:</w:t>
            </w:r>
          </w:p>
        </w:tc>
      </w:tr>
      <w:tr w:rsidR="005D2199" w:rsidTr="009D17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5D2199" w:rsidRDefault="00325FAF" w:rsidP="009D174D">
            <w:pPr>
              <w:spacing w:after="120"/>
              <w:jc w:val="both"/>
            </w:pPr>
            <w:r>
              <w:tab/>
            </w:r>
            <w:r w:rsidR="005D2199" w:rsidRPr="00A86BC6">
              <w:t>Комитет призывает государство-участник рассмотреть вопрос о создании, в соответствии с Парижскими принципами, независимого правозащитного у</w:t>
            </w:r>
            <w:r w:rsidR="005D2199" w:rsidRPr="00A86BC6">
              <w:t>ч</w:t>
            </w:r>
            <w:r w:rsidR="005D2199" w:rsidRPr="00A86BC6">
              <w:t>реждения, которое, в частности, способствовало бы мониторингу и оценке пр</w:t>
            </w:r>
            <w:r w:rsidR="005D2199" w:rsidRPr="00A86BC6">
              <w:t>о</w:t>
            </w:r>
            <w:r w:rsidR="005D2199" w:rsidRPr="00A86BC6">
              <w:t>гресса в деле осуществления Конвенции.</w:t>
            </w:r>
          </w:p>
        </w:tc>
      </w:tr>
      <w:tr w:rsidR="005D2199" w:rsidTr="009D174D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D2199" w:rsidRDefault="005D2199" w:rsidP="009D174D">
            <w:pPr>
              <w:spacing w:line="240" w:lineRule="auto"/>
            </w:pPr>
          </w:p>
        </w:tc>
      </w:tr>
    </w:tbl>
    <w:p w:rsidR="005D2199" w:rsidRPr="00FD5EF9" w:rsidRDefault="005D2199" w:rsidP="00325FAF">
      <w:pPr>
        <w:pStyle w:val="SingleTxtGR"/>
        <w:spacing w:before="240"/>
      </w:pPr>
      <w:r w:rsidRPr="00FD5EF9">
        <w:t>26.</w:t>
      </w:r>
      <w:r w:rsidRPr="00FD5EF9">
        <w:tab/>
        <w:t>Позиция правительства Лихтенштейна по вопросу о создании национал</w:t>
      </w:r>
      <w:r w:rsidRPr="00FD5EF9">
        <w:t>ь</w:t>
      </w:r>
      <w:r w:rsidRPr="00FD5EF9">
        <w:t>ного правозащитного учреждения со времени представления последнего докл</w:t>
      </w:r>
      <w:r w:rsidRPr="00FD5EF9">
        <w:t>а</w:t>
      </w:r>
      <w:r w:rsidRPr="00FD5EF9">
        <w:t>да не изменилась. Комиссия по обеспечению равных возможностей и Управл</w:t>
      </w:r>
      <w:r w:rsidRPr="00FD5EF9">
        <w:t>е</w:t>
      </w:r>
      <w:r w:rsidRPr="00FD5EF9">
        <w:t>ние по обеспечению равных возможностей были учреждены в 2004 году в целях совершенствования координации при разработке программ в области прав ч</w:t>
      </w:r>
      <w:r w:rsidRPr="00FD5EF9">
        <w:t>е</w:t>
      </w:r>
      <w:r w:rsidRPr="00FD5EF9">
        <w:t>ловека и их осуществлении на уровне органов государственной власти. Допо</w:t>
      </w:r>
      <w:r w:rsidRPr="00FD5EF9">
        <w:t>л</w:t>
      </w:r>
      <w:r w:rsidRPr="00FD5EF9">
        <w:t>нительная синергия в этом отношении должна быть обеспечена в рамках пл</w:t>
      </w:r>
      <w:r w:rsidRPr="00FD5EF9">
        <w:t>а</w:t>
      </w:r>
      <w:r w:rsidRPr="00FD5EF9">
        <w:t xml:space="preserve">нируемой реформы Национальной государственной администрации. </w:t>
      </w:r>
    </w:p>
    <w:p w:rsidR="005D2199" w:rsidRPr="00FD5EF9" w:rsidRDefault="005D2199" w:rsidP="005D2199">
      <w:pPr>
        <w:pStyle w:val="SingleTxtGR"/>
      </w:pPr>
      <w:r w:rsidRPr="00FD5EF9">
        <w:t>27.</w:t>
      </w:r>
      <w:r w:rsidRPr="00FD5EF9">
        <w:tab/>
        <w:t>Кроме того, правительство приняло конкретные меры по укреплению гражданского общества. На</w:t>
      </w:r>
      <w:r>
        <w:t>чиная с 2009 года</w:t>
      </w:r>
      <w:r w:rsidRPr="00FD5EF9">
        <w:t xml:space="preserve"> Управление иностранных дел пр</w:t>
      </w:r>
      <w:r w:rsidRPr="00FD5EF9">
        <w:t>о</w:t>
      </w:r>
      <w:r w:rsidRPr="00FD5EF9">
        <w:t>водит ежегодный диалог по правам человека со всеми заинтересованными н</w:t>
      </w:r>
      <w:r w:rsidRPr="00FD5EF9">
        <w:t>е</w:t>
      </w:r>
      <w:r w:rsidRPr="00FD5EF9">
        <w:t xml:space="preserve">правительственными организациями (НПО) Лихтенштейна. </w:t>
      </w:r>
      <w:r>
        <w:t>Такой д</w:t>
      </w:r>
      <w:r w:rsidRPr="00FD5EF9">
        <w:t>иалог сп</w:t>
      </w:r>
      <w:r w:rsidRPr="00FD5EF9">
        <w:t>о</w:t>
      </w:r>
      <w:r w:rsidRPr="00FD5EF9">
        <w:t>собствует обмену информаци</w:t>
      </w:r>
      <w:r>
        <w:t>ей</w:t>
      </w:r>
      <w:r w:rsidRPr="00FD5EF9">
        <w:t xml:space="preserve"> и постоянному просвещению по приорите</w:t>
      </w:r>
      <w:r w:rsidRPr="00FD5EF9">
        <w:t>т</w:t>
      </w:r>
      <w:r w:rsidRPr="00FD5EF9">
        <w:t>ным правозащитным вопросам в целях как активизации сотрудничества между орг</w:t>
      </w:r>
      <w:r w:rsidRPr="00FD5EF9">
        <w:t>а</w:t>
      </w:r>
      <w:r w:rsidRPr="00FD5EF9">
        <w:t>нами государственной власти и гражданским обществом, так и улучшения сет</w:t>
      </w:r>
      <w:r w:rsidRPr="00FD5EF9">
        <w:t>е</w:t>
      </w:r>
      <w:r w:rsidRPr="00FD5EF9">
        <w:t xml:space="preserve">вого взаимодействия между правозащитными организациями и </w:t>
      </w:r>
      <w:r>
        <w:t>формирования</w:t>
      </w:r>
      <w:r w:rsidRPr="00FD5EF9">
        <w:t xml:space="preserve"> платформы для совместной деятельности. Ежегодный диалог вызывает бол</w:t>
      </w:r>
      <w:r w:rsidRPr="00FD5EF9">
        <w:t>ь</w:t>
      </w:r>
      <w:r w:rsidRPr="00FD5EF9">
        <w:t xml:space="preserve">шой интерес.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5D2199" w:rsidTr="009D174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5D2199" w:rsidRDefault="005D2199" w:rsidP="009D174D">
            <w:pPr>
              <w:spacing w:line="240" w:lineRule="auto"/>
            </w:pPr>
          </w:p>
        </w:tc>
      </w:tr>
      <w:tr w:rsidR="005D2199" w:rsidTr="009D17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5D2199" w:rsidRDefault="005D2199" w:rsidP="009D174D">
            <w:pPr>
              <w:spacing w:after="120"/>
              <w:jc w:val="both"/>
            </w:pPr>
            <w:r w:rsidRPr="00D0326E">
              <w:t>Рекомендация КЛРД № 17:</w:t>
            </w:r>
          </w:p>
        </w:tc>
      </w:tr>
      <w:tr w:rsidR="005D2199" w:rsidTr="009D17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5D2199" w:rsidRDefault="00325FAF" w:rsidP="009D174D">
            <w:pPr>
              <w:spacing w:after="120"/>
              <w:jc w:val="both"/>
            </w:pPr>
            <w:r>
              <w:tab/>
            </w:r>
            <w:r w:rsidR="005D2199" w:rsidRPr="00D0326E">
              <w:t xml:space="preserve">В свете своей </w:t>
            </w:r>
            <w:r w:rsidR="005D2199">
              <w:t>о</w:t>
            </w:r>
            <w:r w:rsidR="005D2199" w:rsidRPr="00D0326E">
              <w:t xml:space="preserve">бщей рекомендации № 30 (2004 года) о дискриминации </w:t>
            </w:r>
            <w:proofErr w:type="spellStart"/>
            <w:r w:rsidR="005D2199" w:rsidRPr="00D0326E">
              <w:t>негра</w:t>
            </w:r>
            <w:r w:rsidR="005D2199" w:rsidRPr="00D0326E">
              <w:t>ж</w:t>
            </w:r>
            <w:r w:rsidR="005D2199" w:rsidRPr="00D0326E">
              <w:t>дан</w:t>
            </w:r>
            <w:proofErr w:type="spellEnd"/>
            <w:r w:rsidR="005D2199" w:rsidRPr="00D0326E">
              <w:t xml:space="preserve"> Комитет рекомендует государству-участнику рассмотреть вопрос о внесении изменений в Закон</w:t>
            </w:r>
            <w:r w:rsidR="005D2199">
              <w:t xml:space="preserve"> </w:t>
            </w:r>
            <w:r w:rsidR="005D2199" w:rsidRPr="00D0326E">
              <w:t>2000 года об облегченной натурализации для с</w:t>
            </w:r>
            <w:r w:rsidR="005D2199" w:rsidRPr="00D0326E">
              <w:t>о</w:t>
            </w:r>
            <w:r w:rsidR="005D2199" w:rsidRPr="00D0326E">
              <w:t>кращения предусмотренного процедурой натурализации срока проживания и обеспечить, чтобы конкретн</w:t>
            </w:r>
            <w:r w:rsidR="005D2199">
              <w:t>ые</w:t>
            </w:r>
            <w:r w:rsidR="005D2199" w:rsidRPr="00D0326E">
              <w:t xml:space="preserve"> </w:t>
            </w:r>
            <w:r w:rsidR="005D2199">
              <w:t xml:space="preserve">группы </w:t>
            </w:r>
            <w:proofErr w:type="spellStart"/>
            <w:r w:rsidR="005D2199" w:rsidRPr="00D0326E">
              <w:t>неграждан</w:t>
            </w:r>
            <w:proofErr w:type="spellEnd"/>
            <w:r w:rsidR="005D2199" w:rsidRPr="00D0326E">
              <w:t xml:space="preserve"> не подвергались дискрим</w:t>
            </w:r>
            <w:r w:rsidR="005D2199" w:rsidRPr="00D0326E">
              <w:t>и</w:t>
            </w:r>
            <w:r w:rsidR="005D2199" w:rsidRPr="00D0326E">
              <w:t>нации применительно к доступу к гражданству. Кроме того, Комитет насто</w:t>
            </w:r>
            <w:r w:rsidR="005D2199" w:rsidRPr="00D0326E">
              <w:t>я</w:t>
            </w:r>
            <w:r w:rsidR="005D2199" w:rsidRPr="00D0326E">
              <w:t>тельно призывает государство-участник принять необходимые меры для обе</w:t>
            </w:r>
            <w:r w:rsidR="005D2199" w:rsidRPr="00D0326E">
              <w:t>с</w:t>
            </w:r>
            <w:r w:rsidR="005D2199" w:rsidRPr="00D0326E">
              <w:t xml:space="preserve">печения того, чтобы результаты голосований жителей тех или иных коммун по ходатайствам </w:t>
            </w:r>
            <w:proofErr w:type="spellStart"/>
            <w:r w:rsidR="005D2199" w:rsidRPr="00D0326E">
              <w:t>неграждан</w:t>
            </w:r>
            <w:proofErr w:type="spellEnd"/>
            <w:r w:rsidR="005D2199" w:rsidRPr="00D0326E">
              <w:t xml:space="preserve"> о натурализации могли быть пересмотрены в устано</w:t>
            </w:r>
            <w:r w:rsidR="005D2199" w:rsidRPr="00D0326E">
              <w:t>в</w:t>
            </w:r>
            <w:r w:rsidR="005D2199" w:rsidRPr="00D0326E">
              <w:t>ленном поря</w:t>
            </w:r>
            <w:r w:rsidR="005D2199" w:rsidRPr="00D0326E">
              <w:t>д</w:t>
            </w:r>
            <w:r w:rsidR="005D2199" w:rsidRPr="00D0326E">
              <w:t>ке, и было гарантировано право обжаловать такие решения.</w:t>
            </w:r>
          </w:p>
        </w:tc>
      </w:tr>
      <w:tr w:rsidR="005D2199" w:rsidTr="009D174D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D2199" w:rsidRDefault="005D2199" w:rsidP="009D174D">
            <w:pPr>
              <w:spacing w:line="240" w:lineRule="auto"/>
            </w:pPr>
          </w:p>
        </w:tc>
      </w:tr>
    </w:tbl>
    <w:p w:rsidR="005D2199" w:rsidRPr="00FD5EF9" w:rsidRDefault="005D2199" w:rsidP="00325FAF">
      <w:pPr>
        <w:pStyle w:val="SingleTxtGR"/>
        <w:spacing w:before="240"/>
      </w:pPr>
      <w:r w:rsidRPr="00FD5EF9">
        <w:t>28.</w:t>
      </w:r>
      <w:r w:rsidRPr="00FD5EF9">
        <w:tab/>
        <w:t>Как уже сообщалось</w:t>
      </w:r>
      <w:r>
        <w:t>,</w:t>
      </w:r>
      <w:r w:rsidRPr="00FD5EF9">
        <w:t xml:space="preserve"> в 2006 году в соответствии с пунктом 1 правила 65 правил процедуры Закон о приобретении и </w:t>
      </w:r>
      <w:r>
        <w:t>утрате</w:t>
      </w:r>
      <w:r w:rsidRPr="00FD5EF9">
        <w:t xml:space="preserve"> гражданства Лихтенштейна (Закон о гражданстве) был пересмотрен. Пересмотренный закон вст</w:t>
      </w:r>
      <w:r w:rsidRPr="00FD5EF9">
        <w:t>у</w:t>
      </w:r>
      <w:r w:rsidRPr="00FD5EF9">
        <w:t>пил в силу 10 декабря 2008 года</w:t>
      </w:r>
      <w:r>
        <w:rPr>
          <w:rStyle w:val="FootnoteReference"/>
        </w:rPr>
        <w:footnoteReference w:id="20"/>
      </w:r>
      <w:r w:rsidRPr="00FD5EF9">
        <w:t>. В ходе пересмотра срок натурализации для лиц, состо</w:t>
      </w:r>
      <w:r w:rsidRPr="00FD5EF9">
        <w:t>я</w:t>
      </w:r>
      <w:r w:rsidRPr="00FD5EF9">
        <w:t>щих в браке с гражданами Лихтенштейна, был сокращен с 12 до 10 лет. Кроме того, в закон были включены положения о натурализации найденышей и лиц без гражданства</w:t>
      </w:r>
      <w:r>
        <w:rPr>
          <w:rStyle w:val="FootnoteReference"/>
        </w:rPr>
        <w:footnoteReference w:id="21"/>
      </w:r>
      <w:r w:rsidRPr="00FD5EF9">
        <w:t>.</w:t>
      </w:r>
    </w:p>
    <w:p w:rsidR="005D2199" w:rsidRDefault="005D2199" w:rsidP="005D2199">
      <w:pPr>
        <w:pStyle w:val="SingleTxtGR"/>
      </w:pPr>
      <w:r w:rsidRPr="00FD5EF9">
        <w:t>29.</w:t>
      </w:r>
      <w:r w:rsidRPr="00FD5EF9">
        <w:tab/>
        <w:t>В отношении общих сроков натурализации или пересмотра в установле</w:t>
      </w:r>
      <w:r w:rsidRPr="00FD5EF9">
        <w:t>н</w:t>
      </w:r>
      <w:r w:rsidRPr="00FD5EF9">
        <w:t>ном порядке результатов голосования жителей общин и прав их обжалования изменений не произошло</w:t>
      </w:r>
      <w:r>
        <w:t>. Голосование</w:t>
      </w:r>
      <w:r w:rsidRPr="00FD5EF9">
        <w:t xml:space="preserve"> жителей рассматрива</w:t>
      </w:r>
      <w:r>
        <w:t>е</w:t>
      </w:r>
      <w:r w:rsidRPr="00FD5EF9">
        <w:t>тся населением как инструмент прямой демократии, результаты применения которого не дол</w:t>
      </w:r>
      <w:r w:rsidRPr="00FD5EF9">
        <w:t>ж</w:t>
      </w:r>
      <w:r w:rsidRPr="00FD5EF9">
        <w:t>ны быть предметом какой-либо правовой проверки или обжалования. Благодаря различным упр</w:t>
      </w:r>
      <w:r w:rsidRPr="00FD5EF9">
        <w:t>о</w:t>
      </w:r>
      <w:r w:rsidRPr="00FD5EF9">
        <w:t>щенным процедурам натурализации (натурализация через брак, натурализация после многолетнего проживания в стране) лишь очень небол</w:t>
      </w:r>
      <w:r w:rsidRPr="00FD5EF9">
        <w:t>ь</w:t>
      </w:r>
      <w:r w:rsidRPr="00FD5EF9">
        <w:t>шой процент решений о натурализации принимается путем голосования в о</w:t>
      </w:r>
      <w:r w:rsidRPr="00FD5EF9">
        <w:t>б</w:t>
      </w:r>
      <w:r w:rsidRPr="00FD5EF9">
        <w:t xml:space="preserve">щинах. За отчетный период было </w:t>
      </w:r>
      <w:r>
        <w:t>натурализовано в общей сложности</w:t>
      </w:r>
      <w:r w:rsidRPr="00FD5EF9">
        <w:t xml:space="preserve"> 1</w:t>
      </w:r>
      <w:r>
        <w:t> </w:t>
      </w:r>
      <w:r w:rsidRPr="00FD5EF9">
        <w:t>172</w:t>
      </w:r>
      <w:r>
        <w:t> человека</w:t>
      </w:r>
      <w:r w:rsidRPr="00FD5EF9">
        <w:t xml:space="preserve">. Только 26 из них </w:t>
      </w:r>
      <w:r>
        <w:t>были натурализованы по итогам</w:t>
      </w:r>
      <w:r w:rsidRPr="00FD5EF9">
        <w:t xml:space="preserve"> голос</w:t>
      </w:r>
      <w:r w:rsidRPr="00FD5EF9">
        <w:t>о</w:t>
      </w:r>
      <w:r w:rsidRPr="00FD5EF9">
        <w:t xml:space="preserve">вания в общинах. За тот же период жителями общин было </w:t>
      </w:r>
      <w:r>
        <w:t xml:space="preserve">отклонено </w:t>
      </w:r>
      <w:r w:rsidRPr="00FD5EF9">
        <w:t xml:space="preserve">50 ходатайств о натурализации. </w:t>
      </w:r>
    </w:p>
    <w:p w:rsidR="005D2199" w:rsidRPr="00E5199C" w:rsidRDefault="002811B6" w:rsidP="002811B6">
      <w:pPr>
        <w:pStyle w:val="H23GR"/>
      </w:pPr>
      <w:r w:rsidRPr="002811B6">
        <w:rPr>
          <w:b w:val="0"/>
        </w:rPr>
        <w:tab/>
      </w:r>
      <w:r w:rsidRPr="002811B6">
        <w:rPr>
          <w:b w:val="0"/>
        </w:rPr>
        <w:tab/>
      </w:r>
      <w:r w:rsidR="005D2199" w:rsidRPr="002811B6">
        <w:rPr>
          <w:b w:val="0"/>
        </w:rPr>
        <w:t>Таблица 6</w:t>
      </w:r>
      <w:r w:rsidR="005D2199" w:rsidRPr="002811B6">
        <w:rPr>
          <w:b w:val="0"/>
        </w:rPr>
        <w:br/>
      </w:r>
      <w:r w:rsidR="005D2199" w:rsidRPr="00E5199C">
        <w:t>Количество натурализаций в год, 2004−2009 годы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3094"/>
        <w:gridCol w:w="522"/>
        <w:gridCol w:w="522"/>
        <w:gridCol w:w="522"/>
        <w:gridCol w:w="522"/>
        <w:gridCol w:w="522"/>
        <w:gridCol w:w="522"/>
        <w:gridCol w:w="522"/>
        <w:gridCol w:w="622"/>
      </w:tblGrid>
      <w:tr w:rsidR="005D2199" w:rsidRPr="00E5199C" w:rsidTr="009D174D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single" w:sz="12" w:space="0" w:color="auto"/>
            </w:tcBorders>
            <w:shd w:val="clear" w:color="auto" w:fill="auto"/>
          </w:tcPr>
          <w:p w:rsidR="005D2199" w:rsidRPr="00E5199C" w:rsidRDefault="005D2199" w:rsidP="009D174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E5199C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199C">
              <w:rPr>
                <w:i/>
                <w:sz w:val="16"/>
              </w:rPr>
              <w:t>2004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E5199C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199C">
              <w:rPr>
                <w:i/>
                <w:sz w:val="16"/>
              </w:rPr>
              <w:t>2005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E5199C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199C">
              <w:rPr>
                <w:i/>
                <w:sz w:val="16"/>
              </w:rPr>
              <w:t>2006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E5199C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199C">
              <w:rPr>
                <w:i/>
                <w:sz w:val="16"/>
              </w:rPr>
              <w:t>2007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E5199C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199C">
              <w:rPr>
                <w:i/>
                <w:sz w:val="16"/>
              </w:rPr>
              <w:t>2008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E5199C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199C">
              <w:rPr>
                <w:i/>
                <w:sz w:val="16"/>
              </w:rPr>
              <w:t>2009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E5199C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199C">
              <w:rPr>
                <w:i/>
                <w:sz w:val="16"/>
              </w:rPr>
              <w:t>2010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199" w:rsidRPr="00E5199C" w:rsidRDefault="005D2199" w:rsidP="009D17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199C">
              <w:rPr>
                <w:i/>
                <w:sz w:val="16"/>
              </w:rPr>
              <w:t>Всего</w:t>
            </w:r>
          </w:p>
        </w:tc>
      </w:tr>
      <w:tr w:rsidR="005D2199" w:rsidRPr="00E5199C" w:rsidTr="009D174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12" w:space="0" w:color="auto"/>
            </w:tcBorders>
            <w:vAlign w:val="top"/>
          </w:tcPr>
          <w:p w:rsidR="005D2199" w:rsidRPr="00E5199C" w:rsidRDefault="005D2199" w:rsidP="009D174D">
            <w:r w:rsidRPr="00E5199C">
              <w:t>Натурализаций в год</w:t>
            </w:r>
            <w:r>
              <w:rPr>
                <w:rStyle w:val="FootnoteReference"/>
              </w:rPr>
              <w:footnoteReference w:id="22"/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174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159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169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211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256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103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100*</w:t>
            </w:r>
          </w:p>
        </w:tc>
        <w:tc>
          <w:tcPr>
            <w:tcW w:w="622" w:type="dxa"/>
            <w:tcBorders>
              <w:top w:val="single" w:sz="12" w:space="0" w:color="auto"/>
            </w:tcBorders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1 172*</w:t>
            </w:r>
          </w:p>
        </w:tc>
      </w:tr>
      <w:tr w:rsidR="005D2199" w:rsidRPr="00E5199C" w:rsidTr="009D174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top"/>
          </w:tcPr>
          <w:p w:rsidR="005D2199" w:rsidRPr="00E5199C" w:rsidRDefault="005D2199" w:rsidP="009D174D">
            <w:r w:rsidRPr="00E5199C">
              <w:t>Число заявителей, натурализова</w:t>
            </w:r>
            <w:r w:rsidRPr="00E5199C">
              <w:t>н</w:t>
            </w:r>
            <w:r w:rsidRPr="00E5199C">
              <w:t>ных путем голосования в общ</w:t>
            </w:r>
            <w:r w:rsidRPr="00E5199C">
              <w:t>и</w:t>
            </w:r>
            <w:r w:rsidRPr="00E5199C">
              <w:t>нах</w:t>
            </w:r>
            <w:r>
              <w:rPr>
                <w:rStyle w:val="FootnoteReference"/>
              </w:rPr>
              <w:footnoteReference w:id="23"/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0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3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8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7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0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6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2</w:t>
            </w:r>
          </w:p>
        </w:tc>
        <w:tc>
          <w:tcPr>
            <w:tcW w:w="6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26</w:t>
            </w:r>
          </w:p>
        </w:tc>
      </w:tr>
      <w:tr w:rsidR="005D2199" w:rsidRPr="00E5199C" w:rsidTr="009D174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top"/>
          </w:tcPr>
          <w:p w:rsidR="005D2199" w:rsidRPr="00E5199C" w:rsidRDefault="005D2199" w:rsidP="009D174D">
            <w:r w:rsidRPr="00E5199C">
              <w:t>Число отклоненных ход</w:t>
            </w:r>
            <w:r w:rsidRPr="00E5199C">
              <w:t>а</w:t>
            </w:r>
            <w:r w:rsidRPr="00E5199C">
              <w:t>тайств</w:t>
            </w:r>
            <w:r>
              <w:rPr>
                <w:rStyle w:val="FootnoteReference"/>
              </w:rPr>
              <w:footnoteReference w:id="24"/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8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15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4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9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10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4</w:t>
            </w:r>
          </w:p>
        </w:tc>
        <w:tc>
          <w:tcPr>
            <w:tcW w:w="5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0</w:t>
            </w:r>
          </w:p>
        </w:tc>
        <w:tc>
          <w:tcPr>
            <w:tcW w:w="622" w:type="dxa"/>
          </w:tcPr>
          <w:p w:rsidR="005D2199" w:rsidRPr="00E5199C" w:rsidRDefault="005D2199" w:rsidP="009D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99C">
              <w:t>50</w:t>
            </w:r>
          </w:p>
        </w:tc>
      </w:tr>
    </w:tbl>
    <w:p w:rsidR="005D2199" w:rsidRPr="00FF7C33" w:rsidRDefault="005D2199" w:rsidP="005D2199">
      <w:pPr>
        <w:pStyle w:val="SingleTxtGR"/>
        <w:spacing w:before="60"/>
        <w:ind w:left="1304"/>
        <w:rPr>
          <w:sz w:val="18"/>
          <w:szCs w:val="18"/>
        </w:rPr>
      </w:pPr>
      <w:r w:rsidRPr="00E962CA">
        <w:rPr>
          <w:sz w:val="18"/>
          <w:szCs w:val="18"/>
        </w:rPr>
        <w:t>*</w:t>
      </w:r>
      <w:r w:rsidRPr="007A09CC">
        <w:t xml:space="preserve">  </w:t>
      </w:r>
      <w:r w:rsidRPr="00FF7C33">
        <w:rPr>
          <w:sz w:val="18"/>
          <w:szCs w:val="18"/>
        </w:rPr>
        <w:t>Предварительные данные.</w:t>
      </w:r>
    </w:p>
    <w:p w:rsidR="005D2199" w:rsidRPr="00E5199C" w:rsidRDefault="005D2199" w:rsidP="002811B6">
      <w:pPr>
        <w:pStyle w:val="SingleTxtGR"/>
        <w:spacing w:before="240"/>
      </w:pPr>
      <w:r w:rsidRPr="00E5199C">
        <w:t>30.</w:t>
      </w:r>
      <w:r w:rsidRPr="00E5199C">
        <w:tab/>
        <w:t>Как уже сообщалось</w:t>
      </w:r>
      <w:r>
        <w:t>,</w:t>
      </w:r>
      <w:r w:rsidRPr="00E5199C">
        <w:t xml:space="preserve"> в соответствии с пунктом 1 </w:t>
      </w:r>
      <w:r>
        <w:t>правила 65</w:t>
      </w:r>
      <w:r w:rsidR="002811B6">
        <w:t xml:space="preserve"> </w:t>
      </w:r>
      <w:r w:rsidRPr="00E5199C">
        <w:t>правил пр</w:t>
      </w:r>
      <w:r w:rsidRPr="00E5199C">
        <w:t>о</w:t>
      </w:r>
      <w:r w:rsidRPr="00E5199C">
        <w:t>цедуры в 2008 году правительство на основе данной рекоме</w:t>
      </w:r>
      <w:r w:rsidRPr="00E5199C">
        <w:t>н</w:t>
      </w:r>
      <w:r w:rsidRPr="00E5199C">
        <w:t xml:space="preserve">дации заказало проведение социологического исследования в целях изучения </w:t>
      </w:r>
      <w:r>
        <w:t>случаев</w:t>
      </w:r>
      <w:r w:rsidRPr="00E5199C">
        <w:t xml:space="preserve"> правого экстремизма в Лихтенштейне и его причин. В ходе собеседований с участник</w:t>
      </w:r>
      <w:r w:rsidRPr="00E5199C">
        <w:t>а</w:t>
      </w:r>
      <w:r w:rsidRPr="00E5199C">
        <w:t>ми правых движений Лихтенштейна были сделаны содерж</w:t>
      </w:r>
      <w:r w:rsidRPr="00E5199C">
        <w:t>а</w:t>
      </w:r>
      <w:r w:rsidRPr="00E5199C">
        <w:t>тельные выводы об их мировоззрении, системах ценностей и жизненных установках и предприн</w:t>
      </w:r>
      <w:r w:rsidRPr="00E5199C">
        <w:t>я</w:t>
      </w:r>
      <w:r w:rsidRPr="00E5199C">
        <w:t>ты попытки выяснить мотивы, побуждающие их участвовать в таких движен</w:t>
      </w:r>
      <w:r w:rsidRPr="00E5199C">
        <w:t>и</w:t>
      </w:r>
      <w:r w:rsidRPr="00E5199C">
        <w:t>ях. В двух общинах были также проведены ситуационные исследования, н</w:t>
      </w:r>
      <w:r w:rsidRPr="00E5199C">
        <w:t>а</w:t>
      </w:r>
      <w:r w:rsidRPr="00E5199C">
        <w:t>правленные на разработку мер и концепций действий по уменьшению привл</w:t>
      </w:r>
      <w:r w:rsidRPr="00E5199C">
        <w:t>е</w:t>
      </w:r>
      <w:r w:rsidRPr="00E5199C">
        <w:t>кательности движений правого толка на уровне общин. Наконец, в целях изуч</w:t>
      </w:r>
      <w:r w:rsidRPr="00E5199C">
        <w:t>е</w:t>
      </w:r>
      <w:r w:rsidRPr="00E5199C">
        <w:t xml:space="preserve">ния феноменологии правого экстремизма было проведено </w:t>
      </w:r>
      <w:proofErr w:type="spellStart"/>
      <w:r w:rsidRPr="00E5199C">
        <w:t>страновое</w:t>
      </w:r>
      <w:proofErr w:type="spellEnd"/>
      <w:r w:rsidRPr="00E5199C">
        <w:t xml:space="preserve"> сравнение по результатам обмена мнениями между международными экспертами по пр</w:t>
      </w:r>
      <w:r w:rsidRPr="00E5199C">
        <w:t>а</w:t>
      </w:r>
      <w:r w:rsidRPr="00E5199C">
        <w:t>вому экстремизму и исследованиям в этой области</w:t>
      </w:r>
      <w:r>
        <w:rPr>
          <w:rStyle w:val="FootnoteReference"/>
        </w:rPr>
        <w:footnoteReference w:id="25"/>
      </w:r>
      <w:r w:rsidRPr="00E5199C">
        <w:t xml:space="preserve">. </w:t>
      </w:r>
    </w:p>
    <w:p w:rsidR="005D2199" w:rsidRDefault="005D2199" w:rsidP="005D2199">
      <w:pPr>
        <w:pStyle w:val="SingleTxtGR"/>
      </w:pPr>
      <w:r w:rsidRPr="00E5199C">
        <w:t>31.</w:t>
      </w:r>
      <w:r w:rsidRPr="00E5199C">
        <w:tab/>
        <w:t>Результаты исследования были проанализированы правительственной Комиссией по защите от насилия. Опираясь на эти результаты</w:t>
      </w:r>
      <w:r>
        <w:t>,</w:t>
      </w:r>
      <w:r w:rsidRPr="00E5199C">
        <w:t xml:space="preserve"> правительство в 2010 году приняло Комплекс мер по противодействию насилию правого толка (МПН), </w:t>
      </w:r>
      <w:r>
        <w:t xml:space="preserve">предусматривающий </w:t>
      </w:r>
      <w:r w:rsidRPr="00E5199C">
        <w:t>конкретные действия в области информ</w:t>
      </w:r>
      <w:r w:rsidRPr="00E5199C">
        <w:t>и</w:t>
      </w:r>
      <w:r w:rsidRPr="00E5199C">
        <w:t>рования и сетевого взаимодействия, консультирования и непрерывного образ</w:t>
      </w:r>
      <w:r w:rsidRPr="00E5199C">
        <w:t>о</w:t>
      </w:r>
      <w:r w:rsidRPr="00E5199C">
        <w:t>вания, а также ведения документации. В качестве первого шага правительственная К</w:t>
      </w:r>
      <w:r w:rsidRPr="00E5199C">
        <w:t>о</w:t>
      </w:r>
      <w:r w:rsidRPr="00E5199C">
        <w:t>миссия по защите от насилия летом 2010 года начала кампанию под названием "</w:t>
      </w:r>
      <w:r>
        <w:t>Вместе − против</w:t>
      </w:r>
      <w:r w:rsidRPr="00E5199C">
        <w:t xml:space="preserve"> право</w:t>
      </w:r>
      <w:r>
        <w:t>го насилия</w:t>
      </w:r>
      <w:r w:rsidRPr="00E5199C">
        <w:t>", в рамках которой жители Лихтенштейна выразили свое неприятие насилия правого толка. Одновременно была учрежд</w:t>
      </w:r>
      <w:r w:rsidRPr="00E5199C">
        <w:t>е</w:t>
      </w:r>
      <w:r w:rsidRPr="00E5199C">
        <w:t>на межведомственная группа экспертов, призванная ко</w:t>
      </w:r>
      <w:r w:rsidRPr="00E5199C">
        <w:t>н</w:t>
      </w:r>
      <w:r w:rsidRPr="00E5199C">
        <w:t>сультировать лиц, столкнувшихся с явлением правого экстремизма в профессиональной деятел</w:t>
      </w:r>
      <w:r w:rsidRPr="00E5199C">
        <w:t>ь</w:t>
      </w:r>
      <w:r w:rsidRPr="00E5199C">
        <w:t>ности или частной жизни. В феврале 2011 года правительство опубликов</w:t>
      </w:r>
      <w:r w:rsidRPr="00E5199C">
        <w:t>а</w:t>
      </w:r>
      <w:r w:rsidRPr="00E5199C">
        <w:t>ло свой первый доклад о мониторинге правого экстремизма, в котором докуме</w:t>
      </w:r>
      <w:r w:rsidRPr="00E5199C">
        <w:t>н</w:t>
      </w:r>
      <w:r w:rsidRPr="00E5199C">
        <w:t>тально отражены случаи, связанные с правым экстремизмом в Лихтенште</w:t>
      </w:r>
      <w:r w:rsidRPr="00E5199C">
        <w:t>й</w:t>
      </w:r>
      <w:r w:rsidRPr="00E5199C">
        <w:t xml:space="preserve">не, и ответные меры.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2811B6" w:rsidTr="002811B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2811B6" w:rsidRDefault="002811B6" w:rsidP="002811B6">
            <w:pPr>
              <w:spacing w:line="240" w:lineRule="auto"/>
            </w:pPr>
          </w:p>
        </w:tc>
      </w:tr>
      <w:tr w:rsidR="002811B6" w:rsidTr="00281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2811B6" w:rsidRDefault="002811B6" w:rsidP="002811B6">
            <w:pPr>
              <w:spacing w:after="120"/>
              <w:jc w:val="both"/>
            </w:pPr>
            <w:r w:rsidRPr="00733BF9">
              <w:t>Рекомендация КЛРД № 18</w:t>
            </w:r>
            <w:r>
              <w:t>:</w:t>
            </w:r>
          </w:p>
        </w:tc>
      </w:tr>
      <w:tr w:rsidR="002811B6" w:rsidTr="00281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2811B6" w:rsidRDefault="002811B6" w:rsidP="002811B6">
            <w:pPr>
              <w:spacing w:after="120"/>
              <w:jc w:val="both"/>
            </w:pPr>
            <w:r w:rsidRPr="002811B6">
              <w:tab/>
              <w:t>Комитет призывает государство-участник продолжать отслеживать все тенденции, которые могут привести к актам расизма и ксенофобии, и рекоме</w:t>
            </w:r>
            <w:r w:rsidRPr="002811B6">
              <w:t>н</w:t>
            </w:r>
            <w:r w:rsidRPr="002811B6">
              <w:t>дует ему провести социологическое исследование экстремистской деятельности для получения более точного представления об этой проблеме и его коренных причинах. Комитет просит государство-участник представить информацию о результатах такого исследования, а также о принятых мерах и достигнутом пр</w:t>
            </w:r>
            <w:r w:rsidRPr="002811B6">
              <w:t>о</w:t>
            </w:r>
            <w:r w:rsidRPr="002811B6">
              <w:t>грессе.</w:t>
            </w:r>
          </w:p>
        </w:tc>
      </w:tr>
      <w:tr w:rsidR="002811B6" w:rsidTr="002811B6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2811B6" w:rsidRDefault="002811B6" w:rsidP="002811B6">
            <w:pPr>
              <w:spacing w:line="240" w:lineRule="auto"/>
            </w:pPr>
          </w:p>
        </w:tc>
      </w:tr>
    </w:tbl>
    <w:p w:rsidR="005D2199" w:rsidRPr="00E5199C" w:rsidRDefault="005D2199" w:rsidP="004431AC">
      <w:pPr>
        <w:pStyle w:val="SingleTxtGR"/>
        <w:spacing w:before="240"/>
      </w:pPr>
      <w:r w:rsidRPr="00E5199C">
        <w:t>32.</w:t>
      </w:r>
      <w:r w:rsidRPr="00E5199C">
        <w:tab/>
        <w:t>Эта информация была представлена Комитету в марте 2008 года (CERD/C/LIE/CO/3/Add.1) и о</w:t>
      </w:r>
      <w:r w:rsidRPr="00E5199C">
        <w:t>б</w:t>
      </w:r>
      <w:r w:rsidRPr="00E5199C">
        <w:t xml:space="preserve">суждена Комитетом на его семьдесят третьей сессии 28 июля – 15 августа 2008 года. </w:t>
      </w:r>
    </w:p>
    <w:p w:rsidR="005D2199" w:rsidRDefault="004431AC" w:rsidP="004431AC">
      <w:pPr>
        <w:pStyle w:val="H1GR"/>
      </w:pPr>
      <w:bookmarkStart w:id="11" w:name="_Toc174467034"/>
      <w:bookmarkStart w:id="12" w:name="_Toc302400169"/>
      <w:r>
        <w:tab/>
      </w:r>
      <w:r>
        <w:tab/>
      </w:r>
      <w:r w:rsidR="005D2199" w:rsidRPr="00E5199C">
        <w:t>Статья 4</w:t>
      </w:r>
      <w:r w:rsidR="005D2199">
        <w:br/>
      </w:r>
      <w:r w:rsidR="005D2199" w:rsidRPr="00A165DE">
        <w:t>Ответственность за теории превосходства, запрет расистских организаций и участия (членства) в них, запрет расовой дискриминации и подстрекательства со стороны органов государственной власти</w:t>
      </w:r>
      <w:bookmarkEnd w:id="11"/>
      <w:bookmarkEnd w:id="12"/>
      <w:r w:rsidR="005D2199" w:rsidRPr="00A165DE">
        <w:t xml:space="preserve">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4431AC" w:rsidTr="004431A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4431AC" w:rsidRDefault="004431AC" w:rsidP="004431AC">
            <w:pPr>
              <w:spacing w:line="240" w:lineRule="auto"/>
              <w:rPr>
                <w:lang w:eastAsia="ru-RU"/>
              </w:rPr>
            </w:pPr>
          </w:p>
        </w:tc>
      </w:tr>
      <w:tr w:rsidR="004431AC" w:rsidTr="00443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4431AC" w:rsidRPr="004431AC" w:rsidRDefault="004431AC" w:rsidP="004431AC">
            <w:pPr>
              <w:spacing w:after="120"/>
              <w:jc w:val="both"/>
              <w:rPr>
                <w:lang w:eastAsia="ru-RU"/>
              </w:rPr>
            </w:pPr>
            <w:r w:rsidRPr="00A165DE">
              <w:t>Рекомендация</w:t>
            </w:r>
            <w:r w:rsidRPr="00A165DE">
              <w:rPr>
                <w:lang w:val="en-US"/>
              </w:rPr>
              <w:t xml:space="preserve"> </w:t>
            </w:r>
            <w:r w:rsidRPr="00A165DE">
              <w:t>КЛРД</w:t>
            </w:r>
            <w:r w:rsidRPr="00A165DE">
              <w:rPr>
                <w:lang w:val="en-US"/>
              </w:rPr>
              <w:t xml:space="preserve"> № 19</w:t>
            </w:r>
            <w:r>
              <w:t>:</w:t>
            </w:r>
          </w:p>
        </w:tc>
      </w:tr>
      <w:tr w:rsidR="004431AC" w:rsidTr="00443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4431AC" w:rsidRDefault="004431AC" w:rsidP="004431AC">
            <w:pPr>
              <w:spacing w:after="120"/>
              <w:jc w:val="both"/>
              <w:rPr>
                <w:lang w:eastAsia="ru-RU"/>
              </w:rPr>
            </w:pPr>
            <w:r w:rsidRPr="004431AC">
              <w:rPr>
                <w:lang w:eastAsia="ru-RU"/>
              </w:rPr>
              <w:tab/>
              <w:t>Комитет рекомендует государству-участнику принять конкретное закон</w:t>
            </w:r>
            <w:r w:rsidRPr="004431AC">
              <w:rPr>
                <w:lang w:eastAsia="ru-RU"/>
              </w:rPr>
              <w:t>о</w:t>
            </w:r>
            <w:r w:rsidRPr="004431AC">
              <w:rPr>
                <w:lang w:eastAsia="ru-RU"/>
              </w:rPr>
              <w:t xml:space="preserve">дательство в соответствии с пунктом </w:t>
            </w:r>
            <w:proofErr w:type="spellStart"/>
            <w:r w:rsidRPr="004431AC">
              <w:rPr>
                <w:lang w:eastAsia="ru-RU"/>
              </w:rPr>
              <w:t>b</w:t>
            </w:r>
            <w:proofErr w:type="spellEnd"/>
            <w:r w:rsidRPr="004431AC">
              <w:rPr>
                <w:lang w:eastAsia="ru-RU"/>
              </w:rPr>
              <w:t>) статьи 4 Конвенции и подчеркивает превентивную роль такого законодательства.</w:t>
            </w:r>
          </w:p>
        </w:tc>
      </w:tr>
      <w:tr w:rsidR="004431AC" w:rsidTr="004431AC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4431AC" w:rsidRDefault="004431AC" w:rsidP="004431AC">
            <w:pPr>
              <w:spacing w:line="240" w:lineRule="auto"/>
              <w:rPr>
                <w:lang w:eastAsia="ru-RU"/>
              </w:rPr>
            </w:pPr>
          </w:p>
        </w:tc>
      </w:tr>
    </w:tbl>
    <w:p w:rsidR="005D2199" w:rsidRPr="00E5199C" w:rsidRDefault="005D2199" w:rsidP="004431AC">
      <w:pPr>
        <w:pStyle w:val="SingleTxtGR"/>
        <w:spacing w:before="240"/>
      </w:pPr>
      <w:r w:rsidRPr="00E5199C">
        <w:t>33.</w:t>
      </w:r>
      <w:r w:rsidRPr="00E5199C">
        <w:tab/>
        <w:t>В соответствии с подпунктом 7 пункта 1 статьи 283 Уголовного кодекса "любое лицо, участвующее в качестве члена в ассоциации, целью которой явл</w:t>
      </w:r>
      <w:r w:rsidRPr="00E5199C">
        <w:t>я</w:t>
      </w:r>
      <w:r w:rsidRPr="00E5199C">
        <w:t>ется поощрение расовой дискриминации или подстрекательство к ней, подл</w:t>
      </w:r>
      <w:r w:rsidRPr="00E5199C">
        <w:t>е</w:t>
      </w:r>
      <w:r w:rsidRPr="00E5199C">
        <w:t>жит наказанию в виде тюремного заключения на срок до двух лет"</w:t>
      </w:r>
      <w:r>
        <w:rPr>
          <w:rStyle w:val="FootnoteReference"/>
        </w:rPr>
        <w:footnoteReference w:id="26"/>
      </w:r>
      <w:r w:rsidRPr="00E5199C">
        <w:t>. После вв</w:t>
      </w:r>
      <w:r w:rsidRPr="00E5199C">
        <w:t>е</w:t>
      </w:r>
      <w:r w:rsidRPr="00E5199C">
        <w:t xml:space="preserve">дения </w:t>
      </w:r>
      <w:r>
        <w:t xml:space="preserve">в </w:t>
      </w:r>
      <w:r w:rsidRPr="00E5199C">
        <w:t>уголовно</w:t>
      </w:r>
      <w:r>
        <w:t>е</w:t>
      </w:r>
      <w:r w:rsidRPr="00E5199C">
        <w:t xml:space="preserve"> законодательств</w:t>
      </w:r>
      <w:r>
        <w:t xml:space="preserve">о положения о борьбе с </w:t>
      </w:r>
      <w:r w:rsidRPr="00E5199C">
        <w:t>расиз</w:t>
      </w:r>
      <w:r>
        <w:t>мом</w:t>
      </w:r>
      <w:r w:rsidRPr="00E5199C">
        <w:t xml:space="preserve"> в 2000 г</w:t>
      </w:r>
      <w:r w:rsidRPr="00E5199C">
        <w:t>о</w:t>
      </w:r>
      <w:r w:rsidRPr="00E5199C">
        <w:t xml:space="preserve">ду (в ходе подготовки к ратификации МКЛРД) утверждалось, что это положение </w:t>
      </w:r>
      <w:r>
        <w:t>отвечает</w:t>
      </w:r>
      <w:r w:rsidRPr="00E5199C">
        <w:t xml:space="preserve"> требования</w:t>
      </w:r>
      <w:r>
        <w:t>м</w:t>
      </w:r>
      <w:r w:rsidRPr="00E5199C">
        <w:t xml:space="preserve"> пункта </w:t>
      </w:r>
      <w:proofErr w:type="spellStart"/>
      <w:r w:rsidRPr="00E5199C">
        <w:t>b</w:t>
      </w:r>
      <w:proofErr w:type="spellEnd"/>
      <w:r w:rsidRPr="00E5199C">
        <w:t>) статьи 4 МКЛРД. Предполагается, что запрет на членство в расистской ассоциации фактически делает</w:t>
      </w:r>
      <w:r w:rsidRPr="000C28D7">
        <w:t xml:space="preserve"> </w:t>
      </w:r>
      <w:r w:rsidRPr="00E5199C">
        <w:t xml:space="preserve">невозможным </w:t>
      </w:r>
      <w:r>
        <w:t>созд</w:t>
      </w:r>
      <w:r>
        <w:t>а</w:t>
      </w:r>
      <w:r>
        <w:t>ние</w:t>
      </w:r>
      <w:r w:rsidRPr="00E5199C">
        <w:t xml:space="preserve"> или существование такой ассоциации.</w:t>
      </w:r>
    </w:p>
    <w:p w:rsidR="005D2199" w:rsidRPr="00E5199C" w:rsidRDefault="005D2199" w:rsidP="005D2199">
      <w:pPr>
        <w:pStyle w:val="SingleTxtGR"/>
      </w:pPr>
      <w:r w:rsidRPr="00E5199C">
        <w:t>34.</w:t>
      </w:r>
      <w:r w:rsidRPr="00E5199C">
        <w:tab/>
      </w:r>
      <w:r>
        <w:t>Полиция</w:t>
      </w:r>
      <w:r w:rsidRPr="00E5199C">
        <w:t xml:space="preserve"> не</w:t>
      </w:r>
      <w:r>
        <w:t xml:space="preserve"> располагает</w:t>
      </w:r>
      <w:r w:rsidRPr="00E5199C">
        <w:t xml:space="preserve"> данны</w:t>
      </w:r>
      <w:r>
        <w:t>ми</w:t>
      </w:r>
      <w:r w:rsidRPr="00E5199C">
        <w:t xml:space="preserve"> о каких-либо таких ассоциациях, но у нее имеются сведения о лицах, которые поддерживают связь с группировками, действующими за рубежом. За отчетный период были предотвращены или раз</w:t>
      </w:r>
      <w:r w:rsidRPr="00E5199C">
        <w:t>о</w:t>
      </w:r>
      <w:r w:rsidRPr="00E5199C">
        <w:t>гнаны различные собрания лиц, в прошлом занимавшихся расистской и, в ос</w:t>
      </w:r>
      <w:r w:rsidRPr="00E5199C">
        <w:t>о</w:t>
      </w:r>
      <w:r w:rsidRPr="00E5199C">
        <w:t>бенности, правоэкстремистской деятельностью. В 2007 году лицам, известным своими правоэкстремистскими взглядами, было запрещено содержать клуб. Члены ассоциации были арестованы в соответствии с приведенным выше п</w:t>
      </w:r>
      <w:r w:rsidRPr="00E5199C">
        <w:t>о</w:t>
      </w:r>
      <w:r w:rsidRPr="00E5199C">
        <w:t>ложением уголовного законодательства и приговорены к условным срокам з</w:t>
      </w:r>
      <w:r w:rsidRPr="00E5199C">
        <w:t>а</w:t>
      </w:r>
      <w:r w:rsidRPr="00E5199C">
        <w:t xml:space="preserve">ключения. </w:t>
      </w:r>
    </w:p>
    <w:p w:rsidR="005D2199" w:rsidRPr="00E5199C" w:rsidRDefault="005D2199" w:rsidP="005D2199">
      <w:pPr>
        <w:pStyle w:val="SingleTxtGR"/>
      </w:pPr>
      <w:r w:rsidRPr="00E5199C">
        <w:t>35.</w:t>
      </w:r>
      <w:r w:rsidRPr="00E5199C">
        <w:tab/>
        <w:t>В отличие от других стран в Лихтенштейне нет правой популистской п</w:t>
      </w:r>
      <w:r w:rsidRPr="00E5199C">
        <w:t>о</w:t>
      </w:r>
      <w:r w:rsidRPr="00E5199C">
        <w:t>литической партии. Однако</w:t>
      </w:r>
      <w:r>
        <w:t>,</w:t>
      </w:r>
      <w:r w:rsidRPr="00E5199C">
        <w:t xml:space="preserve"> по данным социологического исследования, зак</w:t>
      </w:r>
      <w:r w:rsidRPr="00E5199C">
        <w:t>а</w:t>
      </w:r>
      <w:r w:rsidRPr="00E5199C">
        <w:t>занного правительством и завершенного в 2009 году (см. замечания по рек</w:t>
      </w:r>
      <w:r w:rsidRPr="00E5199C">
        <w:t>о</w:t>
      </w:r>
      <w:r w:rsidRPr="00E5199C">
        <w:t xml:space="preserve">мендации № 18 в разделе, посвященном статье 2), в Лихтенштейне </w:t>
      </w:r>
      <w:r>
        <w:t>действует</w:t>
      </w:r>
      <w:r w:rsidRPr="00E5199C">
        <w:t xml:space="preserve"> кружок правых экстремистов из примерн</w:t>
      </w:r>
      <w:r>
        <w:t>о 30−</w:t>
      </w:r>
      <w:r w:rsidRPr="00E5199C">
        <w:t>40 человек, не имеющий четкой иерархии или явных лидеров. Данная группа находится под пристальным н</w:t>
      </w:r>
      <w:r w:rsidRPr="00E5199C">
        <w:t>а</w:t>
      </w:r>
      <w:r w:rsidRPr="00E5199C">
        <w:t>блюдением политиков, национальной полиции и государственной прокуратуры. Межведомственная Комиссия по защите от насилия, учрежденная правительс</w:t>
      </w:r>
      <w:r w:rsidRPr="00E5199C">
        <w:t>т</w:t>
      </w:r>
      <w:r w:rsidRPr="00E5199C">
        <w:t>вом, разработала план мер, в котором определены конкретные действия в о</w:t>
      </w:r>
      <w:r w:rsidRPr="00E5199C">
        <w:t>б</w:t>
      </w:r>
      <w:r w:rsidRPr="00E5199C">
        <w:t>ласти информирования и сетевого взаимодействия, консультирования и непр</w:t>
      </w:r>
      <w:r w:rsidRPr="00E5199C">
        <w:t>е</w:t>
      </w:r>
      <w:r w:rsidRPr="00E5199C">
        <w:t>рывного образования, а также ведения документ</w:t>
      </w:r>
      <w:r w:rsidRPr="00E5199C">
        <w:t>а</w:t>
      </w:r>
      <w:r w:rsidRPr="00E5199C">
        <w:t xml:space="preserve">ции. </w:t>
      </w:r>
    </w:p>
    <w:p w:rsidR="005D2199" w:rsidRPr="00C179C2" w:rsidRDefault="005D2199" w:rsidP="005D2199">
      <w:pPr>
        <w:pStyle w:val="SingleTxtGR"/>
        <w:rPr>
          <w:vertAlign w:val="superscript"/>
        </w:rPr>
      </w:pPr>
      <w:r w:rsidRPr="00040A2C">
        <w:t>36.</w:t>
      </w:r>
      <w:r w:rsidRPr="00040A2C">
        <w:tab/>
      </w:r>
      <w:r w:rsidRPr="00C179C2">
        <w:t>В марте 2011 года правительство представило общественности первый доклад о мониторинге правого экстремизма. В докладе всесторонне освещается явление правого экстремизма в Лихтенштейне, в том числе приводится подро</w:t>
      </w:r>
      <w:r w:rsidRPr="00C179C2">
        <w:t>б</w:t>
      </w:r>
      <w:r w:rsidRPr="00C179C2">
        <w:t>ная хронология инцидентов и ответных мер, справочная информация, получе</w:t>
      </w:r>
      <w:r w:rsidRPr="00C179C2">
        <w:t>н</w:t>
      </w:r>
      <w:r w:rsidRPr="00C179C2">
        <w:t>ная от средств массовой информации и на встречах молодежи, а также док</w:t>
      </w:r>
      <w:r w:rsidRPr="00C179C2">
        <w:t>у</w:t>
      </w:r>
      <w:r w:rsidRPr="00C179C2">
        <w:t xml:space="preserve">менты правых движений. Этот доклад, подготовленный независимым </w:t>
      </w:r>
      <w:proofErr w:type="spellStart"/>
      <w:r w:rsidRPr="00C179C2">
        <w:t>Лихте</w:t>
      </w:r>
      <w:r w:rsidRPr="00C179C2">
        <w:t>н</w:t>
      </w:r>
      <w:r w:rsidRPr="00C179C2">
        <w:t>штейнским</w:t>
      </w:r>
      <w:proofErr w:type="spellEnd"/>
      <w:r w:rsidRPr="00C179C2">
        <w:t xml:space="preserve"> институтом и опубликованный на </w:t>
      </w:r>
      <w:proofErr w:type="spellStart"/>
      <w:r w:rsidRPr="00C179C2">
        <w:t>вебсайте</w:t>
      </w:r>
      <w:proofErr w:type="spellEnd"/>
      <w:r w:rsidRPr="00C179C2">
        <w:t xml:space="preserve"> правительственной К</w:t>
      </w:r>
      <w:r w:rsidRPr="00C179C2">
        <w:t>о</w:t>
      </w:r>
      <w:r w:rsidRPr="00C179C2">
        <w:t>миссии по защите от насилия, будет издаваться ежегодно нач</w:t>
      </w:r>
      <w:r w:rsidRPr="00C179C2">
        <w:t>и</w:t>
      </w:r>
      <w:r w:rsidRPr="00C179C2">
        <w:t>ная с 2011</w:t>
      </w:r>
      <w:r>
        <w:t xml:space="preserve"> года</w:t>
      </w:r>
      <w:r>
        <w:rPr>
          <w:rStyle w:val="FootnoteReference"/>
        </w:rPr>
        <w:footnoteReference w:id="27"/>
      </w:r>
      <w:r w:rsidRPr="00C179C2">
        <w:t>.</w:t>
      </w:r>
    </w:p>
    <w:p w:rsidR="005D2199" w:rsidRPr="00C179C2" w:rsidRDefault="005D2199" w:rsidP="005D2199">
      <w:pPr>
        <w:pStyle w:val="SingleTxtGR"/>
      </w:pPr>
      <w:r w:rsidRPr="00C179C2">
        <w:t>37.</w:t>
      </w:r>
      <w:r w:rsidRPr="00C179C2">
        <w:tab/>
        <w:t>За отчетный период в полицию было подано 23 заявления об уголовных преступлениях, связанных с расовой дискриминацией. В связи с вышеупомян</w:t>
      </w:r>
      <w:r w:rsidRPr="00C179C2">
        <w:t>у</w:t>
      </w:r>
      <w:r w:rsidRPr="00C179C2">
        <w:t>тым закрытием клуба, уголовным преследованием членов ассоциации в 2007</w:t>
      </w:r>
      <w:r>
        <w:rPr>
          <w:lang w:val="en-US"/>
        </w:rPr>
        <w:t> </w:t>
      </w:r>
      <w:r w:rsidRPr="00C179C2">
        <w:t xml:space="preserve">году, массовой дракой на фестивале в 2008 году, а также тремя поджогами турецкого магазина и домов иностранцев </w:t>
      </w:r>
      <w:r>
        <w:t xml:space="preserve">в </w:t>
      </w:r>
      <w:r w:rsidRPr="00C179C2">
        <w:t>2009 и 2010 годах были вынесены обвинительные приговоры, предусматривающие денежные штрафы и тюремное заключение</w:t>
      </w:r>
      <w:r w:rsidRPr="00C179C2">
        <w:rPr>
          <w:vertAlign w:val="superscript"/>
        </w:rPr>
        <w:footnoteReference w:id="28"/>
      </w:r>
      <w:r w:rsidRPr="00D25A15">
        <w:t>.</w:t>
      </w:r>
      <w:r w:rsidRPr="00C179C2">
        <w:t xml:space="preserve"> Незамедлительные меры, принятые судебными властями по всем трем делам, были положительно оценены в социологическом исследов</w:t>
      </w:r>
      <w:r w:rsidRPr="00C179C2">
        <w:t>а</w:t>
      </w:r>
      <w:r w:rsidRPr="00C179C2">
        <w:t>нии (см.</w:t>
      </w:r>
      <w:r>
        <w:t> </w:t>
      </w:r>
      <w:r w:rsidRPr="00C179C2">
        <w:t>замечания по рекомендации № 18 в разделе, посвященном статье 2) и ох</w:t>
      </w:r>
      <w:r w:rsidRPr="00C179C2">
        <w:t>а</w:t>
      </w:r>
      <w:r w:rsidRPr="00C179C2">
        <w:t>рактеризованы в качестве "превентивной репрессивной меры".</w:t>
      </w:r>
    </w:p>
    <w:p w:rsidR="005D2199" w:rsidRPr="00C179C2" w:rsidRDefault="005D2199" w:rsidP="007147F0">
      <w:pPr>
        <w:pStyle w:val="H23GR"/>
      </w:pPr>
      <w:r w:rsidRPr="007147F0">
        <w:rPr>
          <w:b w:val="0"/>
        </w:rPr>
        <w:tab/>
      </w:r>
      <w:r w:rsidRPr="007147F0">
        <w:rPr>
          <w:b w:val="0"/>
        </w:rPr>
        <w:tab/>
        <w:t>Таблица 7</w:t>
      </w:r>
      <w:r w:rsidRPr="007147F0">
        <w:rPr>
          <w:b w:val="0"/>
        </w:rPr>
        <w:br/>
      </w:r>
      <w:r w:rsidRPr="00C179C2">
        <w:t>Эпизоды, связанные с расовой дискриминацией, 2004–2010 годы</w:t>
      </w:r>
      <w:r w:rsidRPr="007147F0">
        <w:rPr>
          <w:b w:val="0"/>
          <w:sz w:val="18"/>
          <w:szCs w:val="18"/>
          <w:vertAlign w:val="superscript"/>
        </w:rPr>
        <w:footnoteReference w:id="29"/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86"/>
        <w:gridCol w:w="657"/>
        <w:gridCol w:w="700"/>
        <w:gridCol w:w="686"/>
        <w:gridCol w:w="1015"/>
      </w:tblGrid>
      <w:tr w:rsidR="005D2199" w:rsidRPr="002E7D34" w:rsidTr="007147F0">
        <w:trPr>
          <w:trHeight w:val="240"/>
          <w:tblHeader/>
        </w:trPr>
        <w:tc>
          <w:tcPr>
            <w:tcW w:w="3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D2199" w:rsidRPr="002E7D34" w:rsidRDefault="005D2199" w:rsidP="009D174D">
            <w:pPr>
              <w:spacing w:line="200" w:lineRule="exact"/>
              <w:ind w:hanging="24"/>
              <w:rPr>
                <w:i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D2199" w:rsidRPr="002E7D34" w:rsidRDefault="005D2199" w:rsidP="009D174D">
            <w:pPr>
              <w:spacing w:line="200" w:lineRule="exact"/>
              <w:ind w:left="-105" w:right="112" w:hanging="24"/>
              <w:jc w:val="right"/>
              <w:rPr>
                <w:i/>
                <w:sz w:val="16"/>
                <w:szCs w:val="16"/>
              </w:rPr>
            </w:pPr>
            <w:r w:rsidRPr="002E7D34">
              <w:rPr>
                <w:i/>
                <w:sz w:val="16"/>
                <w:szCs w:val="16"/>
              </w:rPr>
              <w:t>2010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D2199" w:rsidRPr="002E7D34" w:rsidRDefault="005D2199" w:rsidP="009D174D">
            <w:pPr>
              <w:spacing w:line="200" w:lineRule="exact"/>
              <w:ind w:left="-105" w:right="112" w:hanging="24"/>
              <w:jc w:val="right"/>
              <w:rPr>
                <w:i/>
                <w:sz w:val="16"/>
                <w:szCs w:val="16"/>
              </w:rPr>
            </w:pPr>
            <w:r w:rsidRPr="002E7D34">
              <w:rPr>
                <w:i/>
                <w:sz w:val="16"/>
                <w:szCs w:val="16"/>
              </w:rPr>
              <w:t>2009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D2199" w:rsidRPr="002E7D34" w:rsidRDefault="005D2199" w:rsidP="009D174D">
            <w:pPr>
              <w:spacing w:line="200" w:lineRule="exact"/>
              <w:ind w:left="-105" w:right="112" w:hanging="24"/>
              <w:jc w:val="right"/>
              <w:rPr>
                <w:i/>
                <w:sz w:val="16"/>
                <w:szCs w:val="16"/>
              </w:rPr>
            </w:pPr>
            <w:r w:rsidRPr="002E7D34">
              <w:rPr>
                <w:i/>
                <w:sz w:val="16"/>
                <w:szCs w:val="16"/>
              </w:rPr>
              <w:t>2008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D2199" w:rsidRPr="002E7D34" w:rsidRDefault="005D2199" w:rsidP="009D174D">
            <w:pPr>
              <w:spacing w:line="200" w:lineRule="exact"/>
              <w:ind w:left="-105" w:right="112" w:hanging="24"/>
              <w:jc w:val="right"/>
              <w:rPr>
                <w:i/>
                <w:sz w:val="16"/>
                <w:szCs w:val="16"/>
              </w:rPr>
            </w:pPr>
            <w:r w:rsidRPr="002E7D34">
              <w:rPr>
                <w:i/>
                <w:sz w:val="16"/>
                <w:szCs w:val="16"/>
              </w:rPr>
              <w:t>2007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D2199" w:rsidRPr="002E7D34" w:rsidRDefault="005D2199" w:rsidP="009D174D">
            <w:pPr>
              <w:spacing w:line="200" w:lineRule="exact"/>
              <w:ind w:left="-105" w:right="112" w:hanging="24"/>
              <w:jc w:val="right"/>
              <w:rPr>
                <w:i/>
                <w:sz w:val="16"/>
                <w:szCs w:val="16"/>
              </w:rPr>
            </w:pPr>
            <w:r w:rsidRPr="002E7D34">
              <w:rPr>
                <w:i/>
                <w:sz w:val="16"/>
                <w:szCs w:val="16"/>
              </w:rPr>
              <w:t>2004</w:t>
            </w:r>
            <w:r w:rsidRPr="002E7D34">
              <w:rPr>
                <w:i/>
                <w:sz w:val="16"/>
                <w:szCs w:val="16"/>
                <w:lang w:val="en-US"/>
              </w:rPr>
              <w:t>−</w:t>
            </w:r>
            <w:r w:rsidRPr="002E7D34">
              <w:rPr>
                <w:i/>
                <w:sz w:val="16"/>
                <w:szCs w:val="16"/>
              </w:rPr>
              <w:t>2006</w:t>
            </w:r>
          </w:p>
        </w:tc>
      </w:tr>
      <w:tr w:rsidR="005D2199" w:rsidRPr="00A412BB" w:rsidTr="007147F0">
        <w:trPr>
          <w:trHeight w:val="240"/>
        </w:trPr>
        <w:tc>
          <w:tcPr>
            <w:tcW w:w="36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21" w:firstLine="7"/>
            </w:pPr>
            <w:r w:rsidRPr="00040A2C">
              <w:t>Поданные заявления об уголовных прест</w:t>
            </w:r>
            <w:r w:rsidRPr="00040A2C">
              <w:t>у</w:t>
            </w:r>
            <w:r w:rsidRPr="00040A2C">
              <w:t>плениях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6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6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3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4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4</w:t>
            </w:r>
          </w:p>
        </w:tc>
      </w:tr>
      <w:tr w:rsidR="005D2199" w:rsidRPr="00A412BB" w:rsidTr="007147F0">
        <w:trPr>
          <w:trHeight w:val="240"/>
        </w:trPr>
        <w:tc>
          <w:tcPr>
            <w:tcW w:w="3626" w:type="dxa"/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21" w:firstLine="7"/>
            </w:pPr>
            <w:r w:rsidRPr="00040A2C">
              <w:t>Возбужденные суде</w:t>
            </w:r>
            <w:r w:rsidRPr="00040A2C">
              <w:t>б</w:t>
            </w:r>
            <w:r w:rsidRPr="00040A2C">
              <w:t>ные дела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2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1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1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2</w:t>
            </w:r>
          </w:p>
        </w:tc>
      </w:tr>
      <w:tr w:rsidR="005D2199" w:rsidRPr="00A412BB" w:rsidTr="007147F0">
        <w:trPr>
          <w:trHeight w:val="240"/>
        </w:trPr>
        <w:tc>
          <w:tcPr>
            <w:tcW w:w="36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21" w:firstLine="7"/>
            </w:pPr>
            <w:r w:rsidRPr="00040A2C">
              <w:t>Приговоры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1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1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1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1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D2199" w:rsidRPr="00040A2C" w:rsidRDefault="005D2199" w:rsidP="009D174D">
            <w:pPr>
              <w:spacing w:before="40" w:after="80" w:line="220" w:lineRule="exact"/>
              <w:ind w:left="-105" w:right="112" w:hanging="23"/>
              <w:jc w:val="right"/>
            </w:pPr>
            <w:r w:rsidRPr="00040A2C">
              <w:t>0</w:t>
            </w:r>
          </w:p>
        </w:tc>
      </w:tr>
    </w:tbl>
    <w:p w:rsidR="005D2199" w:rsidRDefault="005D2199" w:rsidP="005D2199">
      <w:pPr>
        <w:pStyle w:val="H1GR"/>
      </w:pPr>
      <w:r w:rsidRPr="00C179C2">
        <w:tab/>
      </w:r>
      <w:r w:rsidRPr="00C179C2">
        <w:tab/>
        <w:t>Статья 5</w:t>
      </w:r>
      <w:r w:rsidR="007147F0">
        <w:br/>
      </w:r>
      <w:r w:rsidRPr="00C179C2">
        <w:t>Право на равенство перед законом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147F0" w:rsidTr="007147F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147F0" w:rsidRDefault="007147F0" w:rsidP="007147F0">
            <w:pPr>
              <w:spacing w:line="240" w:lineRule="auto"/>
              <w:rPr>
                <w:lang w:eastAsia="ru-RU"/>
              </w:rPr>
            </w:pPr>
          </w:p>
        </w:tc>
      </w:tr>
      <w:tr w:rsidR="007147F0" w:rsidTr="007147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147F0" w:rsidRDefault="007147F0" w:rsidP="007147F0">
            <w:pPr>
              <w:spacing w:after="120"/>
              <w:jc w:val="both"/>
              <w:rPr>
                <w:lang w:eastAsia="ru-RU"/>
              </w:rPr>
            </w:pPr>
            <w:r w:rsidRPr="00C179C2">
              <w:t>Рекомендация</w:t>
            </w:r>
            <w:r w:rsidRPr="000D7AE9">
              <w:rPr>
                <w:lang w:val="en-US"/>
              </w:rPr>
              <w:t xml:space="preserve"> </w:t>
            </w:r>
            <w:r w:rsidRPr="00C179C2">
              <w:t>КЛРД</w:t>
            </w:r>
            <w:r w:rsidRPr="00C179C2">
              <w:rPr>
                <w:lang w:val="en-US"/>
              </w:rPr>
              <w:t xml:space="preserve"> № 20:</w:t>
            </w:r>
          </w:p>
        </w:tc>
      </w:tr>
      <w:tr w:rsidR="007147F0" w:rsidTr="007147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147F0" w:rsidRDefault="007147F0" w:rsidP="007147F0">
            <w:pPr>
              <w:spacing w:after="120"/>
              <w:jc w:val="both"/>
              <w:rPr>
                <w:lang w:eastAsia="ru-RU"/>
              </w:rPr>
            </w:pPr>
            <w:r w:rsidRPr="007147F0">
              <w:rPr>
                <w:lang w:eastAsia="ru-RU"/>
              </w:rPr>
              <w:tab/>
              <w:t>Комитет рекомендует государству-участнику пересмотреть его законод</w:t>
            </w:r>
            <w:r w:rsidRPr="007147F0">
              <w:rPr>
                <w:lang w:eastAsia="ru-RU"/>
              </w:rPr>
              <w:t>а</w:t>
            </w:r>
            <w:r w:rsidRPr="007147F0">
              <w:rPr>
                <w:lang w:eastAsia="ru-RU"/>
              </w:rPr>
              <w:t>тельство для обеспечения того, чтобы право на воссоединение семьи гарант</w:t>
            </w:r>
            <w:r w:rsidRPr="007147F0">
              <w:rPr>
                <w:lang w:eastAsia="ru-RU"/>
              </w:rPr>
              <w:t>и</w:t>
            </w:r>
            <w:r w:rsidRPr="007147F0">
              <w:rPr>
                <w:lang w:eastAsia="ru-RU"/>
              </w:rPr>
              <w:t>ровалось всем лицам без какой-либо дискриминации по признакам национал</w:t>
            </w:r>
            <w:r w:rsidRPr="007147F0">
              <w:rPr>
                <w:lang w:eastAsia="ru-RU"/>
              </w:rPr>
              <w:t>ь</w:t>
            </w:r>
            <w:r w:rsidRPr="007147F0">
              <w:rPr>
                <w:lang w:eastAsia="ru-RU"/>
              </w:rPr>
              <w:t>ного или этнического происхождения. Кроме того, Комитет настоятельно пр</w:t>
            </w:r>
            <w:r w:rsidRPr="007147F0">
              <w:rPr>
                <w:lang w:eastAsia="ru-RU"/>
              </w:rPr>
              <w:t>и</w:t>
            </w:r>
            <w:r w:rsidRPr="007147F0">
              <w:rPr>
                <w:lang w:eastAsia="ru-RU"/>
              </w:rPr>
              <w:t>зывает государство-участник, в частности, проанализировать собранные стат</w:t>
            </w:r>
            <w:r w:rsidRPr="007147F0">
              <w:rPr>
                <w:lang w:eastAsia="ru-RU"/>
              </w:rPr>
              <w:t>и</w:t>
            </w:r>
            <w:r w:rsidRPr="007147F0">
              <w:rPr>
                <w:lang w:eastAsia="ru-RU"/>
              </w:rPr>
              <w:t xml:space="preserve">стические данные, оценить ту степень, в которой финансовые требования для воссоединения супругов могут быть равносильны косвенной дискриминации в отношении групп меньшинств, чаще других страдающих от социально-экономической </w:t>
            </w:r>
            <w:proofErr w:type="spellStart"/>
            <w:r w:rsidRPr="007147F0">
              <w:rPr>
                <w:lang w:eastAsia="ru-RU"/>
              </w:rPr>
              <w:t>маргинализации</w:t>
            </w:r>
            <w:proofErr w:type="spellEnd"/>
            <w:r w:rsidRPr="007147F0">
              <w:rPr>
                <w:lang w:eastAsia="ru-RU"/>
              </w:rPr>
              <w:t>, и представить Комитету информацию на этот счет в своем следующем периодическом докладе.</w:t>
            </w:r>
          </w:p>
        </w:tc>
      </w:tr>
      <w:tr w:rsidR="007147F0" w:rsidTr="007147F0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147F0" w:rsidRDefault="007147F0" w:rsidP="007147F0">
            <w:pPr>
              <w:spacing w:line="240" w:lineRule="auto"/>
              <w:rPr>
                <w:lang w:eastAsia="ru-RU"/>
              </w:rPr>
            </w:pPr>
          </w:p>
        </w:tc>
      </w:tr>
    </w:tbl>
    <w:p w:rsidR="005D2199" w:rsidRPr="00C179C2" w:rsidRDefault="005D2199" w:rsidP="007147F0">
      <w:pPr>
        <w:pStyle w:val="SingleTxtGR"/>
        <w:spacing w:before="240"/>
      </w:pPr>
      <w:r w:rsidRPr="00C179C2">
        <w:t>38.</w:t>
      </w:r>
      <w:r w:rsidRPr="00C179C2">
        <w:tab/>
        <w:t>С момента представления последнего доклада были изменены законод</w:t>
      </w:r>
      <w:r w:rsidRPr="00C179C2">
        <w:t>а</w:t>
      </w:r>
      <w:r w:rsidRPr="00C179C2">
        <w:t>тельные положения, регулирующие воссоединение семей. В отношении гра</w:t>
      </w:r>
      <w:r w:rsidRPr="00C179C2">
        <w:t>ж</w:t>
      </w:r>
      <w:r w:rsidRPr="00C179C2">
        <w:t xml:space="preserve">дан Швейцарии и ЕЭЗ и членов их семей воссоединение семей регулируется Законом 2009 </w:t>
      </w:r>
      <w:r>
        <w:t xml:space="preserve">года </w:t>
      </w:r>
      <w:r w:rsidRPr="00C179C2">
        <w:t>о свободном передвижении лиц; в отношении граждан всех других стран и членов их семей оно регулируется Законом 2008 года об ин</w:t>
      </w:r>
      <w:r w:rsidRPr="00C179C2">
        <w:t>о</w:t>
      </w:r>
      <w:r w:rsidRPr="00C179C2">
        <w:t>странцах (и соответствующими указами)</w:t>
      </w:r>
      <w:r w:rsidRPr="00024652">
        <w:rPr>
          <w:sz w:val="18"/>
          <w:szCs w:val="18"/>
          <w:vertAlign w:val="superscript"/>
        </w:rPr>
        <w:footnoteReference w:id="30"/>
      </w:r>
      <w:r>
        <w:t>.</w:t>
      </w:r>
      <w:r w:rsidRPr="00C179C2">
        <w:t xml:space="preserve"> Предпосылки для либерализации правил в отношении граждан Швейцарии и ЕЭЗ по сравнению с гражданами третьих стран были заложены в Таможенном договоре между Лихтенштейном и Швейцарией 1921 года и в Соглашении о ЕЭЗ 1992 года</w:t>
      </w:r>
      <w:r w:rsidRPr="006520AF">
        <w:rPr>
          <w:sz w:val="18"/>
          <w:szCs w:val="18"/>
          <w:vertAlign w:val="superscript"/>
        </w:rPr>
        <w:footnoteReference w:id="31"/>
      </w:r>
      <w:r>
        <w:t>.</w:t>
      </w:r>
      <w:r w:rsidRPr="00C179C2">
        <w:t xml:space="preserve"> </w:t>
      </w:r>
      <w:r>
        <w:t>Иное обращение по отношению к иностранцам не является</w:t>
      </w:r>
      <w:r w:rsidRPr="00C179C2">
        <w:t>, таким образом, дискриминацией по смыслу статей 1 и 3 МКЛРД.</w:t>
      </w:r>
    </w:p>
    <w:p w:rsidR="005D2199" w:rsidRPr="00C179C2" w:rsidRDefault="005D2199" w:rsidP="005D2199">
      <w:pPr>
        <w:pStyle w:val="SingleTxtGR"/>
      </w:pPr>
      <w:r w:rsidRPr="00C179C2">
        <w:t>39.</w:t>
      </w:r>
      <w:r w:rsidRPr="00C179C2">
        <w:tab/>
        <w:t>В случае граждан Швейцарии и ЕЭЗ членами семьи считаются следу</w:t>
      </w:r>
      <w:r w:rsidRPr="00C179C2">
        <w:t>ю</w:t>
      </w:r>
      <w:r w:rsidRPr="00C179C2">
        <w:t xml:space="preserve">щие лица: супруг (супруга), родственники лица, имеющего право </w:t>
      </w:r>
      <w:r>
        <w:t>находиться</w:t>
      </w:r>
      <w:r w:rsidRPr="00C179C2">
        <w:t xml:space="preserve"> в стране, и родственники супруга (супруги) по прямой нисходящей линии. К ним относятся дети в возрасте до </w:t>
      </w:r>
      <w:r>
        <w:t>21 года</w:t>
      </w:r>
      <w:r w:rsidRPr="00C179C2">
        <w:t>, в том числе приемные дети или дети, чей статус иждивенца может быть доказан</w:t>
      </w:r>
      <w:r w:rsidRPr="006520AF">
        <w:rPr>
          <w:sz w:val="18"/>
          <w:szCs w:val="18"/>
          <w:vertAlign w:val="superscript"/>
        </w:rPr>
        <w:footnoteReference w:id="32"/>
      </w:r>
      <w:r>
        <w:t>.</w:t>
      </w:r>
      <w:r w:rsidRPr="00C179C2">
        <w:t xml:space="preserve"> После пяти лет непрерывного прож</w:t>
      </w:r>
      <w:r w:rsidRPr="00C179C2">
        <w:t>и</w:t>
      </w:r>
      <w:r w:rsidRPr="00C179C2">
        <w:t>вания в качестве членов семьи данные лица получают свой собственный пост</w:t>
      </w:r>
      <w:r w:rsidRPr="00C179C2">
        <w:t>о</w:t>
      </w:r>
      <w:r w:rsidRPr="00C179C2">
        <w:t xml:space="preserve">янный вид на жительство или разрешение на </w:t>
      </w:r>
      <w:r>
        <w:t>проживание</w:t>
      </w:r>
      <w:r w:rsidRPr="00C179C2">
        <w:t>. Если лицо, которое привезло членов</w:t>
      </w:r>
      <w:r>
        <w:t xml:space="preserve"> своей</w:t>
      </w:r>
      <w:r w:rsidRPr="00C179C2">
        <w:t xml:space="preserve"> семьи в Лихтенштейн, умирает до истечения пяти лет, члены семьи также получают виды на жительство или разрешения на </w:t>
      </w:r>
      <w:r>
        <w:t>прожив</w:t>
      </w:r>
      <w:r>
        <w:t>а</w:t>
      </w:r>
      <w:r>
        <w:t>ние</w:t>
      </w:r>
      <w:r w:rsidRPr="00C179C2">
        <w:t xml:space="preserve"> на определенных условиях</w:t>
      </w:r>
      <w:r w:rsidRPr="00024652">
        <w:rPr>
          <w:sz w:val="18"/>
          <w:szCs w:val="18"/>
          <w:vertAlign w:val="superscript"/>
        </w:rPr>
        <w:footnoteReference w:id="33"/>
      </w:r>
      <w:r>
        <w:t>.</w:t>
      </w:r>
      <w:r w:rsidRPr="00C179C2">
        <w:t xml:space="preserve"> </w:t>
      </w:r>
    </w:p>
    <w:p w:rsidR="005D2199" w:rsidRPr="00C179C2" w:rsidRDefault="005D2199" w:rsidP="005D2199">
      <w:pPr>
        <w:pStyle w:val="SingleTxtGR"/>
      </w:pPr>
      <w:r w:rsidRPr="00C179C2">
        <w:t>40.</w:t>
      </w:r>
      <w:r w:rsidRPr="00C179C2">
        <w:tab/>
        <w:t>В случае граждан из других государств (третьих стран) членами семьи считаются следующие лица: супруг (супруга) и совместные не состоящие в браке дети в возрасте до 18 лет, в том числе приемные дети и воспитанники</w:t>
      </w:r>
      <w:r w:rsidRPr="00024652">
        <w:rPr>
          <w:sz w:val="18"/>
          <w:szCs w:val="18"/>
          <w:vertAlign w:val="superscript"/>
        </w:rPr>
        <w:footnoteReference w:id="34"/>
      </w:r>
      <w:r>
        <w:t>.</w:t>
      </w:r>
      <w:r w:rsidRPr="00C179C2">
        <w:t xml:space="preserve"> Дети получают собственный вид на жительство по достижении ими возраста совершеннолетия, однако за супругом (супругой) сохраняется статус члена с</w:t>
      </w:r>
      <w:r w:rsidRPr="00C179C2">
        <w:t>е</w:t>
      </w:r>
      <w:r w:rsidRPr="00C179C2">
        <w:t>мьи. При расторжении брака вид на жительство супруга (супруги) может быть продлен, если брак длился более пяти лет и интеграция была успешной. Кроме того, имеется положение, регулирующее случаи особо тяжелого матер</w:t>
      </w:r>
      <w:r w:rsidRPr="00C179C2">
        <w:t>и</w:t>
      </w:r>
      <w:r w:rsidRPr="00C179C2">
        <w:t xml:space="preserve">ального положения. </w:t>
      </w:r>
    </w:p>
    <w:p w:rsidR="005D2199" w:rsidRPr="00C179C2" w:rsidRDefault="005D2199" w:rsidP="005D2199">
      <w:pPr>
        <w:pStyle w:val="SingleTxtGR"/>
      </w:pPr>
      <w:r w:rsidRPr="00C179C2">
        <w:t>41.</w:t>
      </w:r>
      <w:r w:rsidRPr="00C179C2">
        <w:tab/>
        <w:t>Для того чтобы граждане Швейцарии и ЕЭЗ имели право на воссоедин</w:t>
      </w:r>
      <w:r w:rsidRPr="00C179C2">
        <w:t>е</w:t>
      </w:r>
      <w:r w:rsidRPr="00C179C2">
        <w:t>ние семьи, должны быть выполнены следующие предварительные условия: н</w:t>
      </w:r>
      <w:r w:rsidRPr="00C179C2">
        <w:t>а</w:t>
      </w:r>
      <w:r w:rsidRPr="00C179C2">
        <w:t>личие семейных отношений, официально засвидетельствованных отношений ухода или иждивенчества, копий проездных документов соответствующих чл</w:t>
      </w:r>
      <w:r w:rsidRPr="00C179C2">
        <w:t>е</w:t>
      </w:r>
      <w:r w:rsidRPr="00C179C2">
        <w:t>нов семьи, надлежащего жилья и в определенных случаях (если заявитель явл</w:t>
      </w:r>
      <w:r w:rsidRPr="00C179C2">
        <w:t>я</w:t>
      </w:r>
      <w:r w:rsidRPr="00C179C2">
        <w:t>ется студентом, получателем льгот или неработающим лицом) достаточных ф</w:t>
      </w:r>
      <w:r w:rsidRPr="00C179C2">
        <w:t>и</w:t>
      </w:r>
      <w:r w:rsidRPr="00C179C2">
        <w:t>нансовых средств для содержания всех членов семьи. Кроме того, необходимо доказать наличие у всех членов семьи достаточного страхового покрытия всех медицинских рисков в Лихтенштейне</w:t>
      </w:r>
      <w:r w:rsidRPr="00024652">
        <w:rPr>
          <w:sz w:val="18"/>
          <w:szCs w:val="18"/>
          <w:vertAlign w:val="superscript"/>
        </w:rPr>
        <w:footnoteReference w:id="35"/>
      </w:r>
      <w:r>
        <w:t>.</w:t>
      </w:r>
    </w:p>
    <w:p w:rsidR="005D2199" w:rsidRPr="00C179C2" w:rsidRDefault="005D2199" w:rsidP="005D2199">
      <w:pPr>
        <w:pStyle w:val="SingleTxtGR"/>
      </w:pPr>
      <w:r w:rsidRPr="00C179C2">
        <w:t>42.</w:t>
      </w:r>
      <w:r w:rsidRPr="00C179C2">
        <w:tab/>
        <w:t>Для того чтобы граждане третьих стран имели право на воссоединение семьи, должны быть выполнены следующие предварительные условия: заяв</w:t>
      </w:r>
      <w:r w:rsidRPr="00C179C2">
        <w:t>и</w:t>
      </w:r>
      <w:r w:rsidRPr="00C179C2">
        <w:t xml:space="preserve">тель должен иметь действующий вид на жительство или разрешение на </w:t>
      </w:r>
      <w:r>
        <w:t>прож</w:t>
      </w:r>
      <w:r>
        <w:t>и</w:t>
      </w:r>
      <w:r>
        <w:t>вание</w:t>
      </w:r>
      <w:r w:rsidRPr="00C179C2">
        <w:t>, оба заявителя должны быть совершеннолетними по законодательству Лихтенштейна, лицо, состоящее в браке с заявителем и проживающее за руб</w:t>
      </w:r>
      <w:r w:rsidRPr="00C179C2">
        <w:t>е</w:t>
      </w:r>
      <w:r w:rsidRPr="00C179C2">
        <w:t xml:space="preserve">жом, должно </w:t>
      </w:r>
      <w:r>
        <w:t xml:space="preserve">иметь элементарное знание </w:t>
      </w:r>
      <w:r w:rsidRPr="00C179C2">
        <w:t>немецк</w:t>
      </w:r>
      <w:r>
        <w:t>ого</w:t>
      </w:r>
      <w:r w:rsidRPr="00C179C2">
        <w:t xml:space="preserve"> язык</w:t>
      </w:r>
      <w:r>
        <w:t>а</w:t>
      </w:r>
      <w:r w:rsidRPr="00C179C2">
        <w:t xml:space="preserve"> (за исключением тех случаев, когда заявитель получил вид на жительство в целях трудоустройс</w:t>
      </w:r>
      <w:r w:rsidRPr="00C179C2">
        <w:t>т</w:t>
      </w:r>
      <w:r w:rsidRPr="00C179C2">
        <w:t xml:space="preserve">ва и члены семьи сопровождают заявителя при въезде в страну), заявитель должен иметь </w:t>
      </w:r>
      <w:r>
        <w:t>надлежа</w:t>
      </w:r>
      <w:r w:rsidRPr="00C179C2">
        <w:t>щее жилье, лицо, вызывающее членов семьи в страну</w:t>
      </w:r>
      <w:r>
        <w:t>,</w:t>
      </w:r>
      <w:r w:rsidRPr="00C179C2">
        <w:t xml:space="preserve"> должно доказать наличие у него постоянно</w:t>
      </w:r>
      <w:r>
        <w:t xml:space="preserve">й работы, дающей ему самому и членам </w:t>
      </w:r>
      <w:r w:rsidRPr="00C179C2">
        <w:t>с</w:t>
      </w:r>
      <w:r w:rsidRPr="00C179C2">
        <w:t>е</w:t>
      </w:r>
      <w:r w:rsidRPr="00C179C2">
        <w:t xml:space="preserve">мьи средства </w:t>
      </w:r>
      <w:r>
        <w:t>к</w:t>
      </w:r>
      <w:r w:rsidRPr="00C179C2">
        <w:t xml:space="preserve"> существованию, или наличие у него достаточных финансовых средств для того, чтобы содержать себя и членов семьи. После въезда и регис</w:t>
      </w:r>
      <w:r w:rsidRPr="00C179C2">
        <w:t>т</w:t>
      </w:r>
      <w:r w:rsidRPr="00C179C2">
        <w:t>рации заявитель обязан</w:t>
      </w:r>
      <w:r>
        <w:t>,</w:t>
      </w:r>
      <w:r w:rsidRPr="00C179C2">
        <w:t xml:space="preserve"> помимо доказательств наличия комплексного страхов</w:t>
      </w:r>
      <w:r w:rsidRPr="00C179C2">
        <w:t>о</w:t>
      </w:r>
      <w:r w:rsidRPr="00C179C2">
        <w:t>го покрытия всех медицинских рисков в Лихтенштейне</w:t>
      </w:r>
      <w:r>
        <w:t>,</w:t>
      </w:r>
      <w:r w:rsidRPr="00C179C2">
        <w:t xml:space="preserve"> представить доказ</w:t>
      </w:r>
      <w:r w:rsidRPr="00C179C2">
        <w:t>а</w:t>
      </w:r>
      <w:r w:rsidRPr="00C179C2">
        <w:t>тельства регистрации членов семьи по месту жительства в бюро регистрации населения и доказательства зачисления в школу детей, об</w:t>
      </w:r>
      <w:r w:rsidRPr="00C179C2">
        <w:t>я</w:t>
      </w:r>
      <w:r w:rsidRPr="00C179C2">
        <w:t xml:space="preserve">занных ее посещать. </w:t>
      </w:r>
    </w:p>
    <w:p w:rsidR="005D2199" w:rsidRDefault="005D2199" w:rsidP="005D2199">
      <w:pPr>
        <w:pStyle w:val="SingleTxtGR"/>
      </w:pPr>
      <w:r w:rsidRPr="00C179C2">
        <w:t>43.</w:t>
      </w:r>
      <w:r w:rsidRPr="00C179C2">
        <w:tab/>
        <w:t xml:space="preserve">Кроме того, правом на воссоединение семьи можно воспользоваться только в определенные временные сроки, которые зависят от оснований </w:t>
      </w:r>
      <w:r>
        <w:t>для проживания</w:t>
      </w:r>
      <w:r w:rsidRPr="00C179C2">
        <w:t xml:space="preserve"> заявителя в Лихтенштейне: если заявителю был предоставлен вид на жительство в целях трудоустройства, воссоединение семьи должно произо</w:t>
      </w:r>
      <w:r w:rsidRPr="00C179C2">
        <w:t>й</w:t>
      </w:r>
      <w:r w:rsidRPr="00C179C2">
        <w:t>ти в течение не более трех лет после получения вида на жительство или закл</w:t>
      </w:r>
      <w:r w:rsidRPr="00C179C2">
        <w:t>ю</w:t>
      </w:r>
      <w:r w:rsidRPr="00C179C2">
        <w:t>чения брака. Если заявителю был предоставлен вид на жительство на основ</w:t>
      </w:r>
      <w:r w:rsidRPr="00C179C2">
        <w:t>а</w:t>
      </w:r>
      <w:r w:rsidRPr="00C179C2">
        <w:t>нии воссоединения семьи, то воссоединение семьи (повторное) должно пр</w:t>
      </w:r>
      <w:r w:rsidRPr="00C179C2">
        <w:t>о</w:t>
      </w:r>
      <w:r w:rsidRPr="00C179C2">
        <w:t>изойти в течение не более четырех лет надлежащего и непрерывного пребыв</w:t>
      </w:r>
      <w:r w:rsidRPr="00C179C2">
        <w:t>а</w:t>
      </w:r>
      <w:r w:rsidRPr="00C179C2">
        <w:t>ния в стране после получения вида на жительство. После истечения этого пр</w:t>
      </w:r>
      <w:r w:rsidRPr="00C179C2">
        <w:t>е</w:t>
      </w:r>
      <w:r w:rsidRPr="00C179C2">
        <w:t>дельного срока ходатайство о воссоединении семьи должно быть подано в т</w:t>
      </w:r>
      <w:r w:rsidRPr="00C179C2">
        <w:t>е</w:t>
      </w:r>
      <w:r w:rsidRPr="00C179C2">
        <w:t>чение не более трех лет после заключения брака или, если брак был заключен во время указанного четырехлетнего периода, в течение трех лет после истеч</w:t>
      </w:r>
      <w:r w:rsidRPr="00C179C2">
        <w:t>е</w:t>
      </w:r>
      <w:r w:rsidRPr="00C179C2">
        <w:t>ния этого срока</w:t>
      </w:r>
      <w:r w:rsidRPr="00024652">
        <w:rPr>
          <w:sz w:val="18"/>
          <w:szCs w:val="18"/>
          <w:vertAlign w:val="superscript"/>
        </w:rPr>
        <w:footnoteReference w:id="36"/>
      </w:r>
      <w:r>
        <w:t>.</w:t>
      </w:r>
      <w:r w:rsidRPr="00C179C2">
        <w:rPr>
          <w:vertAlign w:val="superscript"/>
        </w:rPr>
        <w:t xml:space="preserve"> </w:t>
      </w:r>
    </w:p>
    <w:p w:rsidR="005D2199" w:rsidRPr="00553E4B" w:rsidRDefault="005D2199" w:rsidP="005D2199">
      <w:pPr>
        <w:pStyle w:val="SingleTxtGR"/>
      </w:pPr>
      <w:r w:rsidRPr="00553E4B">
        <w:t>44.</w:t>
      </w:r>
      <w:r w:rsidRPr="00553E4B">
        <w:tab/>
        <w:t xml:space="preserve">Для лиц, находящихся в фактических и </w:t>
      </w:r>
      <w:r>
        <w:t>постоянных</w:t>
      </w:r>
      <w:r w:rsidRPr="00553E4B">
        <w:t xml:space="preserve"> семейных отношен</w:t>
      </w:r>
      <w:r w:rsidRPr="00553E4B">
        <w:t>и</w:t>
      </w:r>
      <w:r w:rsidRPr="00553E4B">
        <w:t>ях ("фактическом бытовом партнерстве"), в последние годы были введены б</w:t>
      </w:r>
      <w:r w:rsidRPr="00553E4B">
        <w:t>о</w:t>
      </w:r>
      <w:r w:rsidRPr="00553E4B">
        <w:t>лее благоприятные условия для воссоединения с партнером. Например, гражд</w:t>
      </w:r>
      <w:r w:rsidRPr="00553E4B">
        <w:t>а</w:t>
      </w:r>
      <w:r w:rsidRPr="00553E4B">
        <w:t>не Лихтенштейна и проживающие в нем граждане Швейцарии и ЕЭЗ могут в определенных обстоятельствах вызывать партнера-иностранца в Лихтенштейн. Это также распространяется на пары, состоящие из лиц одного пола. Воссоед</w:t>
      </w:r>
      <w:r w:rsidRPr="00553E4B">
        <w:t>и</w:t>
      </w:r>
      <w:r w:rsidRPr="00553E4B">
        <w:t>нение с детьми от прошлых браков или "фактических бытовых партнерств" не разрешается</w:t>
      </w:r>
      <w:r>
        <w:rPr>
          <w:rStyle w:val="FootnoteReference"/>
        </w:rPr>
        <w:footnoteReference w:id="37"/>
      </w:r>
      <w:r>
        <w:t>.</w:t>
      </w:r>
    </w:p>
    <w:p w:rsidR="005D2199" w:rsidRPr="00E45D32" w:rsidRDefault="005D2199" w:rsidP="005D2199">
      <w:pPr>
        <w:pStyle w:val="SingleTxtGR"/>
      </w:pPr>
      <w:r w:rsidRPr="00553E4B">
        <w:t>45.</w:t>
      </w:r>
      <w:r w:rsidRPr="00553E4B">
        <w:tab/>
        <w:t>С 2001 по 2010 год по линии воссоединения семей в Лихтенштейн в среднем</w:t>
      </w:r>
      <w:r w:rsidRPr="00E45D32">
        <w:t xml:space="preserve"> </w:t>
      </w:r>
      <w:r>
        <w:t>ежегодно</w:t>
      </w:r>
      <w:r w:rsidRPr="00553E4B">
        <w:t xml:space="preserve"> прибывало примерно 370 человек. За тот же период</w:t>
      </w:r>
      <w:r w:rsidRPr="00E45D32">
        <w:t xml:space="preserve"> </w:t>
      </w:r>
      <w:r w:rsidRPr="00553E4B">
        <w:t>в Ли</w:t>
      </w:r>
      <w:r w:rsidRPr="00553E4B">
        <w:t>х</w:t>
      </w:r>
      <w:r w:rsidRPr="00553E4B">
        <w:t>тенштейн в среднем</w:t>
      </w:r>
      <w:r>
        <w:t xml:space="preserve"> ежегодно прибывало</w:t>
      </w:r>
      <w:r w:rsidRPr="00553E4B">
        <w:t xml:space="preserve"> 135 человек для работы по найму</w:t>
      </w:r>
      <w:r w:rsidRPr="00024652">
        <w:rPr>
          <w:sz w:val="18"/>
          <w:szCs w:val="18"/>
          <w:vertAlign w:val="superscript"/>
        </w:rPr>
        <w:footnoteReference w:id="38"/>
      </w:r>
      <w:r>
        <w:t>.</w:t>
      </w:r>
    </w:p>
    <w:p w:rsidR="005D2199" w:rsidRPr="00E45D32" w:rsidRDefault="00A638B4" w:rsidP="00A638B4">
      <w:pPr>
        <w:pStyle w:val="H23GR"/>
      </w:pPr>
      <w:r w:rsidRPr="00A638B4">
        <w:rPr>
          <w:b w:val="0"/>
        </w:rPr>
        <w:tab/>
      </w:r>
      <w:r w:rsidRPr="00A638B4">
        <w:rPr>
          <w:b w:val="0"/>
        </w:rPr>
        <w:tab/>
      </w:r>
      <w:r w:rsidR="005D2199" w:rsidRPr="00A638B4">
        <w:rPr>
          <w:b w:val="0"/>
        </w:rPr>
        <w:t>Таблица 8</w:t>
      </w:r>
      <w:r w:rsidR="005D2199" w:rsidRPr="00A638B4">
        <w:rPr>
          <w:b w:val="0"/>
        </w:rPr>
        <w:br/>
      </w:r>
      <w:r w:rsidR="005D2199" w:rsidRPr="00E45D32">
        <w:t>Лица, прибывающие в государство на основании воссоединения с</w:t>
      </w:r>
      <w:r w:rsidR="005D2199" w:rsidRPr="00E45D32">
        <w:t>е</w:t>
      </w:r>
      <w:r w:rsidR="005D2199" w:rsidRPr="00E45D32">
        <w:t>мьи или работы по найму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344"/>
        <w:gridCol w:w="602"/>
        <w:gridCol w:w="603"/>
        <w:gridCol w:w="602"/>
        <w:gridCol w:w="603"/>
        <w:gridCol w:w="603"/>
        <w:gridCol w:w="602"/>
        <w:gridCol w:w="603"/>
        <w:gridCol w:w="602"/>
        <w:gridCol w:w="603"/>
        <w:gridCol w:w="603"/>
      </w:tblGrid>
      <w:tr w:rsidR="00A638B4" w:rsidRPr="00C87969" w:rsidTr="00A6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C87969" w:rsidRDefault="005D2199" w:rsidP="009D174D"/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F13C6">
              <w:rPr>
                <w:i/>
                <w:sz w:val="16"/>
                <w:szCs w:val="16"/>
              </w:rPr>
              <w:t>2001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F13C6">
              <w:rPr>
                <w:i/>
                <w:sz w:val="16"/>
                <w:szCs w:val="16"/>
              </w:rPr>
              <w:t>2002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F13C6">
              <w:rPr>
                <w:i/>
                <w:sz w:val="16"/>
                <w:szCs w:val="16"/>
              </w:rPr>
              <w:t>2003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F13C6">
              <w:rPr>
                <w:i/>
                <w:sz w:val="16"/>
                <w:szCs w:val="16"/>
              </w:rPr>
              <w:t>2004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F13C6">
              <w:rPr>
                <w:i/>
                <w:sz w:val="16"/>
                <w:szCs w:val="16"/>
              </w:rPr>
              <w:t>2005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F13C6">
              <w:rPr>
                <w:i/>
                <w:sz w:val="16"/>
                <w:szCs w:val="16"/>
              </w:rPr>
              <w:t>2006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F13C6">
              <w:rPr>
                <w:i/>
                <w:sz w:val="16"/>
                <w:szCs w:val="16"/>
              </w:rPr>
              <w:t>2007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F13C6">
              <w:rPr>
                <w:i/>
                <w:sz w:val="16"/>
                <w:szCs w:val="16"/>
              </w:rPr>
              <w:t>2008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F13C6">
              <w:rPr>
                <w:i/>
                <w:sz w:val="16"/>
                <w:szCs w:val="16"/>
              </w:rPr>
              <w:t>2009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F13C6">
              <w:rPr>
                <w:i/>
                <w:sz w:val="16"/>
                <w:szCs w:val="16"/>
              </w:rPr>
              <w:t>2010</w:t>
            </w:r>
          </w:p>
        </w:tc>
      </w:tr>
      <w:tr w:rsidR="00A638B4" w:rsidRPr="00C87969" w:rsidTr="00A6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5D2199" w:rsidRPr="00C87969" w:rsidRDefault="005D2199" w:rsidP="009D174D">
            <w:r w:rsidRPr="008F13C6">
              <w:rPr>
                <w:szCs w:val="18"/>
              </w:rPr>
              <w:t>Воссоединение с</w:t>
            </w:r>
            <w:r w:rsidRPr="008F13C6">
              <w:rPr>
                <w:szCs w:val="18"/>
              </w:rPr>
              <w:t>е</w:t>
            </w:r>
            <w:r w:rsidRPr="008F13C6">
              <w:rPr>
                <w:szCs w:val="18"/>
              </w:rPr>
              <w:t>мьи</w:t>
            </w:r>
          </w:p>
        </w:tc>
        <w:tc>
          <w:tcPr>
            <w:tcW w:w="602" w:type="dxa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479</w:t>
            </w:r>
          </w:p>
        </w:tc>
        <w:tc>
          <w:tcPr>
            <w:tcW w:w="603" w:type="dxa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407</w:t>
            </w:r>
          </w:p>
        </w:tc>
        <w:tc>
          <w:tcPr>
            <w:tcW w:w="602" w:type="dxa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421</w:t>
            </w:r>
          </w:p>
        </w:tc>
        <w:tc>
          <w:tcPr>
            <w:tcW w:w="603" w:type="dxa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341</w:t>
            </w:r>
          </w:p>
        </w:tc>
        <w:tc>
          <w:tcPr>
            <w:tcW w:w="603" w:type="dxa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340</w:t>
            </w:r>
          </w:p>
        </w:tc>
        <w:tc>
          <w:tcPr>
            <w:tcW w:w="602" w:type="dxa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330</w:t>
            </w:r>
          </w:p>
        </w:tc>
        <w:tc>
          <w:tcPr>
            <w:tcW w:w="603" w:type="dxa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343</w:t>
            </w:r>
          </w:p>
        </w:tc>
        <w:tc>
          <w:tcPr>
            <w:tcW w:w="602" w:type="dxa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333</w:t>
            </w:r>
          </w:p>
        </w:tc>
        <w:tc>
          <w:tcPr>
            <w:tcW w:w="603" w:type="dxa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352</w:t>
            </w:r>
          </w:p>
        </w:tc>
        <w:tc>
          <w:tcPr>
            <w:tcW w:w="603" w:type="dxa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381</w:t>
            </w:r>
          </w:p>
        </w:tc>
      </w:tr>
      <w:tr w:rsidR="00A638B4" w:rsidRPr="00C87969" w:rsidTr="00A6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4" w:right="113"/>
              <w:rPr>
                <w:szCs w:val="18"/>
              </w:rPr>
            </w:pPr>
            <w:r w:rsidRPr="008F13C6">
              <w:rPr>
                <w:szCs w:val="18"/>
              </w:rPr>
              <w:t>Работа по найму</w:t>
            </w:r>
          </w:p>
        </w:tc>
        <w:tc>
          <w:tcPr>
            <w:tcW w:w="602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267</w:t>
            </w:r>
          </w:p>
        </w:tc>
        <w:tc>
          <w:tcPr>
            <w:tcW w:w="60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154</w:t>
            </w:r>
          </w:p>
        </w:tc>
        <w:tc>
          <w:tcPr>
            <w:tcW w:w="602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182</w:t>
            </w:r>
          </w:p>
        </w:tc>
        <w:tc>
          <w:tcPr>
            <w:tcW w:w="60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145</w:t>
            </w:r>
          </w:p>
        </w:tc>
        <w:tc>
          <w:tcPr>
            <w:tcW w:w="60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121</w:t>
            </w:r>
          </w:p>
        </w:tc>
        <w:tc>
          <w:tcPr>
            <w:tcW w:w="602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88</w:t>
            </w:r>
          </w:p>
        </w:tc>
        <w:tc>
          <w:tcPr>
            <w:tcW w:w="60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92</w:t>
            </w:r>
          </w:p>
        </w:tc>
        <w:tc>
          <w:tcPr>
            <w:tcW w:w="602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116</w:t>
            </w:r>
          </w:p>
        </w:tc>
        <w:tc>
          <w:tcPr>
            <w:tcW w:w="60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98</w:t>
            </w:r>
          </w:p>
        </w:tc>
        <w:tc>
          <w:tcPr>
            <w:tcW w:w="60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D2199" w:rsidRPr="008F13C6" w:rsidRDefault="005D2199" w:rsidP="009D174D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8F13C6">
              <w:rPr>
                <w:szCs w:val="18"/>
              </w:rPr>
              <w:t>96</w:t>
            </w:r>
          </w:p>
        </w:tc>
      </w:tr>
    </w:tbl>
    <w:p w:rsidR="005D2199" w:rsidRPr="00553E4B" w:rsidRDefault="005D2199" w:rsidP="00A638B4">
      <w:pPr>
        <w:pStyle w:val="SingleTxtGR"/>
        <w:spacing w:before="240"/>
      </w:pPr>
      <w:r w:rsidRPr="00553E4B">
        <w:t>46.</w:t>
      </w:r>
      <w:r w:rsidRPr="00553E4B">
        <w:tab/>
        <w:t>К августу 2009 года жителями Лихтенштейна в результате воссоединения семей стали в общей сложности 7</w:t>
      </w:r>
      <w:r>
        <w:rPr>
          <w:lang w:val="en-US"/>
        </w:rPr>
        <w:t> </w:t>
      </w:r>
      <w:r w:rsidRPr="00553E4B">
        <w:t>194 человека. Из них 1</w:t>
      </w:r>
      <w:r>
        <w:rPr>
          <w:lang w:val="en-US"/>
        </w:rPr>
        <w:t> </w:t>
      </w:r>
      <w:r w:rsidRPr="00553E4B">
        <w:t>423 человека (20%) прибыли из Швейцарии, 2</w:t>
      </w:r>
      <w:r>
        <w:rPr>
          <w:lang w:val="en-US"/>
        </w:rPr>
        <w:t> </w:t>
      </w:r>
      <w:r w:rsidRPr="00553E4B">
        <w:t>489 человек (34,5%) из стран ЕЭЗ и 1</w:t>
      </w:r>
      <w:r>
        <w:rPr>
          <w:lang w:val="en-US"/>
        </w:rPr>
        <w:t> </w:t>
      </w:r>
      <w:r w:rsidRPr="00553E4B">
        <w:t>370 человек (19%) из других стран ("третьих стран"). 1</w:t>
      </w:r>
      <w:r>
        <w:rPr>
          <w:lang w:val="en-US"/>
        </w:rPr>
        <w:t> </w:t>
      </w:r>
      <w:r w:rsidRPr="00553E4B">
        <w:t>912 человек (26,5%) не иммигрир</w:t>
      </w:r>
      <w:r w:rsidRPr="00553E4B">
        <w:t>о</w:t>
      </w:r>
      <w:r w:rsidRPr="00553E4B">
        <w:t>вали в Лихтенштейн, а уже находились на его территории (например, с момента рождения)</w:t>
      </w:r>
      <w:r w:rsidRPr="00024652">
        <w:rPr>
          <w:sz w:val="18"/>
          <w:szCs w:val="18"/>
          <w:vertAlign w:val="superscript"/>
        </w:rPr>
        <w:footnoteReference w:id="39"/>
      </w:r>
      <w:r>
        <w:t>.</w:t>
      </w:r>
      <w:r w:rsidRPr="00553E4B">
        <w:t xml:space="preserve"> В целом, члены семей составляют самую большую долю лиц, и</w:t>
      </w:r>
      <w:r w:rsidRPr="00553E4B">
        <w:t>м</w:t>
      </w:r>
      <w:r w:rsidRPr="00553E4B">
        <w:t>мигрирующих в Лихтенштейн</w:t>
      </w:r>
      <w:r w:rsidRPr="00024652">
        <w:rPr>
          <w:sz w:val="18"/>
          <w:szCs w:val="18"/>
          <w:vertAlign w:val="superscript"/>
        </w:rPr>
        <w:footnoteReference w:id="40"/>
      </w:r>
      <w:r>
        <w:t>.</w:t>
      </w:r>
    </w:p>
    <w:p w:rsidR="005D2199" w:rsidRPr="00553E4B" w:rsidRDefault="005D2199" w:rsidP="005D2199">
      <w:pPr>
        <w:pStyle w:val="SingleTxtGR"/>
      </w:pPr>
      <w:r w:rsidRPr="00553E4B">
        <w:t>47.</w:t>
      </w:r>
      <w:r w:rsidRPr="00553E4B">
        <w:tab/>
        <w:t>В период с 1 января 2006 года по 31 декабря 2010 года были отклонены только два ходатайства о воссоединении семьи. Заявителями по этим делам в</w:t>
      </w:r>
      <w:r w:rsidRPr="00553E4B">
        <w:t>ы</w:t>
      </w:r>
      <w:r w:rsidRPr="00553E4B">
        <w:t>ступали граждане Хорватии и бывшей югославской Республики Македония с</w:t>
      </w:r>
      <w:r w:rsidRPr="00553E4B">
        <w:t>о</w:t>
      </w:r>
      <w:r w:rsidRPr="00553E4B">
        <w:t>ответственно. В обоих случаях отказы был</w:t>
      </w:r>
      <w:r>
        <w:t>и</w:t>
      </w:r>
      <w:r w:rsidRPr="00553E4B">
        <w:t xml:space="preserve"> обусловлены несоблюдением ср</w:t>
      </w:r>
      <w:r w:rsidRPr="00553E4B">
        <w:t>о</w:t>
      </w:r>
      <w:r w:rsidRPr="00553E4B">
        <w:t>ков</w:t>
      </w:r>
      <w:r>
        <w:t xml:space="preserve"> подачи ходатайств</w:t>
      </w:r>
      <w:r w:rsidRPr="00553E4B">
        <w:t xml:space="preserve">. При этом косвенная дискриминация на основании пола или финансового положения может быть исключена. </w:t>
      </w:r>
    </w:p>
    <w:p w:rsidR="005D2199" w:rsidRPr="00553E4B" w:rsidRDefault="005D2199" w:rsidP="00BD4F52">
      <w:pPr>
        <w:pStyle w:val="SingleTxtGR"/>
      </w:pPr>
      <w:r w:rsidRPr="00553E4B">
        <w:t>48.</w:t>
      </w:r>
      <w:r w:rsidRPr="00553E4B">
        <w:tab/>
        <w:t>В соответствии с парламентским запросом относительно политики в о</w:t>
      </w:r>
      <w:r w:rsidRPr="00553E4B">
        <w:t>б</w:t>
      </w:r>
      <w:r w:rsidRPr="00553E4B">
        <w:t>ласти иммиграции и допуска в страну правительство в настоящее время ра</w:t>
      </w:r>
      <w:r w:rsidRPr="00553E4B">
        <w:t>с</w:t>
      </w:r>
      <w:r w:rsidRPr="00553E4B">
        <w:t>сматривает вопрос о снятии оговорок, касающихся права на семейную жизнь, а</w:t>
      </w:r>
      <w:r>
        <w:t> </w:t>
      </w:r>
      <w:r w:rsidRPr="00553E4B">
        <w:t xml:space="preserve">именно оговорок к статье 8 ЕКПЧ, к пункту 1 статьи 17 МПГПП и пункту 1 статьи 10 Конвенции о правах ребенка.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9450A" w:rsidTr="0079450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9450A" w:rsidRDefault="0079450A" w:rsidP="0079450A">
            <w:pPr>
              <w:spacing w:line="240" w:lineRule="auto"/>
            </w:pPr>
          </w:p>
        </w:tc>
      </w:tr>
      <w:tr w:rsidR="0079450A" w:rsidTr="007945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9450A" w:rsidRDefault="0079450A" w:rsidP="0079450A">
            <w:pPr>
              <w:spacing w:after="120"/>
              <w:jc w:val="both"/>
            </w:pPr>
            <w:r w:rsidRPr="00553E4B">
              <w:t>Рекомендация</w:t>
            </w:r>
            <w:r w:rsidRPr="00553E4B">
              <w:rPr>
                <w:lang w:val="en-US"/>
              </w:rPr>
              <w:t xml:space="preserve"> </w:t>
            </w:r>
            <w:r w:rsidRPr="00553E4B">
              <w:t>КЛРД</w:t>
            </w:r>
            <w:r w:rsidRPr="00553E4B">
              <w:rPr>
                <w:lang w:val="en-US"/>
              </w:rPr>
              <w:t xml:space="preserve"> № 21:</w:t>
            </w:r>
          </w:p>
        </w:tc>
      </w:tr>
      <w:tr w:rsidR="0079450A" w:rsidTr="007945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9450A" w:rsidRDefault="0079450A" w:rsidP="0079450A">
            <w:pPr>
              <w:spacing w:after="120"/>
              <w:jc w:val="both"/>
            </w:pPr>
            <w:r w:rsidRPr="0079450A">
              <w:tab/>
              <w:t>В дополнение к интенсивным языковым курсам, организуемым в по</w:t>
            </w:r>
            <w:r w:rsidRPr="0079450A">
              <w:t>д</w:t>
            </w:r>
            <w:r w:rsidRPr="0079450A">
              <w:t>держку изучения немецкого языка детьми мигрантов и их родителями, Комитет рекомендует государству-участнику рассмотреть вопрос о принятии дополн</w:t>
            </w:r>
            <w:r w:rsidRPr="0079450A">
              <w:t>и</w:t>
            </w:r>
            <w:r w:rsidRPr="0079450A">
              <w:t>тельных мер для устранения конкретных трудностей, с которыми сталкиваются эти дети из-за незнания языка, посредством, в частности, обеспечения того, чтобы службы по оказанию помощи детям и другие социальные службы учит</w:t>
            </w:r>
            <w:r w:rsidRPr="0079450A">
              <w:t>ы</w:t>
            </w:r>
            <w:r w:rsidRPr="0079450A">
              <w:t>вали особые потребности родителей иностранного происхождения, а также п</w:t>
            </w:r>
            <w:r w:rsidRPr="0079450A">
              <w:t>о</w:t>
            </w:r>
            <w:r w:rsidRPr="0079450A">
              <w:t>средством организации подготовки преподавателей по методам обучения, уч</w:t>
            </w:r>
            <w:r w:rsidRPr="0079450A">
              <w:t>и</w:t>
            </w:r>
            <w:r w:rsidRPr="0079450A">
              <w:t>тывающим культурные различия.</w:t>
            </w:r>
          </w:p>
        </w:tc>
      </w:tr>
      <w:tr w:rsidR="0079450A" w:rsidTr="0079450A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9450A" w:rsidRDefault="0079450A" w:rsidP="0079450A">
            <w:pPr>
              <w:spacing w:line="240" w:lineRule="auto"/>
            </w:pPr>
          </w:p>
        </w:tc>
      </w:tr>
    </w:tbl>
    <w:p w:rsidR="005D2199" w:rsidRPr="00553E4B" w:rsidRDefault="005D2199" w:rsidP="0079450A">
      <w:pPr>
        <w:pStyle w:val="SingleTxtGR"/>
        <w:spacing w:before="240"/>
      </w:pPr>
      <w:r w:rsidRPr="00553E4B">
        <w:t>49.</w:t>
      </w:r>
      <w:r w:rsidRPr="00553E4B">
        <w:tab/>
        <w:t>Помимо упомянутых в рекомендации интенсивных языковых курсов для детей мигрантов, с 2001 года для детей и молодежи, для которых немецкий не является родным языком, уже организуются специальные учебные меропри</w:t>
      </w:r>
      <w:r w:rsidRPr="00553E4B">
        <w:t>я</w:t>
      </w:r>
      <w:r w:rsidRPr="00553E4B">
        <w:t>тия. К ним относится курс немецкого как второго языка, предлагаемый деце</w:t>
      </w:r>
      <w:r w:rsidRPr="00553E4B">
        <w:t>н</w:t>
      </w:r>
      <w:r w:rsidRPr="00553E4B">
        <w:t>трализовано во всех детских садах и на всех ступенях школьного обучения. Курс немецкого как вт</w:t>
      </w:r>
      <w:r w:rsidRPr="00553E4B">
        <w:t>о</w:t>
      </w:r>
      <w:r w:rsidRPr="00553E4B">
        <w:t>рого языка облегчает и сопровождает процесс овладения языком в соответствии с критериями индивидуальной и социальной интегр</w:t>
      </w:r>
      <w:r w:rsidRPr="00553E4B">
        <w:t>а</w:t>
      </w:r>
      <w:r w:rsidRPr="00553E4B">
        <w:t>ции. На занятиях в очень небольших группах основное внимание обр</w:t>
      </w:r>
      <w:r w:rsidRPr="00553E4B">
        <w:t>а</w:t>
      </w:r>
      <w:r w:rsidRPr="00553E4B">
        <w:t>щается на особые потребности в овладении вторым языком и учитываются различия кул</w:t>
      </w:r>
      <w:r w:rsidRPr="00553E4B">
        <w:t>ь</w:t>
      </w:r>
      <w:r w:rsidRPr="00553E4B">
        <w:t xml:space="preserve">тур. </w:t>
      </w:r>
    </w:p>
    <w:p w:rsidR="005D2199" w:rsidRPr="00553E4B" w:rsidRDefault="005D2199" w:rsidP="005D2199">
      <w:pPr>
        <w:pStyle w:val="SingleTxtGR"/>
      </w:pPr>
      <w:r w:rsidRPr="00553E4B">
        <w:t>50.</w:t>
      </w:r>
      <w:r w:rsidRPr="00553E4B">
        <w:tab/>
        <w:t>В последние годы правительство приняло различные меры по поощр</w:t>
      </w:r>
      <w:r w:rsidRPr="00553E4B">
        <w:t>е</w:t>
      </w:r>
      <w:r w:rsidRPr="00553E4B">
        <w:t>нию равных возможностей и включению в процесс обучения всех детей, жив</w:t>
      </w:r>
      <w:r w:rsidRPr="00553E4B">
        <w:t>у</w:t>
      </w:r>
      <w:r w:rsidRPr="00553E4B">
        <w:t xml:space="preserve">щих в Лихтенштейне. Самыми важными мерами стали создание дневных школ и организация групп дневного </w:t>
      </w:r>
      <w:r>
        <w:t>ухода</w:t>
      </w:r>
      <w:r w:rsidRPr="00553E4B">
        <w:t xml:space="preserve"> под присмотром преподавателей для школ</w:t>
      </w:r>
      <w:r w:rsidRPr="00553E4B">
        <w:t>ь</w:t>
      </w:r>
      <w:r w:rsidRPr="00553E4B">
        <w:t>ников, а также расширение спектра возможностей для дневного ухода за мал</w:t>
      </w:r>
      <w:r w:rsidRPr="00553E4B">
        <w:t>о</w:t>
      </w:r>
      <w:r w:rsidRPr="00553E4B">
        <w:t xml:space="preserve">летними детьми. </w:t>
      </w:r>
    </w:p>
    <w:p w:rsidR="005D2199" w:rsidRPr="00553E4B" w:rsidRDefault="005D2199" w:rsidP="005D2199">
      <w:pPr>
        <w:pStyle w:val="SingleTxtGR"/>
      </w:pPr>
      <w:r w:rsidRPr="00553E4B">
        <w:t>51.</w:t>
      </w:r>
      <w:r w:rsidRPr="00553E4B">
        <w:tab/>
        <w:t>В дневных школах учащиеся могут находиться в течение всего дня по у</w:t>
      </w:r>
      <w:r w:rsidRPr="00553E4B">
        <w:t>с</w:t>
      </w:r>
      <w:r w:rsidRPr="00553E4B">
        <w:t>тановленному распорядку, включающему занятия в классах, обед под присмо</w:t>
      </w:r>
      <w:r w:rsidRPr="00553E4B">
        <w:t>т</w:t>
      </w:r>
      <w:r w:rsidRPr="00553E4B">
        <w:t xml:space="preserve">ром преподавателей, помощь в подготовке домашних заданий и различные </w:t>
      </w:r>
      <w:proofErr w:type="spellStart"/>
      <w:r w:rsidRPr="00553E4B">
        <w:t>д</w:t>
      </w:r>
      <w:r w:rsidRPr="00553E4B">
        <w:t>о</w:t>
      </w:r>
      <w:r w:rsidRPr="00553E4B">
        <w:t>суговые</w:t>
      </w:r>
      <w:proofErr w:type="spellEnd"/>
      <w:r w:rsidRPr="00553E4B">
        <w:t xml:space="preserve"> мероприятия под руководством профессиональных воспитателей. Н</w:t>
      </w:r>
      <w:r w:rsidRPr="00553E4B">
        <w:t>а</w:t>
      </w:r>
      <w:r w:rsidRPr="00553E4B">
        <w:t>чиная с 2010/2011 учебного года в Лихтенштейне в рамках экспериментальных проектов работ</w:t>
      </w:r>
      <w:r w:rsidRPr="00553E4B">
        <w:t>а</w:t>
      </w:r>
      <w:r w:rsidRPr="00553E4B">
        <w:t>ют две дневные школы, в которых могут обучаться дети со всей страны. Ожидается, что в 2012/201</w:t>
      </w:r>
      <w:r>
        <w:t>3</w:t>
      </w:r>
      <w:r w:rsidRPr="00553E4B">
        <w:t xml:space="preserve"> учебном году </w:t>
      </w:r>
      <w:r>
        <w:t>п</w:t>
      </w:r>
      <w:r w:rsidRPr="00553E4B">
        <w:t>арламент примет решение о том, будут ли эти два экспериментальных проекта включены в состав обы</w:t>
      </w:r>
      <w:r w:rsidRPr="00553E4B">
        <w:t>ч</w:t>
      </w:r>
      <w:r w:rsidRPr="00553E4B">
        <w:t>ной школьной программы. Благодаря пребыванию в течение всего дня с плавными переходами от учебных занятий к воспитательной работе в разновозрастных группах дети, особенно из семей мигрантов, могут получать пользу от непр</w:t>
      </w:r>
      <w:r w:rsidRPr="00553E4B">
        <w:t>е</w:t>
      </w:r>
      <w:r w:rsidRPr="00553E4B">
        <w:t>рывного и значительного по</w:t>
      </w:r>
      <w:r>
        <w:t xml:space="preserve"> объему</w:t>
      </w:r>
      <w:r w:rsidRPr="00553E4B">
        <w:t xml:space="preserve"> и качеству общения на языке. Девиз дне</w:t>
      </w:r>
      <w:r w:rsidRPr="00553E4B">
        <w:t>в</w:t>
      </w:r>
      <w:r w:rsidRPr="00553E4B">
        <w:t xml:space="preserve">ной школы: "Я знаю, кто я, откуда я, и могу найти свою дорогу в </w:t>
      </w:r>
      <w:proofErr w:type="spellStart"/>
      <w:r w:rsidRPr="00553E4B">
        <w:t>глобализова</w:t>
      </w:r>
      <w:r w:rsidRPr="00553E4B">
        <w:t>н</w:t>
      </w:r>
      <w:r w:rsidRPr="00553E4B">
        <w:t>ном</w:t>
      </w:r>
      <w:proofErr w:type="spellEnd"/>
      <w:r w:rsidRPr="00553E4B">
        <w:t xml:space="preserve"> мире". Этот девиз свидетельствует о том, что от учителей и воспит</w:t>
      </w:r>
      <w:r w:rsidRPr="00553E4B">
        <w:t>а</w:t>
      </w:r>
      <w:r w:rsidRPr="00553E4B">
        <w:t>телей в дневных школах в процессе преподавания и присмотра за детьми ожидается надлежащая компетенция и осведомленность в межкультурных вопр</w:t>
      </w:r>
      <w:r w:rsidRPr="00553E4B">
        <w:t>о</w:t>
      </w:r>
      <w:r w:rsidRPr="00553E4B">
        <w:t xml:space="preserve">сах. </w:t>
      </w:r>
    </w:p>
    <w:p w:rsidR="005D2199" w:rsidRPr="00553E4B" w:rsidRDefault="005D2199" w:rsidP="005D2199">
      <w:pPr>
        <w:pStyle w:val="SingleTxtGR"/>
      </w:pPr>
      <w:r w:rsidRPr="00553E4B">
        <w:t>52.</w:t>
      </w:r>
      <w:r w:rsidRPr="00553E4B">
        <w:tab/>
        <w:t>Кроме того, в традиционных</w:t>
      </w:r>
      <w:r>
        <w:t xml:space="preserve"> общинных</w:t>
      </w:r>
      <w:r w:rsidRPr="00553E4B">
        <w:t xml:space="preserve"> школах дополнительно </w:t>
      </w:r>
      <w:r>
        <w:t>создаю</w:t>
      </w:r>
      <w:r>
        <w:t>т</w:t>
      </w:r>
      <w:r>
        <w:t>ся</w:t>
      </w:r>
      <w:r w:rsidRPr="00553E4B">
        <w:t xml:space="preserve"> дневные группы, в которых дет</w:t>
      </w:r>
      <w:r>
        <w:t>и</w:t>
      </w:r>
      <w:r w:rsidRPr="00553E4B">
        <w:t xml:space="preserve"> из детских садов и школ </w:t>
      </w:r>
      <w:r>
        <w:t xml:space="preserve">получают </w:t>
      </w:r>
      <w:r w:rsidRPr="00553E4B">
        <w:t>уход и присмотр со стороны педагогов и профессиональных воспитателей, в том числе по окончании уроков. Эти группы, организуемые частной Ассоци</w:t>
      </w:r>
      <w:r w:rsidRPr="00553E4B">
        <w:t>а</w:t>
      </w:r>
      <w:r w:rsidRPr="00553E4B">
        <w:t>цией по дневному уходу при совместном финансировании со стороны госуда</w:t>
      </w:r>
      <w:r w:rsidRPr="00553E4B">
        <w:t>р</w:t>
      </w:r>
      <w:r w:rsidRPr="00553E4B">
        <w:t>ства, крайне популярны во всех общинах. Размер оплаты за посещение детьми де</w:t>
      </w:r>
      <w:r w:rsidRPr="00553E4B">
        <w:t>т</w:t>
      </w:r>
      <w:r w:rsidRPr="00553E4B">
        <w:t>ских садов и школ был уменьшен</w:t>
      </w:r>
      <w:r>
        <w:t>,</w:t>
      </w:r>
      <w:r w:rsidRPr="00553E4B">
        <w:t xml:space="preserve"> и, таким образом, взносы родителей за д</w:t>
      </w:r>
      <w:r w:rsidRPr="00553E4B">
        <w:t>е</w:t>
      </w:r>
      <w:r w:rsidRPr="00553E4B">
        <w:t xml:space="preserve">тей при посещении детских садов и школ на 40% меньше оплаты </w:t>
      </w:r>
      <w:r>
        <w:t>услуг по</w:t>
      </w:r>
      <w:r w:rsidRPr="00553E4B">
        <w:t xml:space="preserve"> уход</w:t>
      </w:r>
      <w:r>
        <w:t>у</w:t>
      </w:r>
      <w:r w:rsidRPr="00553E4B">
        <w:t xml:space="preserve"> за младенцами и дошкольниками. Кроме того, возможно посещение на гибких у</w:t>
      </w:r>
      <w:r w:rsidRPr="00553E4B">
        <w:t>с</w:t>
      </w:r>
      <w:r w:rsidRPr="00553E4B">
        <w:t>ловиях групп</w:t>
      </w:r>
      <w:r>
        <w:t xml:space="preserve"> по</w:t>
      </w:r>
      <w:r w:rsidRPr="00553E4B">
        <w:t xml:space="preserve"> уход</w:t>
      </w:r>
      <w:r>
        <w:t>у</w:t>
      </w:r>
      <w:r w:rsidRPr="00553E4B">
        <w:t xml:space="preserve"> в ранние утренние часы, в обеденн</w:t>
      </w:r>
      <w:r>
        <w:t xml:space="preserve">ое время </w:t>
      </w:r>
      <w:r w:rsidRPr="00553E4B">
        <w:t>и во второй половине дня после окончания школьных занятий. Начиная с 2007 года в ра</w:t>
      </w:r>
      <w:r w:rsidRPr="00553E4B">
        <w:t>з</w:t>
      </w:r>
      <w:r w:rsidRPr="00553E4B">
        <w:t>личных центрах дневного ухода осуществляется проект по содействию изуч</w:t>
      </w:r>
      <w:r w:rsidRPr="00553E4B">
        <w:t>е</w:t>
      </w:r>
      <w:r>
        <w:t xml:space="preserve">нию языка под названием "твой </w:t>
      </w:r>
      <w:r w:rsidRPr="00781E7B">
        <w:t>+</w:t>
      </w:r>
      <w:r w:rsidRPr="00553E4B">
        <w:t xml:space="preserve"> мой = наш язык". В среднесрочной перспе</w:t>
      </w:r>
      <w:r w:rsidRPr="00553E4B">
        <w:t>к</w:t>
      </w:r>
      <w:r w:rsidRPr="00553E4B">
        <w:t>тиве этот проект планируется распространить на всю террит</w:t>
      </w:r>
      <w:r w:rsidRPr="00553E4B">
        <w:t>о</w:t>
      </w:r>
      <w:r w:rsidRPr="00553E4B">
        <w:t xml:space="preserve">рию страны. </w:t>
      </w:r>
    </w:p>
    <w:p w:rsidR="005D2199" w:rsidRPr="00553E4B" w:rsidRDefault="005D2199" w:rsidP="005D2199">
      <w:pPr>
        <w:pStyle w:val="SingleTxtGR"/>
      </w:pPr>
      <w:r w:rsidRPr="00553E4B">
        <w:t>53.</w:t>
      </w:r>
      <w:r w:rsidRPr="00553E4B">
        <w:tab/>
        <w:t>Наконец, постепенно расширяются масштабы финансирования системы дневного ухода за детьми. Если в 2000 году в Лихтенштейне имелось только 58</w:t>
      </w:r>
      <w:r>
        <w:t> </w:t>
      </w:r>
      <w:r w:rsidRPr="00553E4B">
        <w:t>мест в центрах дневного ухода, то в 2003 году их вместимость увеличилась до 117 мест, 140 мест в 2005 году и сейчас составляет 143 места. Услуги по дне</w:t>
      </w:r>
      <w:r w:rsidRPr="00553E4B">
        <w:t>в</w:t>
      </w:r>
      <w:r w:rsidRPr="00553E4B">
        <w:t xml:space="preserve">ному уходу в Лихтенштейне отличаются высоким качеством. </w:t>
      </w:r>
    </w:p>
    <w:p w:rsidR="005D2199" w:rsidRPr="00553E4B" w:rsidRDefault="005D2199" w:rsidP="005D2199">
      <w:pPr>
        <w:pStyle w:val="SingleTxtGR"/>
      </w:pPr>
      <w:r w:rsidRPr="00553E4B">
        <w:t>54.</w:t>
      </w:r>
      <w:r w:rsidRPr="00553E4B">
        <w:tab/>
        <w:t xml:space="preserve">Ассоциация за межкультурное образование, </w:t>
      </w:r>
      <w:r>
        <w:t xml:space="preserve">созданная </w:t>
      </w:r>
      <w:r w:rsidRPr="00553E4B">
        <w:t>в 2001 году и п</w:t>
      </w:r>
      <w:r w:rsidRPr="00553E4B">
        <w:t>о</w:t>
      </w:r>
      <w:r w:rsidRPr="00553E4B">
        <w:t xml:space="preserve">лучающая финансовую помощь от правительства, является непартийной, </w:t>
      </w:r>
      <w:proofErr w:type="spellStart"/>
      <w:r w:rsidRPr="00553E4B">
        <w:t>н</w:t>
      </w:r>
      <w:r w:rsidRPr="00553E4B">
        <w:t>е</w:t>
      </w:r>
      <w:r w:rsidRPr="00553E4B">
        <w:t>конфессиональной</w:t>
      </w:r>
      <w:proofErr w:type="spellEnd"/>
      <w:r w:rsidRPr="00553E4B">
        <w:t xml:space="preserve"> благотворительной образовательной организацией, дейс</w:t>
      </w:r>
      <w:r w:rsidRPr="00553E4B">
        <w:t>т</w:t>
      </w:r>
      <w:r w:rsidRPr="00553E4B">
        <w:t>вующей в интересах проживающих в Лихтенштейне людей из различных стран и представляющих различные культуры (</w:t>
      </w:r>
      <w:hyperlink r:id="rId11" w:history="1">
        <w:r w:rsidRPr="00781E7B">
          <w:rPr>
            <w:rStyle w:val="Hyperlink"/>
            <w:u w:val="none"/>
          </w:rPr>
          <w:t>www.vib.li</w:t>
        </w:r>
      </w:hyperlink>
      <w:r w:rsidRPr="00553E4B">
        <w:t>). С 2007 по 2009 год она проводила курсы немецкого языка для матерей и детей, на которых матери о</w:t>
      </w:r>
      <w:r w:rsidRPr="00553E4B">
        <w:t>в</w:t>
      </w:r>
      <w:r w:rsidRPr="00553E4B">
        <w:t>ладевали немецким языком вместе со своими детьми. С 2010 года курс пред</w:t>
      </w:r>
      <w:r w:rsidRPr="00553E4B">
        <w:t>у</w:t>
      </w:r>
      <w:r w:rsidRPr="00553E4B">
        <w:t>сматривает языковые занятия для матерей, а уход за детьми осуществляется о</w:t>
      </w:r>
      <w:r w:rsidRPr="00553E4B">
        <w:t>т</w:t>
      </w:r>
      <w:r w:rsidRPr="00553E4B">
        <w:t xml:space="preserve">дельно. </w:t>
      </w:r>
    </w:p>
    <w:p w:rsidR="005D2199" w:rsidRPr="00553E4B" w:rsidRDefault="005D2199" w:rsidP="005D2199">
      <w:pPr>
        <w:pStyle w:val="SingleTxtGR"/>
      </w:pPr>
      <w:r w:rsidRPr="00553E4B">
        <w:t>55.</w:t>
      </w:r>
      <w:r w:rsidRPr="00553E4B">
        <w:tab/>
        <w:t>В области профессиональной ориентации девиз "</w:t>
      </w:r>
      <w:r>
        <w:t>Выбирай для себя л</w:t>
      </w:r>
      <w:r w:rsidRPr="00553E4B">
        <w:t>ю</w:t>
      </w:r>
      <w:r w:rsidRPr="00553E4B">
        <w:t>б</w:t>
      </w:r>
      <w:r>
        <w:t>ую</w:t>
      </w:r>
      <w:r w:rsidRPr="00553E4B">
        <w:t xml:space="preserve"> карьер</w:t>
      </w:r>
      <w:r>
        <w:t>у</w:t>
      </w:r>
      <w:r w:rsidRPr="00553E4B">
        <w:t>" неизменно сопровождает информацию, предлагаемую на ознак</w:t>
      </w:r>
      <w:r w:rsidRPr="00553E4B">
        <w:t>о</w:t>
      </w:r>
      <w:r w:rsidRPr="00553E4B">
        <w:t>мительных встречах для родителей и учащихся, вводных занятиях в Центре</w:t>
      </w:r>
      <w:r>
        <w:t xml:space="preserve"> профессиональной</w:t>
      </w:r>
      <w:r w:rsidRPr="00553E4B">
        <w:t xml:space="preserve"> информации и на семинарах для выпускников средних школ, выбирающих, куда пойти работать или учиться. </w:t>
      </w:r>
    </w:p>
    <w:p w:rsidR="005D2199" w:rsidRDefault="005D2199" w:rsidP="005D2199">
      <w:pPr>
        <w:pStyle w:val="H1GR"/>
      </w:pPr>
      <w:bookmarkStart w:id="13" w:name="_Toc174467036"/>
      <w:bookmarkStart w:id="14" w:name="_Toc302400171"/>
      <w:r>
        <w:tab/>
      </w:r>
      <w:r>
        <w:tab/>
      </w:r>
      <w:r w:rsidRPr="00553E4B">
        <w:t>Статья 7</w:t>
      </w:r>
      <w:r w:rsidR="001A44E9">
        <w:br/>
      </w:r>
      <w:r w:rsidRPr="00553E4B">
        <w:t>Меры в областях преподавания, воспитания, культуры и</w:t>
      </w:r>
      <w:r w:rsidR="001A44E9">
        <w:t> </w:t>
      </w:r>
      <w:r w:rsidRPr="00553E4B">
        <w:t>информации</w:t>
      </w:r>
      <w:r>
        <w:t>, направленные на</w:t>
      </w:r>
      <w:r w:rsidRPr="00553E4B">
        <w:t xml:space="preserve"> борьб</w:t>
      </w:r>
      <w:r>
        <w:t>у</w:t>
      </w:r>
      <w:r w:rsidRPr="00553E4B">
        <w:t xml:space="preserve"> с</w:t>
      </w:r>
      <w:r w:rsidR="001A44E9">
        <w:t xml:space="preserve"> </w:t>
      </w:r>
      <w:r w:rsidRPr="00553E4B">
        <w:t>предрассудками и</w:t>
      </w:r>
      <w:r w:rsidR="001A44E9">
        <w:t> </w:t>
      </w:r>
      <w:r w:rsidRPr="00553E4B">
        <w:t>расовой дискриминаци</w:t>
      </w:r>
      <w:r w:rsidR="00E74F5D">
        <w:t>ей,</w:t>
      </w:r>
      <w:r w:rsidRPr="00553E4B">
        <w:t xml:space="preserve"> и</w:t>
      </w:r>
      <w:r>
        <w:t xml:space="preserve"> в целях</w:t>
      </w:r>
      <w:r w:rsidRPr="00553E4B">
        <w:t xml:space="preserve"> поощрения взаимопонимания и дружбы и популяризации Всеобщей декларации прав человека и Конвенции </w:t>
      </w:r>
      <w:bookmarkEnd w:id="13"/>
      <w:bookmarkEnd w:id="14"/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1A44E9" w:rsidTr="001A44E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1A44E9" w:rsidRDefault="001A44E9" w:rsidP="001A44E9">
            <w:pPr>
              <w:spacing w:line="240" w:lineRule="auto"/>
              <w:rPr>
                <w:lang w:eastAsia="ru-RU"/>
              </w:rPr>
            </w:pPr>
          </w:p>
        </w:tc>
      </w:tr>
      <w:tr w:rsidR="001A44E9" w:rsidTr="001A4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1A44E9" w:rsidRDefault="001A44E9" w:rsidP="001A44E9">
            <w:pPr>
              <w:spacing w:after="120"/>
              <w:jc w:val="both"/>
              <w:rPr>
                <w:lang w:eastAsia="ru-RU"/>
              </w:rPr>
            </w:pPr>
            <w:r w:rsidRPr="00553E4B">
              <w:t>Рекомендация</w:t>
            </w:r>
            <w:r w:rsidRPr="00553E4B">
              <w:rPr>
                <w:lang w:val="en-US"/>
              </w:rPr>
              <w:t xml:space="preserve"> </w:t>
            </w:r>
            <w:r w:rsidRPr="00553E4B">
              <w:t>КЛРД</w:t>
            </w:r>
            <w:r w:rsidRPr="00553E4B">
              <w:rPr>
                <w:lang w:val="en-US"/>
              </w:rPr>
              <w:t xml:space="preserve"> № 2</w:t>
            </w:r>
            <w:r>
              <w:t>3</w:t>
            </w:r>
            <w:r w:rsidRPr="00553E4B">
              <w:rPr>
                <w:lang w:val="en-US"/>
              </w:rPr>
              <w:t>:</w:t>
            </w:r>
          </w:p>
        </w:tc>
      </w:tr>
      <w:tr w:rsidR="001A44E9" w:rsidTr="001A4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1A44E9" w:rsidRDefault="001A44E9" w:rsidP="001A44E9">
            <w:pPr>
              <w:spacing w:after="120"/>
              <w:jc w:val="both"/>
              <w:rPr>
                <w:lang w:eastAsia="ru-RU"/>
              </w:rPr>
            </w:pPr>
            <w:r>
              <w:tab/>
            </w:r>
            <w:r w:rsidRPr="00553E4B">
              <w:t>Комитет рекомендует государству-участнику продолжать принимать во вним</w:t>
            </w:r>
            <w:r w:rsidRPr="00553E4B">
              <w:t>а</w:t>
            </w:r>
            <w:r w:rsidRPr="00553E4B">
              <w:t xml:space="preserve">ние соответствующие положения </w:t>
            </w:r>
            <w:proofErr w:type="spellStart"/>
            <w:r w:rsidRPr="00553E4B">
              <w:t>Дурбанской</w:t>
            </w:r>
            <w:proofErr w:type="spellEnd"/>
            <w:r w:rsidRPr="00553E4B">
              <w:t xml:space="preserve"> декларации и Программы действий при осуществлении Конвенции в рамках внутреннего права, в частн</w:t>
            </w:r>
            <w:r w:rsidRPr="00553E4B">
              <w:t>о</w:t>
            </w:r>
            <w:r w:rsidRPr="00553E4B">
              <w:t>сти статей 2</w:t>
            </w:r>
            <w:r>
              <w:t>−</w:t>
            </w:r>
            <w:r w:rsidRPr="00553E4B">
              <w:t xml:space="preserve">7 Конвенции, и включить в </w:t>
            </w:r>
            <w:r>
              <w:t>свой</w:t>
            </w:r>
            <w:r w:rsidRPr="00553E4B">
              <w:t xml:space="preserve"> следующий периодический до</w:t>
            </w:r>
            <w:r w:rsidRPr="00553E4B">
              <w:t>к</w:t>
            </w:r>
            <w:r w:rsidRPr="00553E4B">
              <w:t xml:space="preserve">лад информацию о планируемых последующих действиях или иных мерах, принимаемых в целях осуществления </w:t>
            </w:r>
            <w:proofErr w:type="spellStart"/>
            <w:r w:rsidRPr="00553E4B">
              <w:t>Дурбанской</w:t>
            </w:r>
            <w:proofErr w:type="spellEnd"/>
            <w:r w:rsidRPr="00553E4B">
              <w:t xml:space="preserve"> декларации и Программы дейс</w:t>
            </w:r>
            <w:r w:rsidRPr="00553E4B">
              <w:t>т</w:t>
            </w:r>
            <w:r w:rsidRPr="00553E4B">
              <w:t>вий на национальном уровне.</w:t>
            </w:r>
          </w:p>
        </w:tc>
      </w:tr>
      <w:tr w:rsidR="001A44E9" w:rsidTr="001A44E9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1A44E9" w:rsidRDefault="001A44E9" w:rsidP="001A44E9">
            <w:pPr>
              <w:spacing w:line="240" w:lineRule="auto"/>
              <w:rPr>
                <w:lang w:eastAsia="ru-RU"/>
              </w:rPr>
            </w:pPr>
          </w:p>
        </w:tc>
      </w:tr>
    </w:tbl>
    <w:p w:rsidR="005D2199" w:rsidRPr="00A84D83" w:rsidRDefault="005D2199" w:rsidP="006C0ECF">
      <w:pPr>
        <w:pStyle w:val="SingleTxtGR"/>
        <w:spacing w:before="240"/>
      </w:pPr>
      <w:r w:rsidRPr="00A84D83">
        <w:t>56.</w:t>
      </w:r>
      <w:r w:rsidRPr="00A84D83">
        <w:tab/>
        <w:t>Национальная Рабочая группа против расизма, антисемитизма и ксен</w:t>
      </w:r>
      <w:r w:rsidRPr="00A84D83">
        <w:t>о</w:t>
      </w:r>
      <w:r w:rsidRPr="00A84D83">
        <w:t>фобии (РГР), которая существовала с 2002 по 2007 год, подготовила Наци</w:t>
      </w:r>
      <w:r w:rsidRPr="00A84D83">
        <w:t>о</w:t>
      </w:r>
      <w:r w:rsidRPr="00A84D83">
        <w:t xml:space="preserve">нальный план действий по осуществлению </w:t>
      </w:r>
      <w:proofErr w:type="spellStart"/>
      <w:r w:rsidRPr="00A84D83">
        <w:t>Дурбанской</w:t>
      </w:r>
      <w:proofErr w:type="spellEnd"/>
      <w:r w:rsidRPr="00A84D83">
        <w:t xml:space="preserve"> декларации и Програ</w:t>
      </w:r>
      <w:r w:rsidRPr="00A84D83">
        <w:t>м</w:t>
      </w:r>
      <w:r w:rsidRPr="00A84D83">
        <w:t xml:space="preserve">мы действий. В рамках </w:t>
      </w:r>
      <w:r>
        <w:t xml:space="preserve">этого </w:t>
      </w:r>
      <w:r w:rsidRPr="00A84D83">
        <w:t xml:space="preserve">Плана действий были приняты различные меры, в частности по повышению уровня осведомленности и содействию интеграции иностранцев. </w:t>
      </w:r>
    </w:p>
    <w:p w:rsidR="005D2199" w:rsidRPr="00A84D83" w:rsidRDefault="005D2199" w:rsidP="005D2199">
      <w:pPr>
        <w:pStyle w:val="SingleTxtGR"/>
      </w:pPr>
      <w:r w:rsidRPr="00A84D83">
        <w:t>57.</w:t>
      </w:r>
      <w:r w:rsidRPr="00A84D83">
        <w:tab/>
        <w:t>В 2007 году мандат РГР был передан государственному органу, а именно Управлению по обеспечению равных возможностей. При передаче своего ма</w:t>
      </w:r>
      <w:r w:rsidRPr="00A84D83">
        <w:t>н</w:t>
      </w:r>
      <w:r w:rsidRPr="00A84D83">
        <w:t>дата этому</w:t>
      </w:r>
      <w:r>
        <w:t xml:space="preserve"> У</w:t>
      </w:r>
      <w:r w:rsidRPr="00A84D83">
        <w:t>правлению РГР определила две о</w:t>
      </w:r>
      <w:r w:rsidRPr="00A84D83">
        <w:t>б</w:t>
      </w:r>
      <w:r w:rsidRPr="00A84D83">
        <w:t xml:space="preserve">ласти, требующие долгосрочных действий: </w:t>
      </w:r>
      <w:proofErr w:type="spellStart"/>
      <w:r w:rsidRPr="00A84D83">
        <w:t>a</w:t>
      </w:r>
      <w:proofErr w:type="spellEnd"/>
      <w:r w:rsidRPr="00A84D83">
        <w:t>) постоянный сбор дезагрегированных данных в целях выявления возможной дискриминации по смыслу статьи 1 МКЛРД (см. примечания в ра</w:t>
      </w:r>
      <w:r w:rsidRPr="00A84D83">
        <w:t>з</w:t>
      </w:r>
      <w:r w:rsidRPr="00A84D83">
        <w:t xml:space="preserve">деле, посвященном статье 2); и </w:t>
      </w:r>
      <w:proofErr w:type="spellStart"/>
      <w:r w:rsidRPr="00A84D83">
        <w:t>b</w:t>
      </w:r>
      <w:proofErr w:type="spellEnd"/>
      <w:r w:rsidRPr="00A84D83">
        <w:t>) комплексная стратегия интеграции иностра</w:t>
      </w:r>
      <w:r w:rsidRPr="00A84D83">
        <w:t>н</w:t>
      </w:r>
      <w:r w:rsidRPr="00A84D83">
        <w:t>цев в Лихтенштейне. Завершая свою де</w:t>
      </w:r>
      <w:r w:rsidRPr="00A84D83">
        <w:t>я</w:t>
      </w:r>
      <w:r w:rsidRPr="00A84D83">
        <w:t>тельность, РГР в августе 2007 год</w:t>
      </w:r>
      <w:r>
        <w:t>а</w:t>
      </w:r>
      <w:r w:rsidRPr="00A84D83">
        <w:t xml:space="preserve"> опубликовала исследование, озаглавленное "Интеграция иностранного насел</w:t>
      </w:r>
      <w:r w:rsidRPr="00A84D83">
        <w:t>е</w:t>
      </w:r>
      <w:r w:rsidRPr="00A84D83">
        <w:t>ния в Лихтенштейне. Доклад о положении дел с изложением фактов, причин, мер и рекоме</w:t>
      </w:r>
      <w:r w:rsidRPr="00A84D83">
        <w:t>н</w:t>
      </w:r>
      <w:r w:rsidRPr="00A84D83">
        <w:t>даций по мерам политики интеграции (Доклад об интеграции)"</w:t>
      </w:r>
      <w:r w:rsidRPr="00024652">
        <w:rPr>
          <w:sz w:val="18"/>
          <w:szCs w:val="18"/>
          <w:vertAlign w:val="superscript"/>
        </w:rPr>
        <w:footnoteReference w:id="41"/>
      </w:r>
      <w:r>
        <w:t>.</w:t>
      </w:r>
      <w:r w:rsidRPr="00A84D83">
        <w:t xml:space="preserve"> </w:t>
      </w:r>
    </w:p>
    <w:p w:rsidR="005D2199" w:rsidRPr="00A84D83" w:rsidRDefault="005D2199" w:rsidP="005D2199">
      <w:pPr>
        <w:pStyle w:val="SingleTxtGR"/>
      </w:pPr>
      <w:r w:rsidRPr="00A84D83">
        <w:t>58.</w:t>
      </w:r>
      <w:r w:rsidRPr="00A84D83">
        <w:tab/>
        <w:t>В сотрудничестве с Платформой ассоциаций иностранцев Управление по обеспечению равных возможностей в 2007 году провело кампанию в прессе, направленную на уменьшение масштабов предвзятого отношения к иностра</w:t>
      </w:r>
      <w:r w:rsidRPr="00A84D83">
        <w:t>н</w:t>
      </w:r>
      <w:r w:rsidRPr="00A84D83">
        <w:t>цам. На конференции, организованной Управлением по обеспечению равных возможностей в ноябре 2007 года, в Лихтенштейне впервые публично обсужд</w:t>
      </w:r>
      <w:r w:rsidRPr="00A84D83">
        <w:t>а</w:t>
      </w:r>
      <w:r w:rsidRPr="00A84D83">
        <w:t>лась тема управления многообразием. К кон</w:t>
      </w:r>
      <w:r>
        <w:t xml:space="preserve">ференции была издана брошюра, в которой были изложены </w:t>
      </w:r>
      <w:r w:rsidRPr="00A84D83">
        <w:t>практические шаги, информация о законодательной б</w:t>
      </w:r>
      <w:r w:rsidRPr="00A84D83">
        <w:t>а</w:t>
      </w:r>
      <w:r w:rsidRPr="00A84D83">
        <w:t>зе, указаны адреса учреждений для обращений и консультаций и описаны пр</w:t>
      </w:r>
      <w:r w:rsidRPr="00A84D83">
        <w:t>и</w:t>
      </w:r>
      <w:r w:rsidRPr="00A84D83">
        <w:t xml:space="preserve">меры наилучшей практики. Дальнейшие меры, </w:t>
      </w:r>
      <w:r>
        <w:t xml:space="preserve">например присуждение </w:t>
      </w:r>
      <w:r w:rsidRPr="00A84D83">
        <w:t>в п</w:t>
      </w:r>
      <w:r w:rsidRPr="00A84D83">
        <w:t>о</w:t>
      </w:r>
      <w:r w:rsidRPr="00A84D83">
        <w:t>следние годы преми</w:t>
      </w:r>
      <w:r>
        <w:t>й</w:t>
      </w:r>
      <w:r w:rsidRPr="00A84D83">
        <w:t xml:space="preserve"> за успехи в </w:t>
      </w:r>
      <w:r>
        <w:t xml:space="preserve">деле </w:t>
      </w:r>
      <w:r w:rsidRPr="00A84D83">
        <w:t>обеспечени</w:t>
      </w:r>
      <w:r>
        <w:t>я</w:t>
      </w:r>
      <w:r w:rsidRPr="00A84D83">
        <w:t xml:space="preserve"> равных возможностей в знак признания проектов в области межкультурного сотрудничества и интегр</w:t>
      </w:r>
      <w:r w:rsidRPr="00A84D83">
        <w:t>а</w:t>
      </w:r>
      <w:r w:rsidRPr="00A84D83">
        <w:t>ции, а также межкультурные меропри</w:t>
      </w:r>
      <w:r w:rsidRPr="00A84D83">
        <w:t>я</w:t>
      </w:r>
      <w:r w:rsidRPr="00A84D83">
        <w:t>тия в общинах и школах и представление "Межкультурной библиотеки"</w:t>
      </w:r>
      <w:r w:rsidR="006C0ECF">
        <w:t>,</w:t>
      </w:r>
      <w:r w:rsidRPr="00A84D83">
        <w:t xml:space="preserve"> вносят свой вклад в повышение уровня осв</w:t>
      </w:r>
      <w:r w:rsidRPr="00A84D83">
        <w:t>е</w:t>
      </w:r>
      <w:r w:rsidRPr="00A84D83">
        <w:t>домленности</w:t>
      </w:r>
      <w:r>
        <w:t xml:space="preserve"> населения</w:t>
      </w:r>
      <w:r w:rsidRPr="00A84D83">
        <w:t xml:space="preserve">. </w:t>
      </w:r>
    </w:p>
    <w:p w:rsidR="005D2199" w:rsidRPr="00A84D83" w:rsidRDefault="005D2199" w:rsidP="005D2199">
      <w:pPr>
        <w:pStyle w:val="SingleTxtGR"/>
      </w:pPr>
      <w:r w:rsidRPr="00A84D83">
        <w:t>59.</w:t>
      </w:r>
      <w:r w:rsidRPr="00A84D83">
        <w:tab/>
        <w:t xml:space="preserve">В 2008 и 2009 годах в ходе пересмотра Закона о гражданстве, Закона об иностранцах и Закона о свободном передвижении лиц </w:t>
      </w:r>
      <w:r>
        <w:t xml:space="preserve">задача </w:t>
      </w:r>
      <w:r w:rsidRPr="00A84D83">
        <w:t>интеграци</w:t>
      </w:r>
      <w:r>
        <w:t>и</w:t>
      </w:r>
      <w:r w:rsidRPr="00A84D83">
        <w:t xml:space="preserve"> ин</w:t>
      </w:r>
      <w:r w:rsidRPr="00A84D83">
        <w:t>о</w:t>
      </w:r>
      <w:r w:rsidRPr="00A84D83">
        <w:t>странного населения была впервые сформулирована в качестве конкретной ц</w:t>
      </w:r>
      <w:r w:rsidRPr="00A84D83">
        <w:t>е</w:t>
      </w:r>
      <w:r w:rsidRPr="00A84D83">
        <w:t xml:space="preserve">ли и отражена в законодательстве. "Интеграция понимается не как </w:t>
      </w:r>
      <w:r>
        <w:t xml:space="preserve">адаптация </w:t>
      </w:r>
      <w:r w:rsidRPr="00A84D83">
        <w:t xml:space="preserve">меньшинств к </w:t>
      </w:r>
      <w:r>
        <w:t xml:space="preserve">подавляющему </w:t>
      </w:r>
      <w:r w:rsidRPr="00A84D83">
        <w:t xml:space="preserve">большинству (ассимиляция), </w:t>
      </w:r>
      <w:r>
        <w:t>а</w:t>
      </w:r>
      <w:r w:rsidRPr="00A84D83">
        <w:t xml:space="preserve"> скорее как взаи</w:t>
      </w:r>
      <w:r w:rsidRPr="00A84D83">
        <w:t>м</w:t>
      </w:r>
      <w:r w:rsidRPr="00A84D83">
        <w:t>ный и обоюдный процесс "поощрени</w:t>
      </w:r>
      <w:r>
        <w:t>я</w:t>
      </w:r>
      <w:r w:rsidRPr="00A84D83">
        <w:t xml:space="preserve"> и спрос</w:t>
      </w:r>
      <w:r>
        <w:t>а</w:t>
      </w:r>
      <w:r w:rsidRPr="00A84D83">
        <w:t>", в ходе которого существу</w:t>
      </w:r>
      <w:r w:rsidRPr="00A84D83">
        <w:t>ю</w:t>
      </w:r>
      <w:r w:rsidRPr="00A84D83">
        <w:t xml:space="preserve">щие различия признаются и используются в целях безусловного обогащения жизни общества". </w:t>
      </w:r>
    </w:p>
    <w:p w:rsidR="005D2199" w:rsidRPr="00A84D83" w:rsidRDefault="005D2199" w:rsidP="005D2199">
      <w:pPr>
        <w:pStyle w:val="SingleTxtGR"/>
      </w:pPr>
      <w:r w:rsidRPr="00A84D83">
        <w:t>60.</w:t>
      </w:r>
      <w:r w:rsidRPr="00A84D83">
        <w:tab/>
        <w:t>В ходе пересмотра законодательства в структуре Управления по имм</w:t>
      </w:r>
      <w:r w:rsidRPr="00A84D83">
        <w:t>и</w:t>
      </w:r>
      <w:r w:rsidRPr="00A84D83">
        <w:t>грации и паспортизации с 1 сентября 2008 года была введена должность упо</w:t>
      </w:r>
      <w:r w:rsidRPr="00A84D83">
        <w:t>л</w:t>
      </w:r>
      <w:r w:rsidRPr="00A84D83">
        <w:t xml:space="preserve">номоченного по вопросам интеграции. В </w:t>
      </w:r>
      <w:r>
        <w:t xml:space="preserve">его </w:t>
      </w:r>
      <w:r w:rsidRPr="00A84D83">
        <w:t>основные обязанности входят и</w:t>
      </w:r>
      <w:r w:rsidRPr="00A84D83">
        <w:t>н</w:t>
      </w:r>
      <w:r w:rsidRPr="00A84D83">
        <w:t>формирование и консультирование, заключение и обеспечение выполнения и</w:t>
      </w:r>
      <w:r w:rsidRPr="00A84D83">
        <w:t>н</w:t>
      </w:r>
      <w:r w:rsidRPr="00A84D83">
        <w:t>дивидуальных соглашений об интеграции и организация сетевого взаимодейс</w:t>
      </w:r>
      <w:r w:rsidRPr="00A84D83">
        <w:t>т</w:t>
      </w:r>
      <w:r w:rsidRPr="00A84D83">
        <w:t xml:space="preserve">вия всех затрагиваемых сторон. Уполномоченный по вопросам интеграции </w:t>
      </w:r>
      <w:r>
        <w:t>о</w:t>
      </w:r>
      <w:r>
        <w:t>д</w:t>
      </w:r>
      <w:r>
        <w:t xml:space="preserve">новременно </w:t>
      </w:r>
      <w:r w:rsidRPr="00A84D83">
        <w:t>является председателем Комиссии по вопросам интеграции, кот</w:t>
      </w:r>
      <w:r w:rsidRPr="00A84D83">
        <w:t>о</w:t>
      </w:r>
      <w:r w:rsidRPr="00A84D83">
        <w:t>рая была учреждена в 2009 году. Комиссия разрабатывает стратегии и подходы, направленные на содействие интеграции. Она консультирует правительство и может готовить для него рекоменд</w:t>
      </w:r>
      <w:r w:rsidRPr="00A84D83">
        <w:t>а</w:t>
      </w:r>
      <w:r w:rsidRPr="00A84D83">
        <w:t xml:space="preserve">ции. </w:t>
      </w:r>
    </w:p>
    <w:p w:rsidR="005D2199" w:rsidRPr="00A84D83" w:rsidRDefault="005D2199" w:rsidP="005D2199">
      <w:pPr>
        <w:pStyle w:val="SingleTxtGR"/>
      </w:pPr>
      <w:r w:rsidRPr="00A84D83">
        <w:t>61.</w:t>
      </w:r>
      <w:r w:rsidRPr="00A84D83">
        <w:tab/>
        <w:t>Все лица</w:t>
      </w:r>
      <w:r>
        <w:t>, проживающие</w:t>
      </w:r>
      <w:r w:rsidRPr="00A84D83">
        <w:t xml:space="preserve"> в Лихтенштейне, п</w:t>
      </w:r>
      <w:r>
        <w:t xml:space="preserve">олучают </w:t>
      </w:r>
      <w:r w:rsidRPr="00A84D83">
        <w:t>равное обращение с точки зрения их прав и обязанностей, независимо от их происхождения, языка, культуры или религии. Государственные школы</w:t>
      </w:r>
      <w:r>
        <w:t>,</w:t>
      </w:r>
      <w:r w:rsidRPr="00A84D83">
        <w:t xml:space="preserve"> социальные и экономические льготы и пособия, а также государственные пос</w:t>
      </w:r>
      <w:r w:rsidRPr="00A84D83">
        <w:t>о</w:t>
      </w:r>
      <w:r w:rsidRPr="00A84D83">
        <w:t>бия в области здравоохранения предоставляются на равных условиях всем лицам, проживающим в Лихте</w:t>
      </w:r>
      <w:r w:rsidRPr="00A84D83">
        <w:t>н</w:t>
      </w:r>
      <w:r w:rsidRPr="00A84D83">
        <w:t>штейне. Ис</w:t>
      </w:r>
      <w:r>
        <w:t>ключением из этого правила являю</w:t>
      </w:r>
      <w:r w:rsidRPr="00A84D83">
        <w:t>тся политически</w:t>
      </w:r>
      <w:r>
        <w:t>е</w:t>
      </w:r>
      <w:r w:rsidRPr="00A84D83">
        <w:t xml:space="preserve"> права, </w:t>
      </w:r>
      <w:r>
        <w:t>осущ</w:t>
      </w:r>
      <w:r>
        <w:t>е</w:t>
      </w:r>
      <w:r>
        <w:t xml:space="preserve">ствлять которые могут только </w:t>
      </w:r>
      <w:r w:rsidRPr="00A84D83">
        <w:t>граждан</w:t>
      </w:r>
      <w:r>
        <w:t>е</w:t>
      </w:r>
      <w:r w:rsidRPr="00A84D83">
        <w:t xml:space="preserve"> Лихтенштейна и </w:t>
      </w:r>
      <w:r>
        <w:t xml:space="preserve">постоянно </w:t>
      </w:r>
      <w:r w:rsidRPr="00A84D83">
        <w:t>прожива</w:t>
      </w:r>
      <w:r>
        <w:t>ю</w:t>
      </w:r>
      <w:r>
        <w:t xml:space="preserve">щие </w:t>
      </w:r>
      <w:r w:rsidRPr="00A84D83">
        <w:t>в Лихтенштейне</w:t>
      </w:r>
      <w:r>
        <w:t xml:space="preserve"> лица</w:t>
      </w:r>
      <w:r w:rsidRPr="00A84D83">
        <w:t>. Граждане Лихтенштейна, проживающие за рубежом, также не могут пользоваться этими политическими пр</w:t>
      </w:r>
      <w:r w:rsidRPr="00A84D83">
        <w:t>а</w:t>
      </w:r>
      <w:r w:rsidRPr="00A84D83">
        <w:t>вам</w:t>
      </w:r>
      <w:r>
        <w:t>и</w:t>
      </w:r>
      <w:r w:rsidRPr="00024652">
        <w:rPr>
          <w:sz w:val="18"/>
          <w:szCs w:val="18"/>
          <w:vertAlign w:val="superscript"/>
        </w:rPr>
        <w:footnoteReference w:id="42"/>
      </w:r>
      <w:r>
        <w:t>.</w:t>
      </w:r>
      <w:r w:rsidRPr="00A84D83">
        <w:rPr>
          <w:vertAlign w:val="superscript"/>
        </w:rPr>
        <w:t xml:space="preserve"> </w:t>
      </w:r>
    </w:p>
    <w:p w:rsidR="005D2199" w:rsidRPr="00A84D83" w:rsidRDefault="005D2199" w:rsidP="005D2199">
      <w:pPr>
        <w:pStyle w:val="SingleTxtGR"/>
      </w:pPr>
      <w:r w:rsidRPr="00A84D83">
        <w:t>62.</w:t>
      </w:r>
      <w:r w:rsidRPr="00A84D83">
        <w:tab/>
        <w:t>Если в концепции интеграции конкретно сформулированы элементы "п</w:t>
      </w:r>
      <w:r w:rsidRPr="00A84D83">
        <w:t>о</w:t>
      </w:r>
      <w:r w:rsidRPr="00A84D83">
        <w:t>ощрения" (см. ниже), то индивидуальные соглашения об интеграции требуют от мигрантов овладения языком и приобретения знаний об устройстве и функци</w:t>
      </w:r>
      <w:r w:rsidRPr="00A84D83">
        <w:t>о</w:t>
      </w:r>
      <w:r w:rsidRPr="00A84D83">
        <w:t>нировании государства. Знания в этих областях являются условием для получ</w:t>
      </w:r>
      <w:r w:rsidRPr="00A84D83">
        <w:t>е</w:t>
      </w:r>
      <w:r w:rsidRPr="00A84D83">
        <w:t>ния видо</w:t>
      </w:r>
      <w:r>
        <w:t>в на жительства, разрешений на проживание</w:t>
      </w:r>
      <w:r w:rsidRPr="00A84D83">
        <w:t xml:space="preserve"> и гражданства. </w:t>
      </w:r>
    </w:p>
    <w:p w:rsidR="005D2199" w:rsidRPr="00A84D83" w:rsidRDefault="005D2199" w:rsidP="005D2199">
      <w:pPr>
        <w:pStyle w:val="SingleTxtGR"/>
      </w:pPr>
      <w:r w:rsidRPr="00A84D83">
        <w:t>63.</w:t>
      </w:r>
      <w:r w:rsidRPr="00A84D83">
        <w:tab/>
        <w:t>В марте 2011 года правительство представило общественности свою ко</w:t>
      </w:r>
      <w:r w:rsidRPr="00A84D83">
        <w:t>н</w:t>
      </w:r>
      <w:r w:rsidRPr="00A84D83">
        <w:t>цепцию интеграции, озаглавленную "Сила через многообразие", а также сопр</w:t>
      </w:r>
      <w:r w:rsidRPr="00A84D83">
        <w:t>о</w:t>
      </w:r>
      <w:r w:rsidRPr="00A84D83">
        <w:t xml:space="preserve">вождающий ее план мер. В </w:t>
      </w:r>
      <w:r>
        <w:t xml:space="preserve">данной </w:t>
      </w:r>
      <w:r w:rsidRPr="00A84D83">
        <w:t>концепции отмечается, что н</w:t>
      </w:r>
      <w:r w:rsidRPr="00A84D83">
        <w:t>а</w:t>
      </w:r>
      <w:r w:rsidRPr="00A84D83">
        <w:t>чи</w:t>
      </w:r>
      <w:r>
        <w:t>ная с 1960-х</w:t>
      </w:r>
      <w:r w:rsidR="006C0ECF">
        <w:t xml:space="preserve"> </w:t>
      </w:r>
      <w:r w:rsidRPr="00A84D83">
        <w:t>годов</w:t>
      </w:r>
      <w:r w:rsidRPr="00F5381F">
        <w:t xml:space="preserve"> </w:t>
      </w:r>
      <w:r w:rsidRPr="00A84D83">
        <w:t>Лихтенштейн</w:t>
      </w:r>
      <w:r>
        <w:t xml:space="preserve"> превратился в </w:t>
      </w:r>
      <w:r w:rsidRPr="00A84D83">
        <w:t>стран</w:t>
      </w:r>
      <w:r>
        <w:t>у</w:t>
      </w:r>
      <w:r w:rsidRPr="00A84D83">
        <w:t xml:space="preserve"> иммиграции и что как страна и как место размещени</w:t>
      </w:r>
      <w:r>
        <w:t xml:space="preserve">я коммерческих предприятий он </w:t>
      </w:r>
      <w:r w:rsidRPr="00A84D83">
        <w:t xml:space="preserve">уже </w:t>
      </w:r>
      <w:r>
        <w:t xml:space="preserve">зависит </w:t>
      </w:r>
      <w:r w:rsidRPr="00A84D83">
        <w:t>и будет в буд</w:t>
      </w:r>
      <w:r w:rsidRPr="00A84D83">
        <w:t>у</w:t>
      </w:r>
      <w:r w:rsidRPr="00A84D83">
        <w:t xml:space="preserve">щем </w:t>
      </w:r>
      <w:r>
        <w:t>зависеть от</w:t>
      </w:r>
      <w:r w:rsidRPr="00A84D83">
        <w:t xml:space="preserve"> миграции. Все лица, проживающие в Лихтенштейне, должны иметь возможность участвовать в экономической, социальной и кул</w:t>
      </w:r>
      <w:r w:rsidRPr="00A84D83">
        <w:t>ь</w:t>
      </w:r>
      <w:r w:rsidRPr="00A84D83">
        <w:t>турной жизни общества. Данные соображения служат предпосылкой для осно</w:t>
      </w:r>
      <w:r w:rsidRPr="00A84D83">
        <w:t>в</w:t>
      </w:r>
      <w:r w:rsidRPr="00A84D83">
        <w:t>ных принципов концепции, которые подчинены задаче использования потенциала миграции, поощрения культурного и лингвистического многообразия, а также определения путей развития страны на основе общности самосознания и с</w:t>
      </w:r>
      <w:r w:rsidRPr="00A84D83">
        <w:t>о</w:t>
      </w:r>
      <w:r w:rsidRPr="00A84D83">
        <w:t>вместной о</w:t>
      </w:r>
      <w:r w:rsidRPr="00A84D83">
        <w:t>т</w:t>
      </w:r>
      <w:r w:rsidRPr="00A84D83">
        <w:t xml:space="preserve">ветственности в долгосрочной перспективе. </w:t>
      </w:r>
    </w:p>
    <w:p w:rsidR="005D2199" w:rsidRPr="00A84D83" w:rsidRDefault="005D2199" w:rsidP="005D2199">
      <w:pPr>
        <w:pStyle w:val="SingleTxtGR"/>
      </w:pPr>
      <w:r w:rsidRPr="00A84D83">
        <w:t>64.</w:t>
      </w:r>
      <w:r w:rsidRPr="00A84D83">
        <w:tab/>
        <w:t>Сразу после опубликования</w:t>
      </w:r>
      <w:r w:rsidRPr="00425D6E">
        <w:t xml:space="preserve"> </w:t>
      </w:r>
      <w:r>
        <w:t>вышеуказанной</w:t>
      </w:r>
      <w:r w:rsidRPr="00A84D83">
        <w:t xml:space="preserve"> концепции общественность была проинформирована об ее </w:t>
      </w:r>
      <w:r>
        <w:t xml:space="preserve">основных </w:t>
      </w:r>
      <w:r w:rsidRPr="00A84D83">
        <w:t xml:space="preserve">темах путем проведения кампании и серии лекций. В июне 2011 года состоялось первое совещание по </w:t>
      </w:r>
      <w:r>
        <w:t xml:space="preserve">вопросам </w:t>
      </w:r>
      <w:r w:rsidRPr="00A84D83">
        <w:t>и</w:t>
      </w:r>
      <w:r w:rsidRPr="00A84D83">
        <w:t>н</w:t>
      </w:r>
      <w:r w:rsidRPr="00A84D83">
        <w:t>теграции с участием правительства, государственных структур, ассоциаций иностранцев и других неправительственных организаций и заинтересованных членов гражданского общества. Наконец, была создана интерактивная онлайн</w:t>
      </w:r>
      <w:r w:rsidRPr="00A84D83">
        <w:t>о</w:t>
      </w:r>
      <w:r w:rsidRPr="00A84D83">
        <w:t>вая платформа, п</w:t>
      </w:r>
      <w:r w:rsidRPr="00A84D83">
        <w:t>о</w:t>
      </w:r>
      <w:r w:rsidRPr="00A84D83">
        <w:t>священная теме интеграции</w:t>
      </w:r>
      <w:r>
        <w:t xml:space="preserve"> − </w:t>
      </w:r>
      <w:hyperlink r:id="rId12" w:history="1">
        <w:r w:rsidRPr="00F5381F">
          <w:rPr>
            <w:rStyle w:val="Hyperlink"/>
            <w:u w:val="none"/>
          </w:rPr>
          <w:t>www.integration.li</w:t>
        </w:r>
      </w:hyperlink>
      <w:r w:rsidRPr="00F5381F">
        <w:t>.</w:t>
      </w:r>
    </w:p>
    <w:p w:rsidR="005D2199" w:rsidRPr="00A84D83" w:rsidRDefault="005D2199" w:rsidP="005D2199">
      <w:pPr>
        <w:pStyle w:val="SingleTxtGR"/>
      </w:pPr>
      <w:r w:rsidRPr="00A84D83">
        <w:t>65.</w:t>
      </w:r>
      <w:r w:rsidRPr="00A84D83">
        <w:tab/>
        <w:t>Концепция и план мер по интеграции устанавливают рамки для разноо</w:t>
      </w:r>
      <w:r w:rsidRPr="00A84D83">
        <w:t>б</w:t>
      </w:r>
      <w:r w:rsidRPr="00A84D83">
        <w:t>разных мер, направленных на обеспечение интеграции и участия иностранного населения в жизни общества, многие из которых осуществляются уже много лет. Так, правительство, действуя в том числе через Управление социальных дел и Управление иммиграции и паспортизации, оказывает поддержку различным ассоциациям в р</w:t>
      </w:r>
      <w:r>
        <w:t>еализации проектов, в частности</w:t>
      </w:r>
      <w:r w:rsidR="006C0ECF">
        <w:t>,</w:t>
      </w:r>
      <w:r w:rsidRPr="00A84D83">
        <w:t xml:space="preserve"> в области поощрения здор</w:t>
      </w:r>
      <w:r w:rsidRPr="00A84D83">
        <w:t>о</w:t>
      </w:r>
      <w:r w:rsidRPr="00A84D83">
        <w:t>вого образа жизни (примером служит консультирование женщин-мигрантов по вопросам питания), социальной интеграции (проект "</w:t>
      </w:r>
      <w:proofErr w:type="spellStart"/>
      <w:r w:rsidRPr="00A84D83">
        <w:t>Интегра</w:t>
      </w:r>
      <w:proofErr w:type="spellEnd"/>
      <w:r w:rsidRPr="00A84D83">
        <w:t>" Информацио</w:t>
      </w:r>
      <w:r w:rsidRPr="00A84D83">
        <w:t>н</w:t>
      </w:r>
      <w:r w:rsidRPr="00A84D83">
        <w:t>но-контактного центра для женщин) и непрерывного профессионального обр</w:t>
      </w:r>
      <w:r w:rsidRPr="00A84D83">
        <w:t>а</w:t>
      </w:r>
      <w:r w:rsidRPr="00A84D83">
        <w:t xml:space="preserve">зования. </w:t>
      </w:r>
    </w:p>
    <w:p w:rsidR="005D2199" w:rsidRPr="00A84D83" w:rsidRDefault="005D2199" w:rsidP="005D2199">
      <w:pPr>
        <w:pStyle w:val="SingleTxtGR"/>
      </w:pPr>
      <w:r w:rsidRPr="00A84D83">
        <w:t>66.</w:t>
      </w:r>
      <w:r w:rsidRPr="00A84D83">
        <w:tab/>
        <w:t>Например, правительство через Управление иммиграции и паспортизации предоставляет финансовую поддержку Ассоциации за межкультурное образ</w:t>
      </w:r>
      <w:r w:rsidRPr="00A84D83">
        <w:t>о</w:t>
      </w:r>
      <w:r w:rsidRPr="00A84D83">
        <w:t xml:space="preserve">вание. В целях содействия интеграции </w:t>
      </w:r>
      <w:r>
        <w:t>эта А</w:t>
      </w:r>
      <w:r w:rsidRPr="00A84D83">
        <w:t>ссоциация организует занятия по изучению немецкого языка, семинары и практикумы по непрерывному образ</w:t>
      </w:r>
      <w:r w:rsidRPr="00A84D83">
        <w:t>о</w:t>
      </w:r>
      <w:r w:rsidRPr="00A84D83">
        <w:t>ванию и культурный обмен между коренным и иностранным населением. Асс</w:t>
      </w:r>
      <w:r w:rsidRPr="00A84D83">
        <w:t>о</w:t>
      </w:r>
      <w:r w:rsidRPr="00A84D83">
        <w:t>циация за межкультурное образование с 2006 года организует межкультурное "Женское кафе", а с 2011 года</w:t>
      </w:r>
      <w:r>
        <w:t xml:space="preserve"> − </w:t>
      </w:r>
      <w:r w:rsidRPr="00A84D83">
        <w:t>межкультурный "Стол для завсегдатаев" в с</w:t>
      </w:r>
      <w:r w:rsidRPr="00A84D83">
        <w:t>о</w:t>
      </w:r>
      <w:r>
        <w:t>трудничестве с зонтичной О</w:t>
      </w:r>
      <w:r w:rsidRPr="00A84D83">
        <w:t>рганизацией ассоциаций иностранцев. Эти рег</w:t>
      </w:r>
      <w:r w:rsidRPr="00A84D83">
        <w:t>у</w:t>
      </w:r>
      <w:r w:rsidRPr="00A84D83">
        <w:t xml:space="preserve">лярные, интересные, живые и имеющие просветительскую ценность встречи способствуют </w:t>
      </w:r>
      <w:r>
        <w:t>укреплению связей</w:t>
      </w:r>
      <w:r w:rsidRPr="00A84D83">
        <w:t xml:space="preserve"> людей, представляющих различные культуры. Наконец, правительство предлагает финансовые средства (ваучеры) на посещ</w:t>
      </w:r>
      <w:r w:rsidRPr="00A84D83">
        <w:t>е</w:t>
      </w:r>
      <w:r w:rsidRPr="00A84D83">
        <w:t xml:space="preserve">ние курсов немецкого языка для мигрантов, которые распространяются через </w:t>
      </w:r>
      <w:r>
        <w:t>А</w:t>
      </w:r>
      <w:r w:rsidRPr="00A84D83">
        <w:t xml:space="preserve">ссоциацию и являются обязательными </w:t>
      </w:r>
      <w:r>
        <w:t xml:space="preserve">в соответствии с </w:t>
      </w:r>
      <w:r w:rsidRPr="00A84D83">
        <w:t>индивидуальным</w:t>
      </w:r>
      <w:r>
        <w:t>и</w:t>
      </w:r>
      <w:r w:rsidRPr="00A84D83">
        <w:t xml:space="preserve"> с</w:t>
      </w:r>
      <w:r w:rsidRPr="00A84D83">
        <w:t>о</w:t>
      </w:r>
      <w:r w:rsidRPr="00A84D83">
        <w:t>глашениям</w:t>
      </w:r>
      <w:r>
        <w:t>и</w:t>
      </w:r>
      <w:r w:rsidRPr="00A84D83">
        <w:t xml:space="preserve"> об интеграции. </w:t>
      </w:r>
    </w:p>
    <w:p w:rsidR="005D2199" w:rsidRPr="00A84D83" w:rsidRDefault="005D2199" w:rsidP="005D2199">
      <w:pPr>
        <w:pStyle w:val="SingleTxtGR"/>
      </w:pPr>
      <w:r w:rsidRPr="00A84D83">
        <w:t>67.</w:t>
      </w:r>
      <w:r w:rsidRPr="00A84D83">
        <w:tab/>
        <w:t>Рабочая группа по содействию интеграции мусульман была учреждена правительством в 2004 году в целях институционализации диалога между пре</w:t>
      </w:r>
      <w:r w:rsidRPr="00A84D83">
        <w:t>д</w:t>
      </w:r>
      <w:r w:rsidRPr="00A84D83">
        <w:t>ставителями мусульманских общин и христианск</w:t>
      </w:r>
      <w:r w:rsidRPr="00A84D83">
        <w:t>о</w:t>
      </w:r>
      <w:r w:rsidRPr="00A84D83">
        <w:t>го населения и создания тем самым климата взаимной терпимости и уважения. Рабочая группа состоит из представителей органов власти и мусульманских общин и обсуждает такие в</w:t>
      </w:r>
      <w:r w:rsidRPr="00A84D83">
        <w:t>о</w:t>
      </w:r>
      <w:r w:rsidRPr="00A84D83">
        <w:t>просы, как финансовая поддержка мусульманских общин государством, м</w:t>
      </w:r>
      <w:r w:rsidRPr="00A84D83">
        <w:t>у</w:t>
      </w:r>
      <w:r w:rsidRPr="00A84D83">
        <w:t xml:space="preserve">сульманские храмы и кладбища, </w:t>
      </w:r>
      <w:r>
        <w:t xml:space="preserve">создание </w:t>
      </w:r>
      <w:r w:rsidRPr="00A84D83">
        <w:t>зонтичной организации мусульма</w:t>
      </w:r>
      <w:r w:rsidRPr="00A84D83">
        <w:t>н</w:t>
      </w:r>
      <w:r w:rsidRPr="00A84D83">
        <w:t>ских общин в Лихтенштейне</w:t>
      </w:r>
      <w:r>
        <w:t>,</w:t>
      </w:r>
      <w:r w:rsidRPr="00A84D83">
        <w:t xml:space="preserve"> и другие вопросы, </w:t>
      </w:r>
      <w:r>
        <w:t xml:space="preserve">представляющие интерес для </w:t>
      </w:r>
      <w:r w:rsidRPr="00A84D83">
        <w:t>мусульман</w:t>
      </w:r>
      <w:r>
        <w:t>ского</w:t>
      </w:r>
      <w:r w:rsidRPr="00A84D83">
        <w:t xml:space="preserve"> населени</w:t>
      </w:r>
      <w:r>
        <w:t>я</w:t>
      </w:r>
      <w:r w:rsidRPr="00A84D83">
        <w:t>. В Лихтенштейне постоянно работает один имам, а на время Рамадана еще один имам получает краткосрочное разрешение на пр</w:t>
      </w:r>
      <w:r w:rsidRPr="00A84D83">
        <w:t>е</w:t>
      </w:r>
      <w:r w:rsidRPr="00A84D83">
        <w:t>бывание в стране. Начиная с 2007 года в начальных школах на немецком языке в качестве отдел</w:t>
      </w:r>
      <w:r w:rsidRPr="00A84D83">
        <w:t>ь</w:t>
      </w:r>
      <w:r w:rsidRPr="00A84D83">
        <w:t xml:space="preserve">ного предмета преподаются основы религии. </w:t>
      </w:r>
    </w:p>
    <w:p w:rsidR="005D2199" w:rsidRPr="00A84D83" w:rsidRDefault="005D2199" w:rsidP="005D2199">
      <w:pPr>
        <w:pStyle w:val="SingleTxtGR"/>
      </w:pPr>
      <w:r w:rsidRPr="00A84D83">
        <w:t>68.</w:t>
      </w:r>
      <w:r w:rsidRPr="00A84D83">
        <w:tab/>
        <w:t xml:space="preserve">Деловое сообщество также участвует в мерах по интеграции. Несколько компаний, пользующихся преимуществами </w:t>
      </w:r>
      <w:r>
        <w:t xml:space="preserve">найма </w:t>
      </w:r>
      <w:r w:rsidRPr="00A84D83">
        <w:t>мигрантов, с 2011 год</w:t>
      </w:r>
      <w:r>
        <w:t>а</w:t>
      </w:r>
      <w:r w:rsidRPr="00A84D83">
        <w:t xml:space="preserve"> орг</w:t>
      </w:r>
      <w:r w:rsidRPr="00A84D83">
        <w:t>а</w:t>
      </w:r>
      <w:r w:rsidRPr="00A84D83">
        <w:t xml:space="preserve">низуют собственные постоянные </w:t>
      </w:r>
      <w:r>
        <w:t xml:space="preserve">языковые </w:t>
      </w:r>
      <w:r w:rsidRPr="00A84D83">
        <w:t>курсы, учитывающие специфику выполняемой работы. Эти курсы позволяют сотрудникам в</w:t>
      </w:r>
      <w:r w:rsidRPr="00A84D83">
        <w:t>ы</w:t>
      </w:r>
      <w:r w:rsidRPr="00A84D83">
        <w:t xml:space="preserve">полнять требования соглашений об интеграции (см. выше). </w:t>
      </w:r>
    </w:p>
    <w:p w:rsidR="005D2199" w:rsidRDefault="005D2199" w:rsidP="005D2199">
      <w:pPr>
        <w:pStyle w:val="SingleTxtGR"/>
        <w:rPr>
          <w:lang w:val="en-US"/>
        </w:rPr>
      </w:pPr>
      <w:r>
        <w:t>69.</w:t>
      </w:r>
      <w:r>
        <w:tab/>
        <w:t>В ознаменование 60-ой</w:t>
      </w:r>
      <w:r w:rsidRPr="00A84D83">
        <w:t xml:space="preserve"> годовщины принятия Вс</w:t>
      </w:r>
      <w:r>
        <w:t>еобщей декларации прав человека</w:t>
      </w:r>
      <w:r w:rsidRPr="00A84D83">
        <w:t xml:space="preserve"> в период с августа по декабрь 2008 года были проведены многочи</w:t>
      </w:r>
      <w:r w:rsidRPr="00A84D83">
        <w:t>с</w:t>
      </w:r>
      <w:r w:rsidRPr="00A84D83">
        <w:t>ленные мероприятия в области прав человека. Наряду с широким освещен</w:t>
      </w:r>
      <w:r w:rsidRPr="00A84D83">
        <w:t>и</w:t>
      </w:r>
      <w:r w:rsidRPr="00A84D83">
        <w:t xml:space="preserve">ем в газетах и журналах были организованы мероприятия в области непрерывного образования и </w:t>
      </w:r>
      <w:r>
        <w:t xml:space="preserve">в сфере </w:t>
      </w:r>
      <w:r w:rsidRPr="00A84D83">
        <w:t>культур</w:t>
      </w:r>
      <w:r>
        <w:t>ы</w:t>
      </w:r>
      <w:r w:rsidRPr="00A84D83">
        <w:t>. В ходе всех мероприятий подчеркивалось пе</w:t>
      </w:r>
      <w:r w:rsidRPr="00A84D83">
        <w:t>р</w:t>
      </w:r>
      <w:r w:rsidRPr="00A84D83">
        <w:t>востепенное значение прав человека и в соответствии с этим проводилось и</w:t>
      </w:r>
      <w:r w:rsidRPr="00A84D83">
        <w:t>н</w:t>
      </w:r>
      <w:r w:rsidRPr="00A84D83">
        <w:t>формирование целевой аудитории. Программа юбилейного года включала обр</w:t>
      </w:r>
      <w:r w:rsidRPr="00A84D83">
        <w:t>а</w:t>
      </w:r>
      <w:r w:rsidRPr="00A84D83">
        <w:t>зовательный курс для взрослых "Философия прав человека" и лекцию "Права человека и обязанности человека – 60 лет спустя после принятия Декларации прав человека Организации Объединенных Наций"</w:t>
      </w:r>
      <w:r>
        <w:t xml:space="preserve">, </w:t>
      </w:r>
      <w:r w:rsidRPr="00A84D83">
        <w:t xml:space="preserve">организованную </w:t>
      </w:r>
      <w:proofErr w:type="spellStart"/>
      <w:r w:rsidRPr="00A84D83">
        <w:t>Лихте</w:t>
      </w:r>
      <w:r w:rsidRPr="00A84D83">
        <w:t>н</w:t>
      </w:r>
      <w:r w:rsidRPr="00A84D83">
        <w:t>штейнским</w:t>
      </w:r>
      <w:proofErr w:type="spellEnd"/>
      <w:r w:rsidRPr="00A84D83">
        <w:t xml:space="preserve"> институтом. Кроме того, были орган</w:t>
      </w:r>
      <w:r w:rsidRPr="00A84D83">
        <w:t>и</w:t>
      </w:r>
      <w:r w:rsidRPr="00A84D83">
        <w:t>зованы курсы для сотрудников и стажеров Национальной государственной администрации. Наконец, для мн</w:t>
      </w:r>
      <w:r w:rsidRPr="00A84D83">
        <w:t>о</w:t>
      </w:r>
      <w:r w:rsidRPr="00A84D83">
        <w:t>гих, особенно для учреждений непрерывного образования, юбилейный год стал поводом обратить пристальное внимание на тему прав человека.</w:t>
      </w:r>
      <w:r>
        <w:t xml:space="preserve"> В </w:t>
      </w:r>
      <w:r w:rsidRPr="00A84D83">
        <w:t>связи с г</w:t>
      </w:r>
      <w:r w:rsidRPr="00A84D83">
        <w:t>о</w:t>
      </w:r>
      <w:r w:rsidRPr="00A84D83">
        <w:t>довщиной в общенациональных газетах, журнале "</w:t>
      </w:r>
      <w:proofErr w:type="spellStart"/>
      <w:r w:rsidRPr="00A84D83">
        <w:t>Бликвексель</w:t>
      </w:r>
      <w:proofErr w:type="spellEnd"/>
      <w:r w:rsidRPr="00A84D83">
        <w:t xml:space="preserve">" </w:t>
      </w:r>
      <w:proofErr w:type="spellStart"/>
      <w:r w:rsidRPr="00A84D83">
        <w:t>Лихтенштей</w:t>
      </w:r>
      <w:r w:rsidRPr="00A84D83">
        <w:t>н</w:t>
      </w:r>
      <w:r w:rsidRPr="00A84D83">
        <w:t>ской</w:t>
      </w:r>
      <w:proofErr w:type="spellEnd"/>
      <w:r w:rsidRPr="00A84D83">
        <w:t xml:space="preserve"> службы развития (ЛСР), мо</w:t>
      </w:r>
      <w:r>
        <w:t>лодежном журнале "</w:t>
      </w:r>
      <w:proofErr w:type="spellStart"/>
      <w:r>
        <w:t>Ф</w:t>
      </w:r>
      <w:r w:rsidRPr="00A84D83">
        <w:t>лэш</w:t>
      </w:r>
      <w:proofErr w:type="spellEnd"/>
      <w:r w:rsidRPr="00A84D83">
        <w:t>", журнале для с</w:t>
      </w:r>
      <w:r w:rsidRPr="00A84D83">
        <w:t>о</w:t>
      </w:r>
      <w:r w:rsidRPr="00A84D83">
        <w:t>трудников Национальной государственной администрации "ФЛИП" и газете для школ "</w:t>
      </w:r>
      <w:proofErr w:type="spellStart"/>
      <w:r w:rsidRPr="00A84D83">
        <w:t>Шуле</w:t>
      </w:r>
      <w:proofErr w:type="spellEnd"/>
      <w:r w:rsidRPr="00A84D83">
        <w:t xml:space="preserve"> </w:t>
      </w:r>
      <w:proofErr w:type="spellStart"/>
      <w:r w:rsidRPr="00A84D83">
        <w:t>хойте</w:t>
      </w:r>
      <w:proofErr w:type="spellEnd"/>
      <w:r w:rsidRPr="00A84D83">
        <w:t>"</w:t>
      </w:r>
      <w:r>
        <w:t xml:space="preserve"> появились с</w:t>
      </w:r>
      <w:r w:rsidRPr="00A84D83">
        <w:t>татьи, посвященные правам человека. Помимо мероприятий в области непрерывного образования и публикации информации в газетах и журналах были также организованы различные культурные меропри</w:t>
      </w:r>
      <w:r w:rsidRPr="00A84D83">
        <w:t>я</w:t>
      </w:r>
      <w:r w:rsidRPr="00A84D83">
        <w:t xml:space="preserve">тия. В декабре 2008 года </w:t>
      </w:r>
      <w:proofErr w:type="spellStart"/>
      <w:r w:rsidRPr="00A84D83">
        <w:t>киноклуб</w:t>
      </w:r>
      <w:proofErr w:type="spellEnd"/>
      <w:r w:rsidRPr="00A84D83">
        <w:t xml:space="preserve"> "</w:t>
      </w:r>
      <w:proofErr w:type="spellStart"/>
      <w:r w:rsidRPr="00A84D83">
        <w:t>Такино</w:t>
      </w:r>
      <w:proofErr w:type="spellEnd"/>
      <w:r w:rsidRPr="00A84D83">
        <w:t>" показал серию фильмов, посв</w:t>
      </w:r>
      <w:r w:rsidRPr="00A84D83">
        <w:t>я</w:t>
      </w:r>
      <w:r w:rsidRPr="00A84D83">
        <w:t>щенных тематике прав человека. Наконец, 9 декабря 2008 года, накануне Дня прав человека, юбилейный год завершился фес</w:t>
      </w:r>
      <w:r>
        <w:t>тивалем под девизом "Вы пр</w:t>
      </w:r>
      <w:r>
        <w:t>а</w:t>
      </w:r>
      <w:r>
        <w:t>вы </w:t>
      </w:r>
      <w:r w:rsidRPr="00A84D83">
        <w:t xml:space="preserve">– права человека для каждого". </w:t>
      </w:r>
    </w:p>
    <w:p w:rsidR="005D2199" w:rsidRDefault="005D2199" w:rsidP="005D2199">
      <w:pPr>
        <w:pStyle w:val="SingleTxtGR"/>
      </w:pPr>
      <w:r w:rsidRPr="00CC600B">
        <w:t>70.</w:t>
      </w:r>
      <w:r w:rsidRPr="00CC600B">
        <w:tab/>
        <w:t xml:space="preserve">Начиная с 2009 года Управление иностранных дел проводит ежегодный диалог по правам человека с неправительственными организациями, </w:t>
      </w:r>
      <w:r>
        <w:t>участв</w:t>
      </w:r>
      <w:r>
        <w:t>о</w:t>
      </w:r>
      <w:r>
        <w:t>вать</w:t>
      </w:r>
      <w:r w:rsidRPr="00CC600B">
        <w:t xml:space="preserve"> в котором также приглашаются все представители организаций иностра</w:t>
      </w:r>
      <w:r w:rsidRPr="00CC600B">
        <w:t>н</w:t>
      </w:r>
      <w:r w:rsidRPr="00CC600B">
        <w:t xml:space="preserve">цев.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C7F73" w:rsidTr="007C7F7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C7F73" w:rsidRDefault="007C7F73" w:rsidP="007C7F73">
            <w:pPr>
              <w:spacing w:line="240" w:lineRule="auto"/>
            </w:pPr>
          </w:p>
        </w:tc>
      </w:tr>
      <w:tr w:rsidR="007C7F73" w:rsidTr="007C7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C7F73" w:rsidRDefault="007C7F73" w:rsidP="007C7F73">
            <w:pPr>
              <w:spacing w:after="120"/>
              <w:jc w:val="both"/>
            </w:pPr>
            <w:r w:rsidRPr="00CC600B">
              <w:t>Рекомендация</w:t>
            </w:r>
            <w:r w:rsidRPr="00CC600B">
              <w:rPr>
                <w:lang w:val="en-US"/>
              </w:rPr>
              <w:t xml:space="preserve"> </w:t>
            </w:r>
            <w:r w:rsidRPr="00CC600B">
              <w:t>КЛРД</w:t>
            </w:r>
            <w:r w:rsidRPr="00CC600B">
              <w:rPr>
                <w:lang w:val="en-US"/>
              </w:rPr>
              <w:t xml:space="preserve"> № 22:</w:t>
            </w:r>
          </w:p>
        </w:tc>
      </w:tr>
      <w:tr w:rsidR="007C7F73" w:rsidTr="007C7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C7F73" w:rsidRDefault="007C7F73" w:rsidP="007C7F73">
            <w:pPr>
              <w:spacing w:after="120"/>
              <w:jc w:val="both"/>
            </w:pPr>
            <w:r>
              <w:tab/>
            </w:r>
            <w:r w:rsidRPr="00CC600B">
              <w:t>Комитет рекомендует государству-участнику обеспечивать общественн</w:t>
            </w:r>
            <w:r w:rsidRPr="00CC600B">
              <w:t>о</w:t>
            </w:r>
            <w:r w:rsidRPr="00CC600B">
              <w:t>сти широкий доступ к его докладам с момента их представления, а также ра</w:t>
            </w:r>
            <w:r w:rsidRPr="00CC600B">
              <w:t>с</w:t>
            </w:r>
            <w:r w:rsidRPr="00CC600B">
              <w:t>пространять замечания Комитета по этим докладам.</w:t>
            </w:r>
          </w:p>
        </w:tc>
      </w:tr>
      <w:tr w:rsidR="007C7F73" w:rsidTr="007C7F73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C7F73" w:rsidRDefault="007C7F73" w:rsidP="007C7F73">
            <w:pPr>
              <w:spacing w:line="240" w:lineRule="auto"/>
            </w:pPr>
          </w:p>
        </w:tc>
      </w:tr>
    </w:tbl>
    <w:p w:rsidR="005D2199" w:rsidRDefault="005D2199" w:rsidP="007C7F73">
      <w:pPr>
        <w:pStyle w:val="SingleTxtGR"/>
        <w:spacing w:before="240"/>
      </w:pPr>
      <w:r w:rsidRPr="00CC600B">
        <w:t>71.</w:t>
      </w:r>
      <w:r w:rsidRPr="00CC600B">
        <w:tab/>
        <w:t xml:space="preserve">Доклады и замечания Комитета доводятся до сведения общественности по мере их появления и публикуются на немецком и английском языках на </w:t>
      </w:r>
      <w:proofErr w:type="spellStart"/>
      <w:r w:rsidR="00CB4AF3">
        <w:t>ве</w:t>
      </w:r>
      <w:r w:rsidR="00CB4AF3">
        <w:t>б</w:t>
      </w:r>
      <w:r w:rsidR="00CB4AF3">
        <w:t>сайт</w:t>
      </w:r>
      <w:r w:rsidRPr="00CC600B">
        <w:t>е</w:t>
      </w:r>
      <w:proofErr w:type="spellEnd"/>
      <w:r w:rsidRPr="00CC600B">
        <w:t xml:space="preserve"> Управления иностранных дел (</w:t>
      </w:r>
      <w:hyperlink r:id="rId13" w:history="1">
        <w:r w:rsidRPr="004A45D8">
          <w:rPr>
            <w:rStyle w:val="Hyperlink"/>
            <w:u w:val="none"/>
          </w:rPr>
          <w:t>www.aaa.llv.li/menschenrechte</w:t>
        </w:r>
      </w:hyperlink>
      <w:r w:rsidRPr="00CC600B">
        <w:t>).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C7F73" w:rsidTr="007C7F7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C7F73" w:rsidRDefault="007C7F73" w:rsidP="007C7F73">
            <w:pPr>
              <w:spacing w:line="240" w:lineRule="auto"/>
            </w:pPr>
          </w:p>
        </w:tc>
      </w:tr>
      <w:tr w:rsidR="007C7F73" w:rsidTr="007C7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C7F73" w:rsidRDefault="007C7F73" w:rsidP="007C7F73">
            <w:pPr>
              <w:spacing w:after="120"/>
              <w:jc w:val="both"/>
            </w:pPr>
            <w:r w:rsidRPr="00CC600B">
              <w:t>Рекомендация</w:t>
            </w:r>
            <w:r w:rsidRPr="00CC600B">
              <w:rPr>
                <w:lang w:val="en-US"/>
              </w:rPr>
              <w:t xml:space="preserve"> </w:t>
            </w:r>
            <w:r w:rsidRPr="00CC600B">
              <w:t>КЛРД</w:t>
            </w:r>
            <w:r w:rsidRPr="00CC600B">
              <w:rPr>
                <w:lang w:val="en-US"/>
              </w:rPr>
              <w:t xml:space="preserve"> № 24:</w:t>
            </w:r>
          </w:p>
        </w:tc>
      </w:tr>
      <w:tr w:rsidR="007C7F73" w:rsidTr="007C7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C7F73" w:rsidRDefault="007C7F73" w:rsidP="007C7F73">
            <w:pPr>
              <w:spacing w:after="120"/>
              <w:jc w:val="both"/>
            </w:pPr>
            <w:r>
              <w:tab/>
            </w:r>
            <w:r w:rsidRPr="00CC600B">
              <w:t xml:space="preserve">Комитет предлагает государству-участнику представить </w:t>
            </w:r>
            <w:r>
              <w:t>свой</w:t>
            </w:r>
            <w:r w:rsidRPr="00CC600B">
              <w:t xml:space="preserve"> базовый документ в соответствии с требованиями, определенными для базового общего д</w:t>
            </w:r>
            <w:r w:rsidRPr="00CC600B">
              <w:t>о</w:t>
            </w:r>
            <w:r w:rsidRPr="00CC600B">
              <w:t>кумента в Согласованных руководящих принципах представления докладов, которые были недавно утверждены международными правозащитными дог</w:t>
            </w:r>
            <w:r w:rsidRPr="00CC600B">
              <w:t>о</w:t>
            </w:r>
            <w:r w:rsidRPr="00CC600B">
              <w:t>ворными орг</w:t>
            </w:r>
            <w:r w:rsidRPr="00CC600B">
              <w:t>а</w:t>
            </w:r>
            <w:r w:rsidRPr="00CC600B">
              <w:t>нами (HRI/MC/2006/3 и Corr.1)</w:t>
            </w:r>
            <w:r>
              <w:t>.</w:t>
            </w:r>
          </w:p>
        </w:tc>
      </w:tr>
      <w:tr w:rsidR="007C7F73" w:rsidTr="007C7F73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C7F73" w:rsidRDefault="007C7F73" w:rsidP="007C7F73">
            <w:pPr>
              <w:spacing w:line="240" w:lineRule="auto"/>
            </w:pPr>
          </w:p>
        </w:tc>
      </w:tr>
    </w:tbl>
    <w:p w:rsidR="005D2199" w:rsidRPr="00CC600B" w:rsidRDefault="005D2199" w:rsidP="007C7F73">
      <w:pPr>
        <w:pStyle w:val="SingleTxtGR"/>
        <w:spacing w:before="240"/>
      </w:pPr>
      <w:r w:rsidRPr="00CC600B">
        <w:t>72.</w:t>
      </w:r>
      <w:r w:rsidRPr="00CC600B">
        <w:tab/>
        <w:t>В 2011 году Лихтенштейн представит свой первый базовый общий док</w:t>
      </w:r>
      <w:r w:rsidRPr="00CC600B">
        <w:t>у</w:t>
      </w:r>
      <w:r w:rsidRPr="00CC600B">
        <w:t>мент в соответствии с в</w:t>
      </w:r>
      <w:r w:rsidRPr="00CC600B">
        <w:t>ы</w:t>
      </w:r>
      <w:r w:rsidRPr="00CC600B">
        <w:t>шеупомянутыми руководящими принципами.</w:t>
      </w:r>
    </w:p>
    <w:p w:rsidR="005D2199" w:rsidRPr="00CC600B" w:rsidRDefault="005D2199" w:rsidP="005D2199">
      <w:pPr>
        <w:pStyle w:val="HChGR"/>
      </w:pPr>
      <w:r w:rsidRPr="00CC600B">
        <w:br w:type="page"/>
      </w:r>
      <w:bookmarkStart w:id="15" w:name="_Toc174467037"/>
      <w:bookmarkStart w:id="16" w:name="_Toc302400172"/>
      <w:r w:rsidRPr="00CC600B">
        <w:t>Приложения</w:t>
      </w:r>
    </w:p>
    <w:p w:rsidR="005D2199" w:rsidRPr="00CC600B" w:rsidRDefault="005D2199" w:rsidP="005D2199">
      <w:pPr>
        <w:pStyle w:val="HChGR"/>
      </w:pPr>
      <w:r w:rsidRPr="00CC600B">
        <w:t>Приложение I</w:t>
      </w:r>
      <w:bookmarkEnd w:id="15"/>
      <w:bookmarkEnd w:id="16"/>
    </w:p>
    <w:p w:rsidR="005D2199" w:rsidRPr="00CC600B" w:rsidRDefault="005D2199" w:rsidP="00AC7F98">
      <w:pPr>
        <w:pStyle w:val="H1GR"/>
      </w:pPr>
      <w:bookmarkStart w:id="17" w:name="_Toc174467038"/>
      <w:bookmarkStart w:id="18" w:name="_Toc302400173"/>
      <w:r w:rsidRPr="005D2199">
        <w:tab/>
      </w:r>
      <w:r w:rsidRPr="005D2199">
        <w:tab/>
      </w:r>
      <w:r w:rsidRPr="00CC600B">
        <w:t>Законодательные положения по интеграции иностранцев</w:t>
      </w:r>
      <w:bookmarkEnd w:id="17"/>
      <w:bookmarkEnd w:id="18"/>
    </w:p>
    <w:p w:rsidR="005D2199" w:rsidRPr="00CC600B" w:rsidRDefault="001B2E7D" w:rsidP="005D2199">
      <w:pPr>
        <w:pStyle w:val="SingleTxtGR"/>
      </w:pPr>
      <w:r>
        <w:tab/>
      </w:r>
      <w:r w:rsidR="005D2199" w:rsidRPr="00CC600B">
        <w:t>Приведенные ниже положения содержатся в Законе об иностранцах от 17</w:t>
      </w:r>
      <w:r>
        <w:t> </w:t>
      </w:r>
      <w:r w:rsidR="005D2199" w:rsidRPr="00CC600B">
        <w:t>сентября 2008 года (</w:t>
      </w:r>
      <w:proofErr w:type="spellStart"/>
      <w:r w:rsidR="005D2199" w:rsidRPr="00CC600B">
        <w:t>LGBl</w:t>
      </w:r>
      <w:proofErr w:type="spellEnd"/>
      <w:r w:rsidR="005D2199" w:rsidRPr="00CC600B">
        <w:t xml:space="preserve">. 2008 </w:t>
      </w:r>
      <w:proofErr w:type="spellStart"/>
      <w:r w:rsidR="005D2199" w:rsidRPr="00CC600B">
        <w:t>No</w:t>
      </w:r>
      <w:proofErr w:type="spellEnd"/>
      <w:r w:rsidR="005D2199" w:rsidRPr="00CC600B">
        <w:t>. 311). Они в целом совпадают с полож</w:t>
      </w:r>
      <w:r w:rsidR="005D2199" w:rsidRPr="00CC600B">
        <w:t>е</w:t>
      </w:r>
      <w:r w:rsidR="005D2199" w:rsidRPr="00CC600B">
        <w:t xml:space="preserve">ниями Закона о свободном передвижении лиц. </w:t>
      </w:r>
    </w:p>
    <w:p w:rsidR="005D2199" w:rsidRPr="00CC600B" w:rsidRDefault="005D2199" w:rsidP="005D2199">
      <w:pPr>
        <w:pStyle w:val="H23GR"/>
      </w:pPr>
      <w:r w:rsidRPr="00CC600B">
        <w:tab/>
      </w:r>
      <w:r w:rsidRPr="00CC600B">
        <w:tab/>
        <w:t>Статья 6</w:t>
      </w:r>
      <w:r w:rsidR="001B2E7D">
        <w:br/>
      </w:r>
      <w:r w:rsidRPr="00CC600B">
        <w:t xml:space="preserve">Интеграция </w:t>
      </w:r>
    </w:p>
    <w:p w:rsidR="005D2199" w:rsidRPr="00CC600B" w:rsidRDefault="005D2199" w:rsidP="005D2199">
      <w:pPr>
        <w:pStyle w:val="SingleTxtGR"/>
      </w:pPr>
      <w:r w:rsidRPr="00CC600B">
        <w:t xml:space="preserve">1) </w:t>
      </w:r>
      <w:r>
        <w:tab/>
      </w:r>
      <w:r w:rsidRPr="00CC600B">
        <w:t xml:space="preserve">Целью интеграции является сосуществование населения Лихтенштейна и иностранного населения на основе </w:t>
      </w:r>
      <w:r>
        <w:t>провозглашенных в Конституции</w:t>
      </w:r>
      <w:r w:rsidRPr="00CC600B">
        <w:t xml:space="preserve"> ценн</w:t>
      </w:r>
      <w:r w:rsidRPr="00CC600B">
        <w:t>о</w:t>
      </w:r>
      <w:r w:rsidRPr="00CC600B">
        <w:t xml:space="preserve">стей и взаимного уважения и терпимости. </w:t>
      </w:r>
    </w:p>
    <w:p w:rsidR="005D2199" w:rsidRPr="00CC600B" w:rsidRDefault="005D2199" w:rsidP="005D2199">
      <w:pPr>
        <w:pStyle w:val="SingleTxtGR"/>
      </w:pPr>
      <w:r w:rsidRPr="00CC600B">
        <w:t xml:space="preserve">2) </w:t>
      </w:r>
      <w:r>
        <w:tab/>
      </w:r>
      <w:r w:rsidRPr="00CC600B">
        <w:t>Интеграция призвана дать возможность иностран</w:t>
      </w:r>
      <w:r>
        <w:t>цам</w:t>
      </w:r>
      <w:r w:rsidRPr="00CC600B">
        <w:t xml:space="preserve">, </w:t>
      </w:r>
      <w:r>
        <w:t>на законных осн</w:t>
      </w:r>
      <w:r>
        <w:t>о</w:t>
      </w:r>
      <w:r>
        <w:t>ваниях</w:t>
      </w:r>
      <w:r w:rsidRPr="00CC600B">
        <w:t xml:space="preserve"> находящимся на территории страны длительное время, участвовать в экономической, социальной и культурной жизни общества. </w:t>
      </w:r>
    </w:p>
    <w:p w:rsidR="005D2199" w:rsidRPr="00CC600B" w:rsidRDefault="005D2199" w:rsidP="005D2199">
      <w:pPr>
        <w:pStyle w:val="SingleTxtGR"/>
      </w:pPr>
      <w:r w:rsidRPr="00CC600B">
        <w:t xml:space="preserve">3) </w:t>
      </w:r>
      <w:r>
        <w:tab/>
      </w:r>
      <w:r w:rsidRPr="00CC600B">
        <w:t>Интеграция требует как надлежащей воли и усилий по интеграции в о</w:t>
      </w:r>
      <w:r w:rsidRPr="00CC600B">
        <w:t>б</w:t>
      </w:r>
      <w:r w:rsidRPr="00CC600B">
        <w:t>щество со стороны иностра</w:t>
      </w:r>
      <w:r w:rsidRPr="00CC600B">
        <w:t>н</w:t>
      </w:r>
      <w:r>
        <w:t>цев</w:t>
      </w:r>
      <w:r w:rsidRPr="00CC600B">
        <w:t>, так и открытости населения Лихтенштейна.</w:t>
      </w:r>
    </w:p>
    <w:p w:rsidR="005D2199" w:rsidRPr="00CC600B" w:rsidRDefault="005D2199" w:rsidP="005D2199">
      <w:pPr>
        <w:pStyle w:val="SingleTxtGR"/>
        <w:rPr>
          <w:u w:val="single"/>
        </w:rPr>
      </w:pPr>
      <w:r w:rsidRPr="00CC600B">
        <w:t xml:space="preserve">4) </w:t>
      </w:r>
      <w:r>
        <w:tab/>
      </w:r>
      <w:r w:rsidRPr="00CC600B">
        <w:t>Иностранцы обязаны</w:t>
      </w:r>
      <w:r w:rsidRPr="004A45D8">
        <w:rPr>
          <w:rStyle w:val="FootnoteReference"/>
        </w:rPr>
        <w:footnoteReference w:id="43"/>
      </w:r>
      <w:r w:rsidRPr="00CC600B">
        <w:t xml:space="preserve"> ознакомиться с общественным укладом и усл</w:t>
      </w:r>
      <w:r w:rsidRPr="00CC600B">
        <w:t>о</w:t>
      </w:r>
      <w:r w:rsidRPr="00CC600B">
        <w:t xml:space="preserve">виями жизни в Лихтенштейне и, в частности, овладеть устным и письменным немецким языком. </w:t>
      </w:r>
    </w:p>
    <w:p w:rsidR="005D2199" w:rsidRPr="00CC600B" w:rsidRDefault="001B2E7D" w:rsidP="001B2E7D">
      <w:pPr>
        <w:pStyle w:val="H23GR"/>
      </w:pPr>
      <w:r>
        <w:tab/>
      </w:r>
      <w:r>
        <w:tab/>
      </w:r>
      <w:r w:rsidR="005D2199" w:rsidRPr="00CC600B">
        <w:t>Статья 40</w:t>
      </w:r>
      <w:r>
        <w:br/>
      </w:r>
      <w:r w:rsidR="005D2199" w:rsidRPr="00CC600B">
        <w:t>Содействие интеграции</w:t>
      </w:r>
    </w:p>
    <w:p w:rsidR="005D2199" w:rsidRPr="00CC600B" w:rsidRDefault="005D2199" w:rsidP="005D2199">
      <w:pPr>
        <w:pStyle w:val="SingleTxtGR"/>
      </w:pPr>
      <w:r w:rsidRPr="00CC600B">
        <w:t xml:space="preserve">1) </w:t>
      </w:r>
      <w:r>
        <w:tab/>
      </w:r>
      <w:r w:rsidRPr="00CC600B">
        <w:t>Органы государства и общин, социальные партнеры, а также организации иностранцев и неправительственные организации учитывают вопросы интегр</w:t>
      </w:r>
      <w:r w:rsidRPr="00CC600B">
        <w:t>а</w:t>
      </w:r>
      <w:r w:rsidRPr="00CC600B">
        <w:t xml:space="preserve">ции при выполнении своих обязанностей. Они осуществляют сотрудничество по этим вопросам. </w:t>
      </w:r>
    </w:p>
    <w:p w:rsidR="005D2199" w:rsidRPr="00CC600B" w:rsidRDefault="005D2199" w:rsidP="005D2199">
      <w:pPr>
        <w:pStyle w:val="SingleTxtGR"/>
      </w:pPr>
      <w:r w:rsidRPr="00CC600B">
        <w:t xml:space="preserve">2) </w:t>
      </w:r>
      <w:r>
        <w:tab/>
      </w:r>
      <w:r w:rsidRPr="00CC600B">
        <w:t>Государство и общины обязаны создать благоприятные общие условия для обеспечения равных возможностей и участия иностранного населения в экон</w:t>
      </w:r>
      <w:r w:rsidRPr="00CC600B">
        <w:t>о</w:t>
      </w:r>
      <w:r w:rsidRPr="00CC600B">
        <w:t xml:space="preserve">мической, социальной и культурной жизни. </w:t>
      </w:r>
    </w:p>
    <w:p w:rsidR="005D2199" w:rsidRPr="00CC600B" w:rsidRDefault="005D2199" w:rsidP="005D2199">
      <w:pPr>
        <w:pStyle w:val="SingleTxtGR"/>
      </w:pPr>
      <w:r w:rsidRPr="00CC600B">
        <w:t xml:space="preserve">3) </w:t>
      </w:r>
      <w:r>
        <w:tab/>
      </w:r>
      <w:r w:rsidRPr="00CC600B">
        <w:t>В частности, они обязаны поощрять овладение языком, профессионал</w:t>
      </w:r>
      <w:r w:rsidRPr="00CC600B">
        <w:t>ь</w:t>
      </w:r>
      <w:r w:rsidRPr="00CC600B">
        <w:t>ное совершенствование, поддержание здоровья, фактическое равенство мужчин и женщин и усилия по облегчению взаимопонимания и сосуществования нас</w:t>
      </w:r>
      <w:r w:rsidRPr="00CC600B">
        <w:t>е</w:t>
      </w:r>
      <w:r w:rsidRPr="00CC600B">
        <w:t xml:space="preserve">ления Лихтенштейна и иностранного населения. </w:t>
      </w:r>
    </w:p>
    <w:p w:rsidR="005D2199" w:rsidRPr="00CC600B" w:rsidRDefault="005D2199" w:rsidP="005D2199">
      <w:pPr>
        <w:pStyle w:val="SingleTxtGR"/>
      </w:pPr>
      <w:r w:rsidRPr="00CC600B">
        <w:t xml:space="preserve">4) </w:t>
      </w:r>
      <w:r>
        <w:tab/>
      </w:r>
      <w:r w:rsidRPr="00CC600B">
        <w:t>Они обязаны принимать во внимание особые вопросы, касающиеся инт</w:t>
      </w:r>
      <w:r w:rsidRPr="00CC600B">
        <w:t>е</w:t>
      </w:r>
      <w:r w:rsidRPr="00CC600B">
        <w:t>грации женщин, детей и м</w:t>
      </w:r>
      <w:r w:rsidRPr="00CC600B">
        <w:t>о</w:t>
      </w:r>
      <w:r w:rsidRPr="00CC600B">
        <w:t xml:space="preserve">лодежи. </w:t>
      </w:r>
    </w:p>
    <w:p w:rsidR="005D2199" w:rsidRPr="00CC600B" w:rsidRDefault="005D2199" w:rsidP="005D2199">
      <w:pPr>
        <w:pStyle w:val="SingleTxtGR"/>
      </w:pPr>
      <w:r w:rsidRPr="00CC600B">
        <w:t xml:space="preserve">5) </w:t>
      </w:r>
      <w:r>
        <w:tab/>
      </w:r>
      <w:r w:rsidRPr="00CC600B">
        <w:t>Работодатели обязаны содействовать овладению языком, особенно пос</w:t>
      </w:r>
      <w:r w:rsidRPr="00CC600B">
        <w:t>е</w:t>
      </w:r>
      <w:r w:rsidRPr="00CC600B">
        <w:t xml:space="preserve">щению языковых курсов, в рамках имеющихся у них возможностей. </w:t>
      </w:r>
    </w:p>
    <w:p w:rsidR="005D2199" w:rsidRPr="00CC600B" w:rsidRDefault="005D2199" w:rsidP="005D2199">
      <w:pPr>
        <w:pStyle w:val="H23GR"/>
      </w:pPr>
      <w:r w:rsidRPr="00126788">
        <w:tab/>
      </w:r>
      <w:r w:rsidRPr="00126788">
        <w:tab/>
      </w:r>
      <w:r w:rsidRPr="00CC600B">
        <w:t>Статья 41</w:t>
      </w:r>
      <w:r w:rsidR="001B2E7D">
        <w:br/>
      </w:r>
      <w:r w:rsidRPr="00CC600B">
        <w:t xml:space="preserve">Соглашение об интеграции </w:t>
      </w:r>
    </w:p>
    <w:p w:rsidR="005D2199" w:rsidRPr="00CC600B" w:rsidRDefault="005D2199" w:rsidP="005D2199">
      <w:pPr>
        <w:pStyle w:val="SingleTxtGR"/>
      </w:pPr>
      <w:r w:rsidRPr="00CC600B">
        <w:t xml:space="preserve">1) </w:t>
      </w:r>
      <w:r>
        <w:tab/>
      </w:r>
      <w:r w:rsidRPr="00CC600B">
        <w:t>После выдачи или продления вида на жительство Управление иммигр</w:t>
      </w:r>
      <w:r w:rsidRPr="00CC600B">
        <w:t>а</w:t>
      </w:r>
      <w:r w:rsidRPr="00CC600B">
        <w:t>ции и паспортизации заключает с иностранцами соглашение об интеграции на немецком языке. Данное правило также распространяется на выдачу разреш</w:t>
      </w:r>
      <w:r w:rsidRPr="00CC600B">
        <w:t>е</w:t>
      </w:r>
      <w:r w:rsidRPr="00CC600B">
        <w:t>ний в связи с воссоединением семьи (статьи 32</w:t>
      </w:r>
      <w:r w:rsidR="001B2E7D">
        <w:t>−</w:t>
      </w:r>
      <w:r w:rsidRPr="00CC600B">
        <w:t>39).</w:t>
      </w:r>
    </w:p>
    <w:p w:rsidR="005D2199" w:rsidRPr="00CC600B" w:rsidRDefault="005D2199" w:rsidP="005D2199">
      <w:pPr>
        <w:pStyle w:val="SingleTxtGR"/>
      </w:pPr>
      <w:r w:rsidRPr="00CC600B">
        <w:t xml:space="preserve">2) </w:t>
      </w:r>
      <w:r>
        <w:tab/>
      </w:r>
      <w:r w:rsidRPr="00CC600B">
        <w:t>Целью соглашения об интеграции является овладение немецким языком и базовыми знаниями о правовой системе и государственном устройстве Лихте</w:t>
      </w:r>
      <w:r w:rsidRPr="00CC600B">
        <w:t>н</w:t>
      </w:r>
      <w:r w:rsidRPr="00CC600B">
        <w:t>штейна.</w:t>
      </w:r>
    </w:p>
    <w:p w:rsidR="005D2199" w:rsidRPr="00CC600B" w:rsidRDefault="005D2199" w:rsidP="005D2199">
      <w:pPr>
        <w:pStyle w:val="SingleTxtGR"/>
      </w:pPr>
      <w:r w:rsidRPr="00CC600B">
        <w:t xml:space="preserve">3) </w:t>
      </w:r>
      <w:r>
        <w:tab/>
      </w:r>
      <w:r w:rsidRPr="00CC600B">
        <w:t>Супруги, которым вид на жительство предоставляется в связи с восс</w:t>
      </w:r>
      <w:r w:rsidRPr="00CC600B">
        <w:t>о</w:t>
      </w:r>
      <w:r w:rsidRPr="00CC600B">
        <w:t>единением семьи, обязаны овладеть устным и письменным немецким языком в теч</w:t>
      </w:r>
      <w:r w:rsidRPr="00CC600B">
        <w:t>е</w:t>
      </w:r>
      <w:r w:rsidRPr="00CC600B">
        <w:t xml:space="preserve">ние двух лет. </w:t>
      </w:r>
    </w:p>
    <w:p w:rsidR="005D2199" w:rsidRPr="00CC600B" w:rsidRDefault="005D2199" w:rsidP="005D2199">
      <w:pPr>
        <w:pStyle w:val="SingleTxtGR"/>
      </w:pPr>
      <w:r w:rsidRPr="00CC600B">
        <w:t xml:space="preserve">4) </w:t>
      </w:r>
      <w:r>
        <w:tab/>
      </w:r>
      <w:r w:rsidRPr="00CC600B">
        <w:t>В соглашение об интеграции может быть включена обязанность посещать курсы языка и гражданск</w:t>
      </w:r>
      <w:r w:rsidRPr="00CC600B">
        <w:t>о</w:t>
      </w:r>
      <w:r w:rsidRPr="00CC600B">
        <w:t xml:space="preserve">го образования. Если иностранец уже демонстрирует надлежащее владение языком, это обстоятельство должно быть принято во внимание. </w:t>
      </w:r>
    </w:p>
    <w:p w:rsidR="005D2199" w:rsidRPr="00CC600B" w:rsidRDefault="005D2199" w:rsidP="005D2199">
      <w:pPr>
        <w:pStyle w:val="SingleTxtGR"/>
      </w:pPr>
      <w:r w:rsidRPr="00CC600B">
        <w:t xml:space="preserve">5) </w:t>
      </w:r>
      <w:r>
        <w:tab/>
      </w:r>
      <w:r w:rsidRPr="00CC600B">
        <w:t>Правительство обязано в дальнейшем конкретизировать данные полож</w:t>
      </w:r>
      <w:r w:rsidRPr="00CC600B">
        <w:t>е</w:t>
      </w:r>
      <w:r w:rsidRPr="00CC600B">
        <w:t>ния в соответствующих ук</w:t>
      </w:r>
      <w:r w:rsidRPr="00CC600B">
        <w:t>а</w:t>
      </w:r>
      <w:r w:rsidRPr="00CC600B">
        <w:t xml:space="preserve">зах. </w:t>
      </w:r>
    </w:p>
    <w:p w:rsidR="005D2199" w:rsidRPr="00CC600B" w:rsidRDefault="005D2199" w:rsidP="005D2199">
      <w:pPr>
        <w:pStyle w:val="H23GR"/>
      </w:pPr>
      <w:r w:rsidRPr="00126788">
        <w:tab/>
      </w:r>
      <w:r w:rsidRPr="00126788">
        <w:tab/>
      </w:r>
      <w:r w:rsidRPr="00CC600B">
        <w:t>Статья 42</w:t>
      </w:r>
      <w:r w:rsidR="001B2E7D">
        <w:br/>
      </w:r>
      <w:r>
        <w:t>Исключ</w:t>
      </w:r>
      <w:r w:rsidRPr="00CC600B">
        <w:t>ения</w:t>
      </w:r>
    </w:p>
    <w:p w:rsidR="005D2199" w:rsidRPr="00CC600B" w:rsidRDefault="005D2199" w:rsidP="005D2199">
      <w:pPr>
        <w:pStyle w:val="SingleTxtGR"/>
      </w:pPr>
      <w:r w:rsidRPr="00CC600B">
        <w:t xml:space="preserve">1) </w:t>
      </w:r>
      <w:r>
        <w:tab/>
      </w:r>
      <w:r w:rsidRPr="00CC600B">
        <w:t>Следующие лица освобождаются от заключения соглашения об интегр</w:t>
      </w:r>
      <w:r w:rsidRPr="00CC600B">
        <w:t>а</w:t>
      </w:r>
      <w:r w:rsidRPr="00CC600B">
        <w:t xml:space="preserve">ции: </w:t>
      </w:r>
    </w:p>
    <w:p w:rsidR="005D2199" w:rsidRPr="00CC600B" w:rsidRDefault="005D2199" w:rsidP="005D2199">
      <w:pPr>
        <w:pStyle w:val="SingleTxtGR"/>
      </w:pPr>
      <w:r>
        <w:tab/>
      </w:r>
      <w:proofErr w:type="spellStart"/>
      <w:r w:rsidRPr="00CC600B">
        <w:t>a</w:t>
      </w:r>
      <w:proofErr w:type="spellEnd"/>
      <w:r w:rsidRPr="00CC600B">
        <w:t xml:space="preserve">) </w:t>
      </w:r>
      <w:r w:rsidRPr="00CC600B">
        <w:tab/>
        <w:t>лица, которым разрешено пребывание в стране в целях трудоус</w:t>
      </w:r>
      <w:r w:rsidRPr="00CC600B">
        <w:t>т</w:t>
      </w:r>
      <w:r w:rsidRPr="00CC600B">
        <w:t>ройства и которые представили письменное заявление о том, что они б</w:t>
      </w:r>
      <w:r w:rsidRPr="00CC600B">
        <w:t>у</w:t>
      </w:r>
      <w:r w:rsidRPr="00CC600B">
        <w:t>дут проживать в Лихтенштейне не более трех лет;</w:t>
      </w:r>
    </w:p>
    <w:p w:rsidR="005D2199" w:rsidRPr="00CC600B" w:rsidRDefault="005D2199" w:rsidP="005D2199">
      <w:pPr>
        <w:pStyle w:val="SingleTxtGR"/>
      </w:pPr>
      <w:r>
        <w:tab/>
      </w:r>
      <w:proofErr w:type="spellStart"/>
      <w:r w:rsidRPr="00CC600B">
        <w:t>b</w:t>
      </w:r>
      <w:proofErr w:type="spellEnd"/>
      <w:r w:rsidRPr="00CC600B">
        <w:t>)</w:t>
      </w:r>
      <w:r w:rsidRPr="00CC600B">
        <w:tab/>
        <w:t>дети до окончания обязательного образования; или</w:t>
      </w:r>
    </w:p>
    <w:p w:rsidR="005D2199" w:rsidRPr="00CC600B" w:rsidRDefault="005D2199" w:rsidP="005D2199">
      <w:pPr>
        <w:pStyle w:val="SingleTxtGR"/>
      </w:pPr>
      <w:r>
        <w:tab/>
      </w:r>
      <w:proofErr w:type="spellStart"/>
      <w:r w:rsidRPr="00CC600B">
        <w:t>c</w:t>
      </w:r>
      <w:proofErr w:type="spellEnd"/>
      <w:r w:rsidRPr="00CC600B">
        <w:t xml:space="preserve">) </w:t>
      </w:r>
      <w:r w:rsidRPr="00CC600B">
        <w:tab/>
        <w:t xml:space="preserve">лица, заведомо неспособные выполнить соглашение об интеграции в силу преклонного возраста или состояния здоровья. </w:t>
      </w:r>
    </w:p>
    <w:p w:rsidR="005D2199" w:rsidRPr="00CC600B" w:rsidRDefault="005D2199" w:rsidP="005D2199">
      <w:pPr>
        <w:pStyle w:val="SingleTxtGR"/>
      </w:pPr>
      <w:r w:rsidRPr="00CC600B">
        <w:t xml:space="preserve">2) </w:t>
      </w:r>
      <w:r>
        <w:tab/>
      </w:r>
      <w:r w:rsidRPr="00CC600B">
        <w:t xml:space="preserve">Соглашение об интеграции может быть заключено с лицами, указанными в подпункте </w:t>
      </w:r>
      <w:proofErr w:type="spellStart"/>
      <w:r w:rsidRPr="00CC600B">
        <w:t>b</w:t>
      </w:r>
      <w:proofErr w:type="spellEnd"/>
      <w:r w:rsidRPr="00CC600B">
        <w:t>) пункта 1, после окончания обязательного образования, если к этому моменту ими не был достигнут необходимый уровень владения немецким языком.</w:t>
      </w:r>
    </w:p>
    <w:p w:rsidR="005D2199" w:rsidRPr="00CC600B" w:rsidRDefault="005D2199" w:rsidP="005D2199">
      <w:pPr>
        <w:pStyle w:val="H23GR"/>
      </w:pPr>
      <w:r w:rsidRPr="00126788">
        <w:tab/>
      </w:r>
      <w:r w:rsidRPr="00126788">
        <w:tab/>
      </w:r>
      <w:r w:rsidRPr="00CC600B">
        <w:t>Статья 43</w:t>
      </w:r>
      <w:r w:rsidR="001B2E7D">
        <w:br/>
      </w:r>
      <w:r w:rsidRPr="00CC600B">
        <w:t>Финансовая помощь</w:t>
      </w:r>
    </w:p>
    <w:p w:rsidR="005D2199" w:rsidRPr="00CC600B" w:rsidRDefault="005D2199" w:rsidP="005D2199">
      <w:pPr>
        <w:pStyle w:val="SingleTxtGR"/>
      </w:pPr>
      <w:r w:rsidRPr="00CC600B">
        <w:t xml:space="preserve">1) </w:t>
      </w:r>
      <w:r>
        <w:tab/>
      </w:r>
      <w:r w:rsidRPr="00CC600B">
        <w:t>Государство предоставляет финансовую помощь в целях интеграции ин</w:t>
      </w:r>
      <w:r w:rsidRPr="00CC600B">
        <w:t>о</w:t>
      </w:r>
      <w:r w:rsidRPr="00CC600B">
        <w:t xml:space="preserve">странцев. </w:t>
      </w:r>
    </w:p>
    <w:p w:rsidR="005D2199" w:rsidRPr="00CC600B" w:rsidRDefault="005D2199" w:rsidP="005D2199">
      <w:pPr>
        <w:pStyle w:val="SingleTxtGR"/>
      </w:pPr>
      <w:r w:rsidRPr="00CC600B">
        <w:t>2)</w:t>
      </w:r>
      <w:r>
        <w:tab/>
      </w:r>
      <w:r w:rsidRPr="00CC600B">
        <w:t>Управление иммиграции и паспортизации предоставляет финансовую помощь в целях содействия специальным проектам, способствующим овлад</w:t>
      </w:r>
      <w:r w:rsidRPr="00CC600B">
        <w:t>е</w:t>
      </w:r>
      <w:r w:rsidRPr="00CC600B">
        <w:t>нию немецким языком, а также базовыми знаниями о правовой системе и гос</w:t>
      </w:r>
      <w:r w:rsidRPr="00CC600B">
        <w:t>у</w:t>
      </w:r>
      <w:r w:rsidRPr="00CC600B">
        <w:t>дарственном устройстве Лихтенштейна.</w:t>
      </w:r>
    </w:p>
    <w:p w:rsidR="005D2199" w:rsidRPr="00CC600B" w:rsidRDefault="005D2199" w:rsidP="005D2199">
      <w:pPr>
        <w:pStyle w:val="SingleTxtGR"/>
      </w:pPr>
      <w:r w:rsidRPr="00CC600B">
        <w:t xml:space="preserve">3) </w:t>
      </w:r>
      <w:r>
        <w:tab/>
      </w:r>
      <w:r w:rsidRPr="00CC600B">
        <w:t>Правительство обязано в дальнейшем конкретизировать данные полож</w:t>
      </w:r>
      <w:r w:rsidRPr="00CC600B">
        <w:t>е</w:t>
      </w:r>
      <w:r w:rsidRPr="00CC600B">
        <w:t>ния в соответствующих ук</w:t>
      </w:r>
      <w:r w:rsidRPr="00CC600B">
        <w:t>а</w:t>
      </w:r>
      <w:r w:rsidRPr="00CC600B">
        <w:t>зах.</w:t>
      </w:r>
    </w:p>
    <w:p w:rsidR="005D2199" w:rsidRPr="00CC600B" w:rsidRDefault="005D2199" w:rsidP="005D2199">
      <w:pPr>
        <w:pStyle w:val="H23GR"/>
      </w:pPr>
      <w:r w:rsidRPr="005D2199">
        <w:tab/>
      </w:r>
      <w:r w:rsidRPr="005D2199">
        <w:tab/>
      </w:r>
      <w:r w:rsidRPr="00CC600B">
        <w:t>Статья 44</w:t>
      </w:r>
      <w:r w:rsidR="001B2E7D">
        <w:br/>
      </w:r>
      <w:r w:rsidRPr="00CC600B">
        <w:t>Информация</w:t>
      </w:r>
    </w:p>
    <w:p w:rsidR="005D2199" w:rsidRPr="00CC600B" w:rsidRDefault="005D2199" w:rsidP="005D2199">
      <w:pPr>
        <w:pStyle w:val="SingleTxtGR"/>
      </w:pPr>
      <w:r w:rsidRPr="00CC600B">
        <w:t xml:space="preserve">1) </w:t>
      </w:r>
      <w:r>
        <w:tab/>
      </w:r>
      <w:r w:rsidRPr="00CC600B">
        <w:t>Государство и общины обязаны надлежащим образом информировать иностранцев об условиях жизни и трудовой деятельности, а также о сущес</w:t>
      </w:r>
      <w:r w:rsidRPr="00CC600B">
        <w:t>т</w:t>
      </w:r>
      <w:r w:rsidRPr="00CC600B">
        <w:t>вующих услугах по содействию интеграции в Лихтенштейне.</w:t>
      </w:r>
    </w:p>
    <w:p w:rsidR="005D2199" w:rsidRPr="00CC600B" w:rsidRDefault="005D2199" w:rsidP="005D2199">
      <w:pPr>
        <w:pStyle w:val="SingleTxtGR"/>
      </w:pPr>
      <w:r w:rsidRPr="00CC600B">
        <w:t xml:space="preserve">2) </w:t>
      </w:r>
      <w:r>
        <w:tab/>
      </w:r>
      <w:r w:rsidRPr="00CC600B">
        <w:t>Управление по обеспечению равных возможностей обязано предоста</w:t>
      </w:r>
      <w:r w:rsidRPr="00CC600B">
        <w:t>в</w:t>
      </w:r>
      <w:r w:rsidRPr="00CC600B">
        <w:t>лять консультации органам вл</w:t>
      </w:r>
      <w:r w:rsidRPr="00CC600B">
        <w:t>а</w:t>
      </w:r>
      <w:r w:rsidRPr="00CC600B">
        <w:t xml:space="preserve">сти и частным лицам по вопросам интеграции. </w:t>
      </w:r>
    </w:p>
    <w:p w:rsidR="005D2199" w:rsidRPr="00CC600B" w:rsidRDefault="005D2199" w:rsidP="005D2199">
      <w:pPr>
        <w:pStyle w:val="H23GR"/>
      </w:pPr>
      <w:r w:rsidRPr="005D2199">
        <w:tab/>
      </w:r>
      <w:r w:rsidRPr="005D2199">
        <w:tab/>
      </w:r>
      <w:r w:rsidRPr="00CC600B">
        <w:t>Статья 45</w:t>
      </w:r>
      <w:r w:rsidR="001B2E7D">
        <w:br/>
      </w:r>
      <w:r w:rsidRPr="00CC600B">
        <w:t>Координация мероприятий по интеграции</w:t>
      </w:r>
    </w:p>
    <w:p w:rsidR="005D2199" w:rsidRPr="00CC600B" w:rsidRDefault="005D2199" w:rsidP="005D2199">
      <w:pPr>
        <w:pStyle w:val="SingleTxtGR"/>
      </w:pPr>
      <w:r w:rsidRPr="00CC600B">
        <w:t xml:space="preserve">1) </w:t>
      </w:r>
      <w:r>
        <w:tab/>
      </w:r>
      <w:r w:rsidRPr="00CC600B">
        <w:t>Правительство обязано содействовать координации усилий и распростр</w:t>
      </w:r>
      <w:r w:rsidRPr="00CC600B">
        <w:t>а</w:t>
      </w:r>
      <w:r>
        <w:t>нению информации</w:t>
      </w:r>
      <w:r w:rsidRPr="00CC600B">
        <w:t xml:space="preserve"> по вопросам интеграции среди правительственных учре</w:t>
      </w:r>
      <w:r w:rsidRPr="00CC600B">
        <w:t>ж</w:t>
      </w:r>
      <w:r w:rsidRPr="00CC600B">
        <w:t xml:space="preserve">дений. </w:t>
      </w:r>
    </w:p>
    <w:p w:rsidR="005D2199" w:rsidRPr="00CC600B" w:rsidRDefault="005D2199" w:rsidP="005D2199">
      <w:pPr>
        <w:pStyle w:val="SingleTxtGR"/>
      </w:pPr>
      <w:r w:rsidRPr="00CC600B">
        <w:t xml:space="preserve">2) </w:t>
      </w:r>
      <w:r>
        <w:tab/>
      </w:r>
      <w:r w:rsidRPr="00CC600B">
        <w:t>Управление по обеспечению равных возможностей обязано координир</w:t>
      </w:r>
      <w:r w:rsidRPr="00CC600B">
        <w:t>о</w:t>
      </w:r>
      <w:r w:rsidRPr="00CC600B">
        <w:t>вать меры по интеграции.</w:t>
      </w:r>
    </w:p>
    <w:p w:rsidR="005D2199" w:rsidRPr="00CC600B" w:rsidRDefault="005D2199" w:rsidP="005D2199">
      <w:pPr>
        <w:pStyle w:val="H23GR"/>
      </w:pPr>
      <w:r w:rsidRPr="005D2199">
        <w:tab/>
      </w:r>
      <w:r w:rsidRPr="005D2199">
        <w:tab/>
      </w:r>
      <w:r w:rsidRPr="00CC600B">
        <w:t>Статья 46</w:t>
      </w:r>
      <w:r w:rsidR="001B2E7D">
        <w:br/>
      </w:r>
      <w:r w:rsidRPr="00CC600B">
        <w:t xml:space="preserve">Комиссия по вопросам интеграции </w:t>
      </w:r>
    </w:p>
    <w:p w:rsidR="005D2199" w:rsidRPr="00CC600B" w:rsidRDefault="005D2199" w:rsidP="005D2199">
      <w:pPr>
        <w:pStyle w:val="SingleTxtGR"/>
      </w:pPr>
      <w:r w:rsidRPr="00CC600B">
        <w:t xml:space="preserve">1) </w:t>
      </w:r>
      <w:r>
        <w:tab/>
      </w:r>
      <w:r w:rsidRPr="00CC600B">
        <w:t>Правительство назначает консультативную Комиссию по вопросам инт</w:t>
      </w:r>
      <w:r w:rsidRPr="00CC600B">
        <w:t>е</w:t>
      </w:r>
      <w:r w:rsidRPr="00CC600B">
        <w:t xml:space="preserve">грации, которая рассматривает вопросы, касающиеся пребывание иностранцев в Лихтенштейне. </w:t>
      </w:r>
    </w:p>
    <w:p w:rsidR="005D2199" w:rsidRPr="00CC600B" w:rsidRDefault="005D2199" w:rsidP="005D2199">
      <w:pPr>
        <w:pStyle w:val="SingleTxtGR"/>
      </w:pPr>
      <w:r w:rsidRPr="00CC600B">
        <w:t xml:space="preserve">2) </w:t>
      </w:r>
      <w:r>
        <w:tab/>
      </w:r>
      <w:r w:rsidRPr="00CC600B">
        <w:t>В состав Комиссии входят иностранцы и граждане Лихтенштейна.</w:t>
      </w:r>
    </w:p>
    <w:p w:rsidR="005D2199" w:rsidRPr="00CC600B" w:rsidRDefault="005D2199" w:rsidP="005D2199">
      <w:pPr>
        <w:pStyle w:val="SingleTxtGR"/>
      </w:pPr>
      <w:r w:rsidRPr="00CC600B">
        <w:t xml:space="preserve">3) </w:t>
      </w:r>
      <w:r>
        <w:tab/>
      </w:r>
      <w:r w:rsidRPr="00CC600B">
        <w:t>Комиссия может выносить рекомендации для рассмотрения Правительс</w:t>
      </w:r>
      <w:r w:rsidRPr="00CC600B">
        <w:t>т</w:t>
      </w:r>
      <w:r w:rsidRPr="00CC600B">
        <w:t xml:space="preserve">вом. </w:t>
      </w:r>
    </w:p>
    <w:p w:rsidR="005D2199" w:rsidRPr="00CC600B" w:rsidRDefault="005D2199" w:rsidP="005D2199">
      <w:pPr>
        <w:pStyle w:val="SingleTxtGR"/>
      </w:pPr>
      <w:r w:rsidRPr="00CC600B">
        <w:t xml:space="preserve">4) </w:t>
      </w:r>
      <w:r>
        <w:tab/>
      </w:r>
      <w:r w:rsidRPr="00CC600B">
        <w:t>Правительство обязано в дальнейшем конкретизировать данные полож</w:t>
      </w:r>
      <w:r w:rsidRPr="00CC600B">
        <w:t>е</w:t>
      </w:r>
      <w:r w:rsidRPr="00CC600B">
        <w:t>ния, особенно в части состава Комиссии, в соответствующих указах.</w:t>
      </w:r>
    </w:p>
    <w:p w:rsidR="005D2199" w:rsidRPr="00CC600B" w:rsidRDefault="005D2199" w:rsidP="005D2199">
      <w:pPr>
        <w:pStyle w:val="HChGR"/>
      </w:pPr>
      <w:bookmarkStart w:id="19" w:name="_Toc174467039"/>
      <w:bookmarkStart w:id="20" w:name="_Toc302400174"/>
      <w:r w:rsidRPr="00CC600B">
        <w:br w:type="page"/>
        <w:t>Приложение II</w:t>
      </w:r>
      <w:bookmarkEnd w:id="19"/>
      <w:bookmarkEnd w:id="20"/>
    </w:p>
    <w:p w:rsidR="005D2199" w:rsidRPr="00CC600B" w:rsidRDefault="005D2199" w:rsidP="00AC7F98">
      <w:pPr>
        <w:pStyle w:val="H1GR"/>
      </w:pPr>
      <w:bookmarkStart w:id="21" w:name="_Toc174467040"/>
      <w:bookmarkStart w:id="22" w:name="_Toc302400175"/>
      <w:r w:rsidRPr="00CC600B">
        <w:tab/>
      </w:r>
      <w:r w:rsidRPr="00CC600B">
        <w:tab/>
        <w:t>Другие законодательные акты</w:t>
      </w:r>
      <w:bookmarkEnd w:id="21"/>
      <w:bookmarkEnd w:id="22"/>
    </w:p>
    <w:p w:rsidR="005D2199" w:rsidRPr="00CC600B" w:rsidRDefault="005D2199" w:rsidP="005D2199">
      <w:pPr>
        <w:pStyle w:val="SingleTxtGR"/>
      </w:pPr>
      <w:r w:rsidRPr="00CC600B">
        <w:t>Со всеми законами и указами Лихтенш</w:t>
      </w:r>
      <w:r>
        <w:t xml:space="preserve">тейна можно ознакомиться на </w:t>
      </w:r>
      <w:proofErr w:type="spellStart"/>
      <w:r>
        <w:t>веб</w:t>
      </w:r>
      <w:r w:rsidRPr="00CC600B">
        <w:t>сайте</w:t>
      </w:r>
      <w:proofErr w:type="spellEnd"/>
      <w:r w:rsidRPr="00CC600B">
        <w:t xml:space="preserve"> по адресу </w:t>
      </w:r>
      <w:proofErr w:type="spellStart"/>
      <w:r w:rsidRPr="00CC600B">
        <w:t>www.gesetze.li</w:t>
      </w:r>
      <w:proofErr w:type="spellEnd"/>
      <w:r w:rsidRPr="00CC600B">
        <w:t xml:space="preserve"> (только на немецком языке).</w:t>
      </w:r>
    </w:p>
    <w:p w:rsidR="005D2199" w:rsidRPr="00CC600B" w:rsidRDefault="005D2199" w:rsidP="005D2199">
      <w:pPr>
        <w:pStyle w:val="SingleTxtGR"/>
      </w:pPr>
      <w:r w:rsidRPr="00CC600B">
        <w:t xml:space="preserve">Конституция Княжества Лихтенштейн от 5 октября 1921 года, </w:t>
      </w:r>
      <w:proofErr w:type="spellStart"/>
      <w:r w:rsidRPr="00CC600B">
        <w:t>LGBl</w:t>
      </w:r>
      <w:proofErr w:type="spellEnd"/>
      <w:r w:rsidRPr="00CC600B">
        <w:t xml:space="preserve">. 1921 </w:t>
      </w:r>
      <w:proofErr w:type="spellStart"/>
      <w:r w:rsidRPr="00CC600B">
        <w:t>No</w:t>
      </w:r>
      <w:proofErr w:type="spellEnd"/>
      <w:r w:rsidRPr="00CC600B">
        <w:t>.</w:t>
      </w:r>
      <w:r>
        <w:t> </w:t>
      </w:r>
      <w:r w:rsidRPr="00CC600B">
        <w:t>15.</w:t>
      </w:r>
    </w:p>
    <w:p w:rsidR="005D2199" w:rsidRPr="00CC600B" w:rsidRDefault="005D2199" w:rsidP="005D2199">
      <w:pPr>
        <w:pStyle w:val="SingleTxtGR"/>
      </w:pPr>
      <w:r w:rsidRPr="00CC600B">
        <w:t>Общегражданский кодекс от 1 июня 1811 года, опубликован в соответствии с Законом от 5 октября 1967 года об упорядочении правовых положений, введе</w:t>
      </w:r>
      <w:r w:rsidRPr="00CC600B">
        <w:t>н</w:t>
      </w:r>
      <w:r w:rsidRPr="00CC600B">
        <w:t xml:space="preserve">ных в действие до 1 января 1863 года, </w:t>
      </w:r>
      <w:proofErr w:type="spellStart"/>
      <w:r w:rsidRPr="00CC600B">
        <w:t>LGBl</w:t>
      </w:r>
      <w:proofErr w:type="spellEnd"/>
      <w:r w:rsidRPr="00CC600B">
        <w:t xml:space="preserve">. 1967 </w:t>
      </w:r>
      <w:proofErr w:type="spellStart"/>
      <w:r w:rsidRPr="00CC600B">
        <w:t>No</w:t>
      </w:r>
      <w:proofErr w:type="spellEnd"/>
      <w:r w:rsidRPr="00CC600B">
        <w:t>. 34.</w:t>
      </w:r>
    </w:p>
    <w:p w:rsidR="005D2199" w:rsidRPr="00CC600B" w:rsidRDefault="005D2199" w:rsidP="005D2199">
      <w:pPr>
        <w:pStyle w:val="SingleTxtGR"/>
      </w:pPr>
      <w:r w:rsidRPr="00CC600B">
        <w:t>Закон от 27 ноября 2003 года о Конституционном суде (</w:t>
      </w:r>
      <w:proofErr w:type="spellStart"/>
      <w:r w:rsidRPr="00CC600B">
        <w:t>StGHG</w:t>
      </w:r>
      <w:proofErr w:type="spellEnd"/>
      <w:r w:rsidRPr="00CC600B">
        <w:t xml:space="preserve">), </w:t>
      </w:r>
      <w:proofErr w:type="spellStart"/>
      <w:r w:rsidRPr="00CC600B">
        <w:t>LGBl</w:t>
      </w:r>
      <w:proofErr w:type="spellEnd"/>
      <w:r w:rsidRPr="00CC600B">
        <w:t xml:space="preserve">. 2004 </w:t>
      </w:r>
      <w:proofErr w:type="spellStart"/>
      <w:r w:rsidRPr="00CC600B">
        <w:t>No</w:t>
      </w:r>
      <w:proofErr w:type="spellEnd"/>
      <w:r w:rsidRPr="00CC600B">
        <w:t>.</w:t>
      </w:r>
      <w:r>
        <w:t> </w:t>
      </w:r>
      <w:r w:rsidRPr="00CC600B">
        <w:t>32.</w:t>
      </w:r>
    </w:p>
    <w:p w:rsidR="005D2199" w:rsidRPr="00CC600B" w:rsidRDefault="005D2199" w:rsidP="005D2199">
      <w:pPr>
        <w:pStyle w:val="SingleTxtGR"/>
      </w:pPr>
      <w:r w:rsidRPr="00CC600B">
        <w:t xml:space="preserve">Закон от 2 апреля 1998 года о </w:t>
      </w:r>
      <w:r>
        <w:t>приеме</w:t>
      </w:r>
      <w:r w:rsidRPr="00CC600B">
        <w:t xml:space="preserve"> просителей убежища и лиц, нуждающихся в защите (Закон о б</w:t>
      </w:r>
      <w:r w:rsidRPr="00CC600B">
        <w:t>е</w:t>
      </w:r>
      <w:r w:rsidRPr="00CC600B">
        <w:t>женцах).</w:t>
      </w:r>
    </w:p>
    <w:p w:rsidR="005D2199" w:rsidRPr="00CC600B" w:rsidRDefault="005D2199" w:rsidP="005D2199">
      <w:pPr>
        <w:pStyle w:val="SingleTxtGR"/>
      </w:pPr>
      <w:r w:rsidRPr="00CC600B">
        <w:t xml:space="preserve">Закон от 17 сентября 2008 года об иностранцах (Закон об иностранцах, </w:t>
      </w:r>
      <w:proofErr w:type="spellStart"/>
      <w:r w:rsidRPr="00CC600B">
        <w:t>AuG</w:t>
      </w:r>
      <w:proofErr w:type="spellEnd"/>
      <w:r w:rsidRPr="00CC600B">
        <w:t xml:space="preserve">), </w:t>
      </w:r>
      <w:proofErr w:type="spellStart"/>
      <w:r w:rsidRPr="00CC600B">
        <w:t>LGBl</w:t>
      </w:r>
      <w:proofErr w:type="spellEnd"/>
      <w:r w:rsidRPr="00CC600B">
        <w:t xml:space="preserve">. 2008 </w:t>
      </w:r>
      <w:proofErr w:type="spellStart"/>
      <w:r w:rsidRPr="00CC600B">
        <w:t>No</w:t>
      </w:r>
      <w:proofErr w:type="spellEnd"/>
      <w:r w:rsidRPr="00CC600B">
        <w:t xml:space="preserve">. 311. </w:t>
      </w:r>
    </w:p>
    <w:p w:rsidR="005D2199" w:rsidRPr="00CC600B" w:rsidRDefault="005D2199" w:rsidP="005D2199">
      <w:pPr>
        <w:pStyle w:val="SingleTxtGR"/>
      </w:pPr>
      <w:r w:rsidRPr="00CC600B">
        <w:t>Указ от 16 декабря 2008 года о</w:t>
      </w:r>
      <w:r>
        <w:t xml:space="preserve"> приеме</w:t>
      </w:r>
      <w:r w:rsidRPr="00CC600B">
        <w:t xml:space="preserve"> и пребывании иностранцев (ZAV), </w:t>
      </w:r>
      <w:proofErr w:type="spellStart"/>
      <w:r w:rsidRPr="00CC600B">
        <w:t>LGBl</w:t>
      </w:r>
      <w:proofErr w:type="spellEnd"/>
      <w:r w:rsidRPr="00CC600B">
        <w:t xml:space="preserve">. 2008 </w:t>
      </w:r>
      <w:proofErr w:type="spellStart"/>
      <w:r w:rsidRPr="00CC600B">
        <w:t>No</w:t>
      </w:r>
      <w:proofErr w:type="spellEnd"/>
      <w:r w:rsidRPr="00CC600B">
        <w:t>. 350.</w:t>
      </w:r>
    </w:p>
    <w:p w:rsidR="005D2199" w:rsidRPr="00CC600B" w:rsidRDefault="005D2199" w:rsidP="005D2199">
      <w:pPr>
        <w:pStyle w:val="SingleTxtGR"/>
      </w:pPr>
      <w:r w:rsidRPr="00CC600B">
        <w:t>Закон от 20 ноября 2009 года о свободном передвижении граждан ЕЭЗ и Шве</w:t>
      </w:r>
      <w:r w:rsidRPr="00CC600B">
        <w:t>й</w:t>
      </w:r>
      <w:r w:rsidRPr="00CC600B">
        <w:t xml:space="preserve">царии (Закон о свободном передвижении лиц; PFZG), </w:t>
      </w:r>
      <w:proofErr w:type="spellStart"/>
      <w:r w:rsidRPr="00CC600B">
        <w:t>LGBl</w:t>
      </w:r>
      <w:proofErr w:type="spellEnd"/>
      <w:r w:rsidRPr="00CC600B">
        <w:t xml:space="preserve">. 2009 </w:t>
      </w:r>
      <w:proofErr w:type="spellStart"/>
      <w:r w:rsidRPr="00CC600B">
        <w:t>No</w:t>
      </w:r>
      <w:proofErr w:type="spellEnd"/>
      <w:r w:rsidRPr="00CC600B">
        <w:t xml:space="preserve">. 348. </w:t>
      </w:r>
    </w:p>
    <w:p w:rsidR="005D2199" w:rsidRPr="00CC600B" w:rsidRDefault="005D2199" w:rsidP="005D2199">
      <w:pPr>
        <w:pStyle w:val="SingleTxtGR"/>
      </w:pPr>
      <w:r w:rsidRPr="00CC600B">
        <w:t>Указ от 15 декабря 2009 года о свободном передвижении граждан ЕЭЗ и Шве</w:t>
      </w:r>
      <w:r w:rsidRPr="00CC600B">
        <w:t>й</w:t>
      </w:r>
      <w:r w:rsidRPr="00CC600B">
        <w:t xml:space="preserve">царии (Указ о свободном передвижении лиц; PFZV), </w:t>
      </w:r>
      <w:proofErr w:type="spellStart"/>
      <w:r w:rsidRPr="00CC600B">
        <w:t>LGBl</w:t>
      </w:r>
      <w:proofErr w:type="spellEnd"/>
      <w:r w:rsidRPr="00CC600B">
        <w:t xml:space="preserve">. 2009 </w:t>
      </w:r>
      <w:proofErr w:type="spellStart"/>
      <w:r w:rsidRPr="00CC600B">
        <w:t>No</w:t>
      </w:r>
      <w:proofErr w:type="spellEnd"/>
      <w:r w:rsidRPr="00CC600B">
        <w:t>. 350.</w:t>
      </w:r>
    </w:p>
    <w:p w:rsidR="005D2199" w:rsidRPr="00CC600B" w:rsidRDefault="005D2199" w:rsidP="005D2199">
      <w:pPr>
        <w:pStyle w:val="SingleTxtGR"/>
      </w:pPr>
      <w:r w:rsidRPr="00CC600B">
        <w:t xml:space="preserve">Закон от 4 января 1934 года о приобретении и </w:t>
      </w:r>
      <w:r>
        <w:t>утрате</w:t>
      </w:r>
      <w:r w:rsidRPr="00CC600B">
        <w:t xml:space="preserve"> гражданства Лихтенште</w:t>
      </w:r>
      <w:r w:rsidRPr="00CC600B">
        <w:t>й</w:t>
      </w:r>
      <w:r w:rsidRPr="00CC600B">
        <w:t xml:space="preserve">на (Закон о гражданстве, </w:t>
      </w:r>
      <w:proofErr w:type="spellStart"/>
      <w:r w:rsidRPr="00CC600B">
        <w:t>BüG</w:t>
      </w:r>
      <w:proofErr w:type="spellEnd"/>
      <w:r w:rsidRPr="00CC600B">
        <w:t xml:space="preserve">), </w:t>
      </w:r>
      <w:proofErr w:type="spellStart"/>
      <w:r w:rsidRPr="00CC600B">
        <w:t>LGBl</w:t>
      </w:r>
      <w:proofErr w:type="spellEnd"/>
      <w:r w:rsidRPr="00CC600B">
        <w:t xml:space="preserve">. 1960 </w:t>
      </w:r>
      <w:proofErr w:type="spellStart"/>
      <w:r w:rsidRPr="00CC600B">
        <w:t>No</w:t>
      </w:r>
      <w:proofErr w:type="spellEnd"/>
      <w:r w:rsidRPr="00CC600B">
        <w:t>. 23.</w:t>
      </w:r>
    </w:p>
    <w:p w:rsidR="005D2199" w:rsidRPr="00CC600B" w:rsidRDefault="005D2199" w:rsidP="005D2199">
      <w:pPr>
        <w:pStyle w:val="SingleTxtGR"/>
      </w:pPr>
      <w:r w:rsidRPr="00CC600B">
        <w:t>Уголовный кодекс (</w:t>
      </w:r>
      <w:proofErr w:type="spellStart"/>
      <w:r w:rsidRPr="00CC600B">
        <w:t>StGB</w:t>
      </w:r>
      <w:proofErr w:type="spellEnd"/>
      <w:r w:rsidRPr="00CC600B">
        <w:t xml:space="preserve">) от 24 июня 1987 года, </w:t>
      </w:r>
      <w:proofErr w:type="spellStart"/>
      <w:r w:rsidRPr="00CC600B">
        <w:t>LGBl</w:t>
      </w:r>
      <w:proofErr w:type="spellEnd"/>
      <w:r w:rsidRPr="00CC600B">
        <w:t xml:space="preserve">. 1988 </w:t>
      </w:r>
      <w:proofErr w:type="spellStart"/>
      <w:r w:rsidRPr="00CC600B">
        <w:t>No</w:t>
      </w:r>
      <w:proofErr w:type="spellEnd"/>
      <w:r w:rsidRPr="00CC600B">
        <w:t>. 37.</w:t>
      </w:r>
    </w:p>
    <w:p w:rsidR="005D2199" w:rsidRPr="00CC600B" w:rsidRDefault="005D2199" w:rsidP="005D2199">
      <w:pPr>
        <w:pStyle w:val="SingleTxtGR"/>
      </w:pPr>
      <w:r w:rsidRPr="00CC600B">
        <w:t>Уголовно-процессуальный кодекс (</w:t>
      </w:r>
      <w:proofErr w:type="spellStart"/>
      <w:r w:rsidRPr="00CC600B">
        <w:t>StPO</w:t>
      </w:r>
      <w:proofErr w:type="spellEnd"/>
      <w:r w:rsidRPr="00CC600B">
        <w:t xml:space="preserve">) от 18 октября 1988 года, </w:t>
      </w:r>
      <w:proofErr w:type="spellStart"/>
      <w:r w:rsidRPr="00CC600B">
        <w:t>LGBl</w:t>
      </w:r>
      <w:proofErr w:type="spellEnd"/>
      <w:r w:rsidRPr="00CC600B">
        <w:t xml:space="preserve">. 1988 </w:t>
      </w:r>
      <w:proofErr w:type="spellStart"/>
      <w:r w:rsidRPr="00CC600B">
        <w:t>No</w:t>
      </w:r>
      <w:proofErr w:type="spellEnd"/>
      <w:r w:rsidRPr="00CC600B">
        <w:t>. 62.</w:t>
      </w:r>
    </w:p>
    <w:p w:rsidR="005D2199" w:rsidRPr="00CC600B" w:rsidRDefault="005D2199" w:rsidP="005D2199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2199" w:rsidRPr="00CC600B" w:rsidSect="007511D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4D" w:rsidRDefault="009D174D">
      <w:r>
        <w:rPr>
          <w:lang w:val="en-US"/>
        </w:rPr>
        <w:tab/>
      </w:r>
      <w:r>
        <w:separator/>
      </w:r>
    </w:p>
  </w:endnote>
  <w:endnote w:type="continuationSeparator" w:id="0">
    <w:p w:rsidR="009D174D" w:rsidRDefault="009D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9A6F4A" w:rsidRDefault="009D174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Pr="00501434">
      <w:rPr>
        <w:lang w:val="en-US"/>
      </w:rPr>
      <w:t>GE.12-40793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9A6F4A" w:rsidRDefault="009D174D">
    <w:pPr>
      <w:pStyle w:val="Footer"/>
      <w:rPr>
        <w:lang w:val="en-US"/>
      </w:rPr>
    </w:pPr>
    <w:r w:rsidRPr="00501434">
      <w:rPr>
        <w:lang w:val="en-US"/>
      </w:rPr>
      <w:t>GE.12-40793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9A6F4A" w:rsidRDefault="009D174D">
    <w:pPr>
      <w:pStyle w:val="Footer"/>
      <w:rPr>
        <w:sz w:val="20"/>
        <w:lang w:val="en-US"/>
      </w:rPr>
    </w:pPr>
    <w:r>
      <w:rPr>
        <w:sz w:val="20"/>
        <w:lang w:val="en-US"/>
      </w:rPr>
      <w:t>GE.12-40793  (R)  190312  200312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4D" w:rsidRPr="00F71F63" w:rsidRDefault="009D174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D174D" w:rsidRPr="00F71F63" w:rsidRDefault="009D174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D174D" w:rsidRPr="00635E86" w:rsidRDefault="009D174D" w:rsidP="00635E86">
      <w:pPr>
        <w:pStyle w:val="Footer"/>
      </w:pPr>
    </w:p>
  </w:footnote>
  <w:footnote w:id="1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vertAlign w:val="baseline"/>
          <w:lang w:val="ru-RU"/>
        </w:rPr>
        <w:t>*</w:t>
      </w:r>
      <w:r w:rsidRPr="00A41E46">
        <w:rPr>
          <w:lang w:val="ru-RU"/>
        </w:rPr>
        <w:t xml:space="preserve"> </w:t>
      </w:r>
      <w:r w:rsidRPr="00A41E46">
        <w:rPr>
          <w:lang w:val="ru-RU"/>
        </w:rPr>
        <w:tab/>
        <w:t>В настоящем документе содержатся четвертый, пятый и шестой периодические доклады Лихтенштейна, подлежавшие представлению в 2007, 2009 и 2011 годах, соответственно, и представленные в одном документе. Второй и третий периодические доклады и краткие отчеты о заседаниях Комитета, на которых они были рассмотрены, содержатся в документах</w:t>
      </w:r>
      <w:r w:rsidRPr="00A41E46">
        <w:rPr>
          <w:szCs w:val="18"/>
          <w:lang w:val="ru-RU"/>
        </w:rPr>
        <w:t xml:space="preserve"> CERD/C/LIE/3 и CERD/C/SR.1800, 1801 и 1813.</w:t>
      </w:r>
    </w:p>
  </w:footnote>
  <w:footnote w:id="2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vertAlign w:val="baseline"/>
          <w:lang w:val="ru-RU"/>
        </w:rPr>
        <w:t>**</w:t>
      </w:r>
      <w:r w:rsidRPr="00A41E46">
        <w:rPr>
          <w:lang w:val="ru-RU"/>
        </w:rPr>
        <w:t xml:space="preserve"> </w:t>
      </w:r>
      <w:r w:rsidRPr="00A41E46">
        <w:rPr>
          <w:szCs w:val="18"/>
          <w:lang w:val="ru-RU"/>
        </w:rPr>
        <w:tab/>
      </w:r>
      <w:r w:rsidRPr="00A41E46">
        <w:rPr>
          <w:lang w:val="ru-RU"/>
        </w:rPr>
        <w:t>В соответствии с информацией, препровожденной государствам-участникам относительно обработки их докладов, настоящий документ до его передачи в переводческие службы Организации Объединенных Наций официально не редактировался.</w:t>
      </w:r>
    </w:p>
  </w:footnote>
  <w:footnote w:id="3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Концепция интеграции и план мер, а также информация о других мероприятиях в сфере интеграции, опубликованы на вебсайте </w:t>
      </w:r>
      <w:hyperlink r:id="rId1" w:history="1">
        <w:r w:rsidRPr="00A41E46">
          <w:rPr>
            <w:rStyle w:val="Hyperlink"/>
            <w:u w:val="none"/>
            <w:lang w:val="ru-RU"/>
          </w:rPr>
          <w:t>www.integration.li</w:t>
        </w:r>
      </w:hyperlink>
      <w:r w:rsidRPr="00A41E46">
        <w:rPr>
          <w:lang w:val="ru-RU"/>
        </w:rPr>
        <w:t xml:space="preserve"> (только на немецком языке).</w:t>
      </w:r>
    </w:p>
  </w:footnote>
  <w:footnote w:id="4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szCs w:val="18"/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ru-RU"/>
        </w:rPr>
        <w:tab/>
      </w:r>
      <w:r w:rsidRPr="00A41E46">
        <w:rPr>
          <w:szCs w:val="18"/>
          <w:lang w:val="ru-RU"/>
        </w:rPr>
        <w:t>Итоговый документ Конференции по рассмотрению хода осуществления Дурбанской декларации и Программы действий, пункт 76.</w:t>
      </w:r>
    </w:p>
  </w:footnote>
  <w:footnote w:id="5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ru-RU"/>
        </w:rPr>
        <w:tab/>
        <w:t>Закон об иностранцах, LGBl. 2008 No. 311. Указ о приеме и пребывании иностранцев, LGBl. 2008 No. 350.</w:t>
      </w:r>
    </w:p>
  </w:footnote>
  <w:footnote w:id="6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ru-RU"/>
        </w:rPr>
        <w:tab/>
        <w:t>Закон о свободном передвижении лиц, LGBl. 2009 No. 348. Указ о свободном передвижении лиц, LGBl. 2009. No. 350.</w:t>
      </w:r>
    </w:p>
  </w:footnote>
  <w:footnote w:id="7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ru-RU"/>
        </w:rPr>
        <w:tab/>
        <w:t>Соглашение от 2 мая 1992 года о Европейской экономической зоне и Соглашение от 21 июня 2001 года о внесении изменений в Конвенцию об образовании Европейской ассоциации свободной торговли (Вадуцская конвенция).</w:t>
      </w:r>
    </w:p>
  </w:footnote>
  <w:footnote w:id="8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ru-RU"/>
        </w:rPr>
        <w:tab/>
        <w:t>LGBl. 1998 No. 107.</w:t>
      </w:r>
    </w:p>
  </w:footnote>
  <w:footnote w:id="9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ru-RU"/>
        </w:rPr>
        <w:tab/>
        <w:t>Все статистические данные, приведенные в замечаниях к настоящей главе, опубликованы в докладе, озаглавленном "</w:t>
      </w:r>
      <w:r w:rsidRPr="00A41E46">
        <w:t>Facts</w:t>
      </w:r>
      <w:r w:rsidRPr="00A41E46">
        <w:rPr>
          <w:lang w:val="ru-RU"/>
        </w:rPr>
        <w:t xml:space="preserve"> </w:t>
      </w:r>
      <w:r w:rsidRPr="00A41E46">
        <w:t>and</w:t>
      </w:r>
      <w:r w:rsidRPr="00A41E46">
        <w:rPr>
          <w:lang w:val="ru-RU"/>
        </w:rPr>
        <w:t xml:space="preserve"> </w:t>
      </w:r>
      <w:r w:rsidRPr="00A41E46">
        <w:t>Figures</w:t>
      </w:r>
      <w:r w:rsidRPr="00A41E46">
        <w:rPr>
          <w:lang w:val="ru-RU"/>
        </w:rPr>
        <w:t xml:space="preserve"> </w:t>
      </w:r>
      <w:r w:rsidRPr="00A41E46">
        <w:t>on</w:t>
      </w:r>
      <w:r w:rsidRPr="00A41E46">
        <w:rPr>
          <w:lang w:val="ru-RU"/>
        </w:rPr>
        <w:t xml:space="preserve"> </w:t>
      </w:r>
      <w:r w:rsidRPr="00A41E46">
        <w:t>the</w:t>
      </w:r>
      <w:r w:rsidRPr="00A41E46">
        <w:rPr>
          <w:lang w:val="ru-RU"/>
        </w:rPr>
        <w:t xml:space="preserve"> </w:t>
      </w:r>
      <w:r w:rsidRPr="00A41E46">
        <w:t>Human</w:t>
      </w:r>
      <w:r w:rsidRPr="00A41E46">
        <w:rPr>
          <w:lang w:val="ru-RU"/>
        </w:rPr>
        <w:t xml:space="preserve"> </w:t>
      </w:r>
      <w:r w:rsidRPr="00A41E46">
        <w:t>Rights</w:t>
      </w:r>
      <w:r w:rsidRPr="00A41E46">
        <w:rPr>
          <w:lang w:val="ru-RU"/>
        </w:rPr>
        <w:t xml:space="preserve"> </w:t>
      </w:r>
      <w:r w:rsidRPr="00A41E46">
        <w:t>Situation</w:t>
      </w:r>
      <w:r w:rsidRPr="00A41E46">
        <w:rPr>
          <w:lang w:val="ru-RU"/>
        </w:rPr>
        <w:t xml:space="preserve"> </w:t>
      </w:r>
      <w:r w:rsidRPr="00A41E46">
        <w:t>in</w:t>
      </w:r>
      <w:r w:rsidRPr="00A41E46">
        <w:rPr>
          <w:lang w:val="ru-RU"/>
        </w:rPr>
        <w:t xml:space="preserve"> </w:t>
      </w:r>
      <w:r w:rsidRPr="00A41E46">
        <w:t>Liechtenstein</w:t>
      </w:r>
      <w:r w:rsidRPr="00A41E46">
        <w:rPr>
          <w:lang w:val="ru-RU"/>
        </w:rPr>
        <w:t xml:space="preserve">. </w:t>
      </w:r>
      <w:r w:rsidRPr="00A41E46">
        <w:t>Status</w:t>
      </w:r>
      <w:r w:rsidRPr="00A41E46">
        <w:rPr>
          <w:lang w:val="ru-RU"/>
        </w:rPr>
        <w:t xml:space="preserve"> </w:t>
      </w:r>
      <w:r w:rsidRPr="00A41E46">
        <w:t>Report</w:t>
      </w:r>
      <w:r w:rsidRPr="00A41E46">
        <w:rPr>
          <w:lang w:val="ru-RU"/>
        </w:rPr>
        <w:t xml:space="preserve"> 2010" ("Факты и цифры о положении в области прав человека в Лихтенштейне. Отчет о положении дел 2010 года"), и представлены на вебсайте Управления иностранных дел (www.aaa.llv.li/menschenrechte).</w:t>
      </w:r>
    </w:p>
  </w:footnote>
  <w:footnote w:id="10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ru-RU"/>
        </w:rPr>
        <w:tab/>
        <w:t>Статья 5 b) Закона о гражданстве, LGBl. 2008 No. 306.</w:t>
      </w:r>
    </w:p>
  </w:footnote>
  <w:footnote w:id="11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ru-RU"/>
        </w:rPr>
        <w:tab/>
        <w:t>С</w:t>
      </w:r>
      <w:r w:rsidRPr="00A41E46">
        <w:rPr>
          <w:color w:val="000000"/>
          <w:lang w:val="ru-RU"/>
        </w:rPr>
        <w:t>татья 4 а) Закона о гражданстве</w:t>
      </w:r>
      <w:r w:rsidRPr="00A41E46">
        <w:rPr>
          <w:lang w:val="ru-RU"/>
        </w:rPr>
        <w:t>, LGBl. 2008 No. 306. См. также замечания по рекомендации № 17 в разделе, посвященном статье 2.</w:t>
      </w:r>
    </w:p>
  </w:footnote>
  <w:footnote w:id="12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>Подробная информация представлена в главе F общего базового документа.</w:t>
      </w:r>
    </w:p>
  </w:footnote>
  <w:footnote w:id="13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ru-RU"/>
        </w:rPr>
        <w:tab/>
        <w:t xml:space="preserve">Дополнительная информация содержится на вебсайте </w:t>
      </w:r>
      <w:hyperlink r:id="rId2" w:history="1">
        <w:r w:rsidRPr="00A41E46">
          <w:rPr>
            <w:rStyle w:val="Hyperlink"/>
            <w:u w:val="none"/>
            <w:lang w:val="ru-RU"/>
          </w:rPr>
          <w:t>www.scg.llv.li</w:t>
        </w:r>
      </w:hyperlink>
      <w:r w:rsidRPr="00A41E46">
        <w:rPr>
          <w:lang w:val="ru-RU"/>
        </w:rPr>
        <w:t>.</w:t>
      </w:r>
    </w:p>
  </w:footnote>
  <w:footnote w:id="14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en-US"/>
        </w:rPr>
      </w:pPr>
      <w:r w:rsidRPr="00A41E46">
        <w:rPr>
          <w:lang w:val="ru-RU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en-US"/>
        </w:rPr>
        <w:tab/>
        <w:t xml:space="preserve">Statistische Daten zu Rassismus und Diskriminierung im Fürstentum Liechtenstein − Anforderungen, Analysen, Perspektiven", Wilfried Marxer, </w:t>
      </w:r>
      <w:r w:rsidRPr="00A41E46">
        <w:t>Liechtenstein Institute, September 2005.</w:t>
      </w:r>
      <w:r w:rsidRPr="00A41E46">
        <w:rPr>
          <w:lang w:val="en-US"/>
        </w:rPr>
        <w:t xml:space="preserve"> "Integration der ausländischen Bevölkerung in Liechtenstein. Bestandesaufnahme zu den Fakten, Ursachen, Massnahmen und zum integrationspolitischen Handlungsbedarf" </w:t>
      </w:r>
      <w:r w:rsidRPr="00A41E46">
        <w:t>("Integration report"), Office for Foreign Affairs, August 2007. "Zur gesellschaftlichen Lage von Menschen mit Behinderungen", Wilfried Marxer/Silvia Simon, Liechtenstein Institute, December 2007. "Homosexuelle Menschen und Diskriminierung in Liechtenstein", Jen Wang, Institute of Social and Preventive Medicine of the University of Zurich, December 2007.</w:t>
      </w:r>
    </w:p>
  </w:footnote>
  <w:footnote w:id="15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en-US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ru-RU"/>
        </w:rPr>
        <w:tab/>
        <w:t>Этот доклад опубликован на вебсайте Управления иностранных дел (</w:t>
      </w:r>
      <w:hyperlink r:id="rId3" w:history="1">
        <w:r w:rsidRPr="00A41E46">
          <w:rPr>
            <w:rStyle w:val="Hyperlink"/>
            <w:u w:val="none"/>
            <w:lang w:val="ru-RU"/>
          </w:rPr>
          <w:t>www.aaa.llv.li/menschenrechte</w:t>
        </w:r>
      </w:hyperlink>
      <w:r w:rsidRPr="00A41E46">
        <w:rPr>
          <w:lang w:val="ru-RU"/>
        </w:rPr>
        <w:t>) на немецком языке. Если не указано иное, все далее использованные данные взяты из этого доклада.</w:t>
      </w:r>
    </w:p>
  </w:footnote>
  <w:footnote w:id="16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  <w:lang w:val="ru-RU"/>
        </w:rPr>
        <w:footnoteRef/>
      </w:r>
      <w:r w:rsidRPr="00A41E46">
        <w:rPr>
          <w:lang w:val="ru-RU"/>
        </w:rPr>
        <w:tab/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Второй доклад об уровне нищеты, Управление по социальным делам, 2008 год.</w:t>
      </w:r>
    </w:p>
  </w:footnote>
  <w:footnote w:id="17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E41E51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Статистика оплаты труда за 2008 год, Статистическое управление.</w:t>
      </w:r>
    </w:p>
  </w:footnote>
  <w:footnote w:id="18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Статистические данные о безработице. По состоянию на апрель 2011 года.</w:t>
      </w:r>
    </w:p>
  </w:footnote>
  <w:footnote w:id="19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Разбивка по группам стран анализировалась в специальном обследовании. Следующее специальное обследование запланировано на 2012 год.</w:t>
      </w:r>
    </w:p>
  </w:footnote>
  <w:footnote w:id="20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>LGBl. 2008 No. 306.</w:t>
      </w:r>
    </w:p>
  </w:footnote>
  <w:footnote w:id="21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>В результате этого пересмотра были созданы правовые основания для ратификации Конвенции о статусе лиц без гражданства 1954 года и Конвенции о сокращении безгражданства 1961 года. Лихтенштейн присоединился к обеим этим конвенциям 25 сентября 2009 года. Кроме того, были сняты оговорки к статье 7 Конвенции о правах ребенка 1989 года и Конвенции о статусе беженцев 1951 года.</w:t>
      </w:r>
    </w:p>
  </w:footnote>
  <w:footnote w:id="22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Статистика в области натурализации, 2009 год.</w:t>
      </w:r>
    </w:p>
  </w:footnote>
  <w:footnote w:id="23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Информация, представленная общинами.</w:t>
      </w:r>
    </w:p>
  </w:footnote>
  <w:footnote w:id="24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Информация, представленная общинами.</w:t>
      </w:r>
    </w:p>
  </w:footnote>
  <w:footnote w:id="25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tab/>
      </w:r>
      <w:r w:rsidRPr="00A41E46">
        <w:rPr>
          <w:lang w:val="en-US"/>
        </w:rPr>
        <w:t xml:space="preserve">Eser Davolio, Miryam; Drilling, Matthias (2009): Rechtsextremismus im Fürstentum Liechtenstein. Eine qualitative Studie zu Hintergründen und Herangehensweisen. Eine Studie im Auftrag der Gewaltschutzkommission des Fürstentums Liechtenstein. University of Applied Sciences Northwestern Switzerland. </w:t>
      </w:r>
      <w:r w:rsidRPr="00A41E46">
        <w:rPr>
          <w:lang w:val="ru-RU"/>
        </w:rPr>
        <w:t>Basel. (Текст исследования опубликован на немецком языке на вебсайте Комиссии по защите от насилия [</w:t>
      </w:r>
      <w:hyperlink r:id="rId4" w:history="1">
        <w:r w:rsidRPr="00A41E46">
          <w:rPr>
            <w:lang w:val="ru-RU"/>
          </w:rPr>
          <w:t>www.respect-bitte.li</w:t>
        </w:r>
      </w:hyperlink>
      <w:r w:rsidRPr="00A41E46">
        <w:rPr>
          <w:lang w:val="ru-RU"/>
        </w:rPr>
        <w:t>])</w:t>
      </w:r>
      <w:r>
        <w:rPr>
          <w:lang w:val="ru-RU"/>
        </w:rPr>
        <w:t>.</w:t>
      </w:r>
    </w:p>
  </w:footnote>
  <w:footnote w:id="26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Уголовный кодекс от 24 июня 1987 года с поправками, внесенными </w:t>
      </w:r>
      <w:r w:rsidRPr="00A41E46">
        <w:t>LGBl</w:t>
      </w:r>
      <w:r w:rsidRPr="00A41E46">
        <w:rPr>
          <w:lang w:val="ru-RU"/>
        </w:rPr>
        <w:t xml:space="preserve">. 2000 </w:t>
      </w:r>
      <w:r w:rsidRPr="00A41E46">
        <w:t>No</w:t>
      </w:r>
      <w:r w:rsidRPr="00A41E46">
        <w:rPr>
          <w:lang w:val="ru-RU"/>
        </w:rPr>
        <w:t>. 36.</w:t>
      </w:r>
    </w:p>
  </w:footnote>
  <w:footnote w:id="27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>Доклад опубликован</w:t>
      </w:r>
      <w:r w:rsidRPr="00A41E46">
        <w:rPr>
          <w:vertAlign w:val="superscript"/>
          <w:lang w:val="ru-RU"/>
        </w:rPr>
        <w:t xml:space="preserve"> </w:t>
      </w:r>
      <w:r w:rsidRPr="00A41E46">
        <w:rPr>
          <w:lang w:val="ru-RU"/>
        </w:rPr>
        <w:t>на немецком языке на вебсайте Комиссии по защите от насилия (www.respect-bitte.li).</w:t>
      </w:r>
    </w:p>
  </w:footnote>
  <w:footnote w:id="28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Правительственная Комиссия по защите от насилия и Управление государственного прокурора.</w:t>
      </w:r>
    </w:p>
  </w:footnote>
  <w:footnote w:id="29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Правительственная Комиссия по защите от насилия и Управление государственного прокурора.</w:t>
      </w:r>
    </w:p>
  </w:footnote>
  <w:footnote w:id="30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Закон об иностранцах, </w:t>
      </w:r>
      <w:r w:rsidRPr="00A41E46">
        <w:t>LGBl</w:t>
      </w:r>
      <w:r w:rsidRPr="00A41E46">
        <w:rPr>
          <w:lang w:val="ru-RU"/>
        </w:rPr>
        <w:t xml:space="preserve">. 2008 </w:t>
      </w:r>
      <w:r w:rsidRPr="00A41E46">
        <w:t>No</w:t>
      </w:r>
      <w:r w:rsidRPr="00A41E46">
        <w:rPr>
          <w:lang w:val="ru-RU"/>
        </w:rPr>
        <w:t xml:space="preserve">. 311. Указ о приеме и пребывании иностранцев, </w:t>
      </w:r>
      <w:r w:rsidRPr="00A41E46">
        <w:t>LGBl</w:t>
      </w:r>
      <w:r w:rsidRPr="00A41E46">
        <w:rPr>
          <w:lang w:val="ru-RU"/>
        </w:rPr>
        <w:t xml:space="preserve">. 2008 </w:t>
      </w:r>
      <w:r w:rsidRPr="00A41E46">
        <w:t>No</w:t>
      </w:r>
      <w:r w:rsidRPr="00A41E46">
        <w:rPr>
          <w:lang w:val="ru-RU"/>
        </w:rPr>
        <w:t xml:space="preserve">. 350. Закон о свободном передвижении лиц, </w:t>
      </w:r>
      <w:r w:rsidRPr="00A41E46">
        <w:t>LGBl</w:t>
      </w:r>
      <w:r w:rsidRPr="00A41E46">
        <w:rPr>
          <w:lang w:val="ru-RU"/>
        </w:rPr>
        <w:t xml:space="preserve">. 2009 </w:t>
      </w:r>
      <w:r w:rsidRPr="00A41E46">
        <w:t>No</w:t>
      </w:r>
      <w:r w:rsidRPr="00A41E46">
        <w:rPr>
          <w:lang w:val="ru-RU"/>
        </w:rPr>
        <w:t xml:space="preserve">. 348. Указ о свободном передвижении лиц, </w:t>
      </w:r>
      <w:r w:rsidRPr="00A41E46">
        <w:t>LGBl</w:t>
      </w:r>
      <w:r w:rsidRPr="00A41E46">
        <w:rPr>
          <w:lang w:val="ru-RU"/>
        </w:rPr>
        <w:t xml:space="preserve">. 2009 </w:t>
      </w:r>
      <w:r w:rsidRPr="00A41E46">
        <w:t>No</w:t>
      </w:r>
      <w:r w:rsidRPr="00A41E46">
        <w:rPr>
          <w:lang w:val="ru-RU"/>
        </w:rPr>
        <w:t>. 350.</w:t>
      </w:r>
    </w:p>
  </w:footnote>
  <w:footnote w:id="31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>Договор от 29 марта 1921 года между Швейцарией и Лихтенштейном о включении Княжества Лихтенштейн в Швейцарское таможенное пространство и Соглашение от 2 мая 1992 года о Европейском экономическом пространстве.</w:t>
      </w:r>
    </w:p>
  </w:footnote>
  <w:footnote w:id="32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Закон о свободном передвижении лиц, </w:t>
      </w:r>
      <w:r w:rsidRPr="00A41E46">
        <w:t>LGBl</w:t>
      </w:r>
      <w:r w:rsidRPr="00A41E46">
        <w:rPr>
          <w:lang w:val="ru-RU"/>
        </w:rPr>
        <w:t xml:space="preserve">. 2009 </w:t>
      </w:r>
      <w:r w:rsidRPr="00A41E46">
        <w:t>No</w:t>
      </w:r>
      <w:r w:rsidRPr="00A41E46">
        <w:rPr>
          <w:lang w:val="ru-RU"/>
        </w:rPr>
        <w:t>. 348, пункт 1 d) статьи 4.</w:t>
      </w:r>
    </w:p>
  </w:footnote>
  <w:footnote w:id="33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Закон о свободном передвижении лиц, </w:t>
      </w:r>
      <w:r w:rsidRPr="00A41E46">
        <w:t>LGBl</w:t>
      </w:r>
      <w:r w:rsidRPr="00A41E46">
        <w:rPr>
          <w:lang w:val="ru-RU"/>
        </w:rPr>
        <w:t xml:space="preserve">. 2009 </w:t>
      </w:r>
      <w:r w:rsidRPr="00A41E46">
        <w:t>No</w:t>
      </w:r>
      <w:r w:rsidRPr="00A41E46">
        <w:rPr>
          <w:lang w:val="ru-RU"/>
        </w:rPr>
        <w:t>. 348, статья 45.</w:t>
      </w:r>
    </w:p>
  </w:footnote>
  <w:footnote w:id="34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Закон об иностранцах, </w:t>
      </w:r>
      <w:r w:rsidRPr="00A41E46">
        <w:t>LGBl</w:t>
      </w:r>
      <w:r w:rsidRPr="00A41E46">
        <w:rPr>
          <w:lang w:val="ru-RU"/>
        </w:rPr>
        <w:t xml:space="preserve">. 2008 </w:t>
      </w:r>
      <w:r w:rsidRPr="00A41E46">
        <w:t>No</w:t>
      </w:r>
      <w:r w:rsidRPr="00A41E46">
        <w:rPr>
          <w:lang w:val="ru-RU"/>
        </w:rPr>
        <w:t>. 311, пункт 2 статьи 32 и статья 33.</w:t>
      </w:r>
    </w:p>
  </w:footnote>
  <w:footnote w:id="35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Закон о свободном передвижении лиц, </w:t>
      </w:r>
      <w:r w:rsidRPr="00A41E46">
        <w:t>LGBl</w:t>
      </w:r>
      <w:r w:rsidRPr="00A41E46">
        <w:rPr>
          <w:lang w:val="ru-RU"/>
        </w:rPr>
        <w:t xml:space="preserve">. 2009 </w:t>
      </w:r>
      <w:r w:rsidRPr="00A41E46">
        <w:t>No</w:t>
      </w:r>
      <w:r w:rsidRPr="00A41E46">
        <w:rPr>
          <w:lang w:val="ru-RU"/>
        </w:rPr>
        <w:t>. 348, статья 41.</w:t>
      </w:r>
    </w:p>
  </w:footnote>
  <w:footnote w:id="36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Закон об иностранцах, </w:t>
      </w:r>
      <w:r w:rsidRPr="00A41E46">
        <w:t>LGBl</w:t>
      </w:r>
      <w:r w:rsidRPr="00A41E46">
        <w:rPr>
          <w:lang w:val="ru-RU"/>
        </w:rPr>
        <w:t xml:space="preserve">. 2008 </w:t>
      </w:r>
      <w:r w:rsidRPr="00A41E46">
        <w:t>No</w:t>
      </w:r>
      <w:r w:rsidRPr="00A41E46">
        <w:rPr>
          <w:lang w:val="ru-RU"/>
        </w:rPr>
        <w:t>. 311, статья 34.</w:t>
      </w:r>
    </w:p>
  </w:footnote>
  <w:footnote w:id="37">
    <w:p w:rsidR="009D174D" w:rsidRPr="00A41E46" w:rsidRDefault="009D174D" w:rsidP="00A41E46">
      <w:pPr>
        <w:pStyle w:val="FootnoteText"/>
        <w:spacing w:line="240" w:lineRule="auto"/>
        <w:rPr>
          <w:lang w:val="ru-RU"/>
        </w:rPr>
      </w:pPr>
      <w:r w:rsidRPr="00A41E46"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Закон о свободном передвижении лиц, </w:t>
      </w:r>
      <w:r w:rsidRPr="00A41E46">
        <w:t>LGBl</w:t>
      </w:r>
      <w:r w:rsidRPr="00A41E46">
        <w:rPr>
          <w:lang w:val="ru-RU"/>
        </w:rPr>
        <w:t xml:space="preserve">. 2009. </w:t>
      </w:r>
      <w:r w:rsidRPr="00A41E46">
        <w:t>No</w:t>
      </w:r>
      <w:r w:rsidRPr="00A41E46">
        <w:rPr>
          <w:lang w:val="ru-RU"/>
        </w:rPr>
        <w:t>. 348, статья 48.</w:t>
      </w:r>
    </w:p>
  </w:footnote>
  <w:footnote w:id="38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 </w:t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Ответ правительства Парламенту Княжества Лихтенштейн на запрос относительно текущей и будущей политики в области допуска в страну и иммиграции.</w:t>
      </w:r>
    </w:p>
  </w:footnote>
  <w:footnote w:id="39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tab/>
        <w:t xml:space="preserve"> </w:t>
      </w:r>
      <w:r w:rsidRPr="00E41E51">
        <w:rPr>
          <w:i/>
          <w:lang w:val="ru-RU"/>
        </w:rPr>
        <w:t>Источник</w:t>
      </w:r>
      <w:r w:rsidRPr="00A41E46">
        <w:t>: Facts and Figures on the Human Rights Situation in Liechtenstein. Status</w:t>
      </w:r>
      <w:r w:rsidRPr="00A41E46">
        <w:rPr>
          <w:lang w:val="ru-RU"/>
        </w:rPr>
        <w:t xml:space="preserve"> </w:t>
      </w:r>
      <w:r w:rsidRPr="00A41E46">
        <w:t>Report</w:t>
      </w:r>
      <w:r w:rsidRPr="00A41E46">
        <w:rPr>
          <w:lang w:val="ru-RU"/>
        </w:rPr>
        <w:t xml:space="preserve"> 2010, </w:t>
      </w:r>
      <w:r w:rsidRPr="00A41E46">
        <w:t>p</w:t>
      </w:r>
      <w:r w:rsidRPr="00A41E46">
        <w:rPr>
          <w:lang w:val="ru-RU"/>
        </w:rPr>
        <w:t>. 102.</w:t>
      </w:r>
    </w:p>
  </w:footnote>
  <w:footnote w:id="40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 </w:t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Интервью с заместителем Премьер-министра Мартином Мейером в "Лихтенштайнер вольксблатт", 20 января 2011 года.</w:t>
      </w:r>
    </w:p>
  </w:footnote>
  <w:footnote w:id="41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 xml:space="preserve"> Доклад размещен на вебсайте Управления иностранных дел (</w:t>
      </w:r>
      <w:hyperlink r:id="rId5" w:history="1">
        <w:r w:rsidRPr="00A41E46">
          <w:rPr>
            <w:rStyle w:val="Hyperlink"/>
            <w:u w:val="none"/>
          </w:rPr>
          <w:t>www</w:t>
        </w:r>
        <w:r w:rsidRPr="00A41E46">
          <w:rPr>
            <w:rStyle w:val="Hyperlink"/>
            <w:u w:val="none"/>
            <w:lang w:val="ru-RU"/>
          </w:rPr>
          <w:t>.</w:t>
        </w:r>
        <w:r w:rsidRPr="00A41E46">
          <w:rPr>
            <w:rStyle w:val="Hyperlink"/>
            <w:u w:val="none"/>
          </w:rPr>
          <w:t>aaa</w:t>
        </w:r>
        <w:r w:rsidRPr="00A41E46">
          <w:rPr>
            <w:rStyle w:val="Hyperlink"/>
            <w:u w:val="none"/>
            <w:lang w:val="ru-RU"/>
          </w:rPr>
          <w:t>.</w:t>
        </w:r>
        <w:r w:rsidRPr="00A41E46">
          <w:rPr>
            <w:rStyle w:val="Hyperlink"/>
            <w:u w:val="none"/>
          </w:rPr>
          <w:t>llv</w:t>
        </w:r>
        <w:r w:rsidRPr="00A41E46">
          <w:rPr>
            <w:rStyle w:val="Hyperlink"/>
            <w:u w:val="none"/>
            <w:lang w:val="ru-RU"/>
          </w:rPr>
          <w:t>.</w:t>
        </w:r>
        <w:r w:rsidRPr="00A41E46">
          <w:rPr>
            <w:rStyle w:val="Hyperlink"/>
            <w:u w:val="none"/>
          </w:rPr>
          <w:t>li</w:t>
        </w:r>
        <w:r w:rsidRPr="00A41E46">
          <w:rPr>
            <w:rStyle w:val="Hyperlink"/>
            <w:u w:val="none"/>
            <w:lang w:val="ru-RU"/>
          </w:rPr>
          <w:t>/</w:t>
        </w:r>
        <w:r w:rsidRPr="00A41E46">
          <w:rPr>
            <w:rStyle w:val="Hyperlink"/>
            <w:u w:val="none"/>
          </w:rPr>
          <w:t>menschenrechte</w:t>
        </w:r>
      </w:hyperlink>
      <w:r w:rsidRPr="00A41E46">
        <w:rPr>
          <w:lang w:val="ru-RU"/>
        </w:rPr>
        <w:t>).</w:t>
      </w:r>
    </w:p>
  </w:footnote>
  <w:footnote w:id="42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</w:r>
      <w:r w:rsidRPr="00E41E51">
        <w:rPr>
          <w:i/>
          <w:lang w:val="ru-RU"/>
        </w:rPr>
        <w:t>Источник</w:t>
      </w:r>
      <w:r w:rsidRPr="00A41E46">
        <w:rPr>
          <w:lang w:val="ru-RU"/>
        </w:rPr>
        <w:t>: Доклад и предложение № 2008/80 правительства парламенту о внесении изменений в Закон о приобретении и утрате гражданства Лихтенштейна в части положений об интеграции, найденышах, лицах без гражданства и расширении предварительных условий и наличии препятствий к предоставлению гражданства (Закон Лихтенштейна о гражданстве), а также о внесении изменений в другие законы (Закон об общинах).</w:t>
      </w:r>
    </w:p>
  </w:footnote>
  <w:footnote w:id="43">
    <w:p w:rsidR="009D174D" w:rsidRPr="00A41E46" w:rsidRDefault="009D174D" w:rsidP="00A41E46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lang w:val="ru-RU"/>
        </w:rPr>
      </w:pPr>
      <w:r w:rsidRPr="00A41E46">
        <w:rPr>
          <w:lang w:val="ru-RU"/>
        </w:rPr>
        <w:tab/>
      </w:r>
      <w:r w:rsidRPr="00A41E46">
        <w:rPr>
          <w:rStyle w:val="FootnoteReference"/>
        </w:rPr>
        <w:footnoteRef/>
      </w:r>
      <w:r w:rsidRPr="00A41E46">
        <w:rPr>
          <w:lang w:val="ru-RU"/>
        </w:rPr>
        <w:tab/>
        <w:t>Точная формулировка в Законе о свободном передвижении лиц звучит следующим образом: "Иностранным лицам необходимо…".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5A734F" w:rsidRDefault="009D174D">
    <w:pPr>
      <w:pStyle w:val="Header"/>
      <w:rPr>
        <w:lang w:val="en-US"/>
      </w:rPr>
    </w:pPr>
    <w:r>
      <w:rPr>
        <w:lang w:val="en-US"/>
      </w:rPr>
      <w:t>CERD/C/LIE/4-6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9A6F4A" w:rsidRDefault="009D174D">
    <w:pPr>
      <w:pStyle w:val="Header"/>
      <w:rPr>
        <w:lang w:val="en-US"/>
      </w:rPr>
    </w:pPr>
    <w:r>
      <w:rPr>
        <w:lang w:val="en-US"/>
      </w:rPr>
      <w:tab/>
      <w:t>CERD/C/LIE/4-6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191"/>
    <w:rsid w:val="000033D8"/>
    <w:rsid w:val="00005C1C"/>
    <w:rsid w:val="00016553"/>
    <w:rsid w:val="000233B3"/>
    <w:rsid w:val="00023E9E"/>
    <w:rsid w:val="00024652"/>
    <w:rsid w:val="00026B0C"/>
    <w:rsid w:val="0003638E"/>
    <w:rsid w:val="00036E76"/>
    <w:rsid w:val="00036FF2"/>
    <w:rsid w:val="0004010A"/>
    <w:rsid w:val="00043D88"/>
    <w:rsid w:val="00046E4D"/>
    <w:rsid w:val="00047531"/>
    <w:rsid w:val="0006401A"/>
    <w:rsid w:val="00072C27"/>
    <w:rsid w:val="00086182"/>
    <w:rsid w:val="00090891"/>
    <w:rsid w:val="00092E62"/>
    <w:rsid w:val="00097975"/>
    <w:rsid w:val="000A3DDF"/>
    <w:rsid w:val="000A60A0"/>
    <w:rsid w:val="000B09CF"/>
    <w:rsid w:val="000C3688"/>
    <w:rsid w:val="000D2C40"/>
    <w:rsid w:val="000D6863"/>
    <w:rsid w:val="00111191"/>
    <w:rsid w:val="00117AEE"/>
    <w:rsid w:val="00140C65"/>
    <w:rsid w:val="001463F7"/>
    <w:rsid w:val="0015769C"/>
    <w:rsid w:val="00180752"/>
    <w:rsid w:val="00185076"/>
    <w:rsid w:val="0018543C"/>
    <w:rsid w:val="00190231"/>
    <w:rsid w:val="00192ABD"/>
    <w:rsid w:val="001A44E9"/>
    <w:rsid w:val="001A75D5"/>
    <w:rsid w:val="001A7D40"/>
    <w:rsid w:val="001B2E7D"/>
    <w:rsid w:val="001D07F7"/>
    <w:rsid w:val="001D7B8F"/>
    <w:rsid w:val="001E48EE"/>
    <w:rsid w:val="001F2D04"/>
    <w:rsid w:val="0020059C"/>
    <w:rsid w:val="002019BD"/>
    <w:rsid w:val="00230442"/>
    <w:rsid w:val="00232D42"/>
    <w:rsid w:val="00237334"/>
    <w:rsid w:val="002444F4"/>
    <w:rsid w:val="002629A0"/>
    <w:rsid w:val="002811B6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00726"/>
    <w:rsid w:val="003215F5"/>
    <w:rsid w:val="00325FAF"/>
    <w:rsid w:val="00332891"/>
    <w:rsid w:val="003425E7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31AC"/>
    <w:rsid w:val="00451CFD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01434"/>
    <w:rsid w:val="0051339C"/>
    <w:rsid w:val="0051412F"/>
    <w:rsid w:val="00522B6F"/>
    <w:rsid w:val="0052430E"/>
    <w:rsid w:val="005276AD"/>
    <w:rsid w:val="00540A9A"/>
    <w:rsid w:val="00540E0F"/>
    <w:rsid w:val="005425E1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2199"/>
    <w:rsid w:val="005D346D"/>
    <w:rsid w:val="005E74AB"/>
    <w:rsid w:val="00606A3E"/>
    <w:rsid w:val="006115AA"/>
    <w:rsid w:val="006120AE"/>
    <w:rsid w:val="00635E86"/>
    <w:rsid w:val="00636A37"/>
    <w:rsid w:val="00642DAE"/>
    <w:rsid w:val="00647C72"/>
    <w:rsid w:val="006501A5"/>
    <w:rsid w:val="006520AF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0ECF"/>
    <w:rsid w:val="006C16AE"/>
    <w:rsid w:val="006C1814"/>
    <w:rsid w:val="006C2F45"/>
    <w:rsid w:val="006C361A"/>
    <w:rsid w:val="006C5657"/>
    <w:rsid w:val="006D0225"/>
    <w:rsid w:val="006D5E4E"/>
    <w:rsid w:val="006E6860"/>
    <w:rsid w:val="006E7183"/>
    <w:rsid w:val="006F5FBF"/>
    <w:rsid w:val="0070327E"/>
    <w:rsid w:val="00703C5B"/>
    <w:rsid w:val="00707B5F"/>
    <w:rsid w:val="007147F0"/>
    <w:rsid w:val="00735602"/>
    <w:rsid w:val="007511D7"/>
    <w:rsid w:val="0075279B"/>
    <w:rsid w:val="00753748"/>
    <w:rsid w:val="00762446"/>
    <w:rsid w:val="00781ACB"/>
    <w:rsid w:val="0079450A"/>
    <w:rsid w:val="007A0A12"/>
    <w:rsid w:val="007A79EB"/>
    <w:rsid w:val="007C7F73"/>
    <w:rsid w:val="007D4CA0"/>
    <w:rsid w:val="007D7A23"/>
    <w:rsid w:val="007E38C3"/>
    <w:rsid w:val="007E549E"/>
    <w:rsid w:val="007E71C9"/>
    <w:rsid w:val="007F7553"/>
    <w:rsid w:val="00803FE0"/>
    <w:rsid w:val="0080755E"/>
    <w:rsid w:val="008120D4"/>
    <w:rsid w:val="008139A5"/>
    <w:rsid w:val="00817F73"/>
    <w:rsid w:val="0082228E"/>
    <w:rsid w:val="00830402"/>
    <w:rsid w:val="008305D7"/>
    <w:rsid w:val="008336A0"/>
    <w:rsid w:val="00834887"/>
    <w:rsid w:val="00842FED"/>
    <w:rsid w:val="008455CF"/>
    <w:rsid w:val="00847689"/>
    <w:rsid w:val="008505B2"/>
    <w:rsid w:val="00861C52"/>
    <w:rsid w:val="008727A1"/>
    <w:rsid w:val="00886B0F"/>
    <w:rsid w:val="00891C08"/>
    <w:rsid w:val="008A3879"/>
    <w:rsid w:val="008A5FA8"/>
    <w:rsid w:val="008A7575"/>
    <w:rsid w:val="008B3A30"/>
    <w:rsid w:val="008B5F47"/>
    <w:rsid w:val="008C7B87"/>
    <w:rsid w:val="008D408E"/>
    <w:rsid w:val="008D6A7A"/>
    <w:rsid w:val="008E2356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5180"/>
    <w:rsid w:val="009B1D9B"/>
    <w:rsid w:val="009B4074"/>
    <w:rsid w:val="009C30BB"/>
    <w:rsid w:val="009C60BE"/>
    <w:rsid w:val="009D174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1E46"/>
    <w:rsid w:val="00A638B4"/>
    <w:rsid w:val="00A75A8F"/>
    <w:rsid w:val="00A800D1"/>
    <w:rsid w:val="00A92699"/>
    <w:rsid w:val="00AB5BF0"/>
    <w:rsid w:val="00AC1C95"/>
    <w:rsid w:val="00AC2CCB"/>
    <w:rsid w:val="00AC443A"/>
    <w:rsid w:val="00AC7F98"/>
    <w:rsid w:val="00AE60E2"/>
    <w:rsid w:val="00B0169F"/>
    <w:rsid w:val="00B01D1D"/>
    <w:rsid w:val="00B05F21"/>
    <w:rsid w:val="00B14EA9"/>
    <w:rsid w:val="00B30A3C"/>
    <w:rsid w:val="00B341D2"/>
    <w:rsid w:val="00B81305"/>
    <w:rsid w:val="00BB17DC"/>
    <w:rsid w:val="00BB1AF9"/>
    <w:rsid w:val="00BB4C4A"/>
    <w:rsid w:val="00BD3CAE"/>
    <w:rsid w:val="00BD4F52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4AF3"/>
    <w:rsid w:val="00CC41FD"/>
    <w:rsid w:val="00CE3D6F"/>
    <w:rsid w:val="00CE79A5"/>
    <w:rsid w:val="00CF0042"/>
    <w:rsid w:val="00CF262F"/>
    <w:rsid w:val="00D025D5"/>
    <w:rsid w:val="00D25BAE"/>
    <w:rsid w:val="00D26B13"/>
    <w:rsid w:val="00D26CC1"/>
    <w:rsid w:val="00D30662"/>
    <w:rsid w:val="00D32A0B"/>
    <w:rsid w:val="00D6236B"/>
    <w:rsid w:val="00D809D1"/>
    <w:rsid w:val="00D84ECF"/>
    <w:rsid w:val="00D94E08"/>
    <w:rsid w:val="00DA2851"/>
    <w:rsid w:val="00DA2B7C"/>
    <w:rsid w:val="00DA5686"/>
    <w:rsid w:val="00DB24B4"/>
    <w:rsid w:val="00DB2FC0"/>
    <w:rsid w:val="00DE7E1D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1E51"/>
    <w:rsid w:val="00E46A04"/>
    <w:rsid w:val="00E54AEB"/>
    <w:rsid w:val="00E717F3"/>
    <w:rsid w:val="00E72C5E"/>
    <w:rsid w:val="00E73451"/>
    <w:rsid w:val="00E7489F"/>
    <w:rsid w:val="00E74F5D"/>
    <w:rsid w:val="00E75147"/>
    <w:rsid w:val="00E8167D"/>
    <w:rsid w:val="00E907E9"/>
    <w:rsid w:val="00E96BE7"/>
    <w:rsid w:val="00EA2CD0"/>
    <w:rsid w:val="00EB52A9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Footnote Text Char Знак Знак,Footnote Text Char Знак,Текст сноски Знак Знак Знак Знак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D94E08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MG">
    <w:name w:val="_ H __M_G"/>
    <w:basedOn w:val="Normal"/>
    <w:next w:val="Normal"/>
    <w:rsid w:val="00D94E0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link w:val="HMGR0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rsid w:val="00D94E0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5_G Char,Footnote Text Char Знак Знак Char,Footnote Text Char Знак Char,Текст сноски Знак Знак Знак Знак Char"/>
    <w:link w:val="FootnoteText"/>
    <w:locked/>
    <w:rsid w:val="00D94E08"/>
    <w:rPr>
      <w:spacing w:val="5"/>
      <w:w w:val="104"/>
      <w:kern w:val="14"/>
      <w:sz w:val="18"/>
      <w:lang w:val="en-GB" w:eastAsia="ru-RU" w:bidi="ar-SA"/>
    </w:rPr>
  </w:style>
  <w:style w:type="character" w:customStyle="1" w:styleId="HMGR0">
    <w:name w:val="_ H __M_GR Знак"/>
    <w:link w:val="HMGR"/>
    <w:rsid w:val="00D94E08"/>
    <w:rPr>
      <w:b/>
      <w:spacing w:val="4"/>
      <w:w w:val="103"/>
      <w:kern w:val="14"/>
      <w:sz w:val="34"/>
      <w:lang w:val="ru-RU" w:eastAsia="ru-RU" w:bidi="ar-SA"/>
    </w:rPr>
  </w:style>
  <w:style w:type="character" w:customStyle="1" w:styleId="SingleTxtGR0">
    <w:name w:val="_ Single Txt_GR Знак"/>
    <w:link w:val="SingleTxtGR"/>
    <w:rsid w:val="00540E0F"/>
    <w:rPr>
      <w:spacing w:val="4"/>
      <w:w w:val="103"/>
      <w:kern w:val="14"/>
      <w:lang w:val="ru-RU" w:eastAsia="en-US" w:bidi="ar-SA"/>
    </w:rPr>
  </w:style>
  <w:style w:type="paragraph" w:customStyle="1" w:styleId="Tabellentext">
    <w:name w:val="Tabellentext"/>
    <w:basedOn w:val="Normal"/>
    <w:autoRedefine/>
    <w:rsid w:val="005D2199"/>
    <w:pPr>
      <w:spacing w:before="80" w:after="80" w:line="200" w:lineRule="exact"/>
      <w:ind w:left="113"/>
    </w:pPr>
    <w:rPr>
      <w:rFonts w:ascii="Calibri" w:hAnsi="Calibri"/>
      <w:b/>
      <w:noProof/>
      <w:spacing w:val="0"/>
      <w:w w:val="100"/>
      <w:kern w:val="0"/>
      <w:lang w:val="de-DE" w:eastAsia="de-DE"/>
    </w:rPr>
  </w:style>
  <w:style w:type="paragraph" w:customStyle="1" w:styleId="Tabellentextzentriert">
    <w:name w:val="Tabellentext_zentriert"/>
    <w:basedOn w:val="Tabellentext"/>
    <w:rsid w:val="005D21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aaa.llv.li/menschenrecht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ntegration.l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b.l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a.llv.li/menschenrechte" TargetMode="External"/><Relationship Id="rId2" Type="http://schemas.openxmlformats.org/officeDocument/2006/relationships/hyperlink" Target="http://www.scg.llv.li" TargetMode="External"/><Relationship Id="rId1" Type="http://schemas.openxmlformats.org/officeDocument/2006/relationships/hyperlink" Target="http://www.integration.li" TargetMode="External"/><Relationship Id="rId5" Type="http://schemas.openxmlformats.org/officeDocument/2006/relationships/hyperlink" Target="http://www.aaa.llv.li/menschenrechte" TargetMode="External"/><Relationship Id="rId4" Type="http://schemas.openxmlformats.org/officeDocument/2006/relationships/hyperlink" Target="http://www.respect-bitte.l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28</Pages>
  <Words>9613</Words>
  <Characters>54800</Characters>
  <Application>Microsoft Office Word</Application>
  <DocSecurity>4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64285</CharactersWithSpaces>
  <SharedDoc>false</SharedDoc>
  <HLinks>
    <vt:vector size="48" baseType="variant">
      <vt:variant>
        <vt:i4>655444</vt:i4>
      </vt:variant>
      <vt:variant>
        <vt:i4>22</vt:i4>
      </vt:variant>
      <vt:variant>
        <vt:i4>0</vt:i4>
      </vt:variant>
      <vt:variant>
        <vt:i4>5</vt:i4>
      </vt:variant>
      <vt:variant>
        <vt:lpwstr>http://www.aaa.llv.li/menschenrechte</vt:lpwstr>
      </vt:variant>
      <vt:variant>
        <vt:lpwstr/>
      </vt:variant>
      <vt:variant>
        <vt:i4>7602293</vt:i4>
      </vt:variant>
      <vt:variant>
        <vt:i4>19</vt:i4>
      </vt:variant>
      <vt:variant>
        <vt:i4>0</vt:i4>
      </vt:variant>
      <vt:variant>
        <vt:i4>5</vt:i4>
      </vt:variant>
      <vt:variant>
        <vt:lpwstr>http://www.integration.li/</vt:lpwstr>
      </vt:variant>
      <vt:variant>
        <vt:lpwstr/>
      </vt:variant>
      <vt:variant>
        <vt:i4>8126590</vt:i4>
      </vt:variant>
      <vt:variant>
        <vt:i4>16</vt:i4>
      </vt:variant>
      <vt:variant>
        <vt:i4>0</vt:i4>
      </vt:variant>
      <vt:variant>
        <vt:i4>5</vt:i4>
      </vt:variant>
      <vt:variant>
        <vt:lpwstr>http://www.vib.li/</vt:lpwstr>
      </vt:variant>
      <vt:variant>
        <vt:lpwstr/>
      </vt:variant>
      <vt:variant>
        <vt:i4>655444</vt:i4>
      </vt:variant>
      <vt:variant>
        <vt:i4>12</vt:i4>
      </vt:variant>
      <vt:variant>
        <vt:i4>0</vt:i4>
      </vt:variant>
      <vt:variant>
        <vt:i4>5</vt:i4>
      </vt:variant>
      <vt:variant>
        <vt:lpwstr>http://www.aaa.llv.li/menschenrechte</vt:lpwstr>
      </vt:variant>
      <vt:variant>
        <vt:lpwstr/>
      </vt:variant>
      <vt:variant>
        <vt:i4>720977</vt:i4>
      </vt:variant>
      <vt:variant>
        <vt:i4>9</vt:i4>
      </vt:variant>
      <vt:variant>
        <vt:i4>0</vt:i4>
      </vt:variant>
      <vt:variant>
        <vt:i4>5</vt:i4>
      </vt:variant>
      <vt:variant>
        <vt:lpwstr>http://www.respect-bitte.li/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http://www.aaa.llv.li/menschenrechte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http://www.scg.llv.li/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http://www.integration.li/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Людмила Цепелева</dc:creator>
  <cp:keywords/>
  <dc:description/>
  <cp:lastModifiedBy>Larisa Maykovskaya</cp:lastModifiedBy>
  <cp:revision>2</cp:revision>
  <cp:lastPrinted>2012-03-20T09:01:00Z</cp:lastPrinted>
  <dcterms:created xsi:type="dcterms:W3CDTF">2012-03-20T09:20:00Z</dcterms:created>
  <dcterms:modified xsi:type="dcterms:W3CDTF">2012-03-20T09:20:00Z</dcterms:modified>
</cp:coreProperties>
</file>