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8D3AA6" w:rsidRPr="0000750B" w:rsidTr="00CA752A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D3AA6" w:rsidRPr="0000750B" w:rsidRDefault="008D3AA6" w:rsidP="00CA752A">
            <w:pPr>
              <w:spacing w:after="80" w:line="300" w:lineRule="exact"/>
              <w:rPr>
                <w:sz w:val="28"/>
              </w:rPr>
            </w:pPr>
            <w:r w:rsidRPr="0000750B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D3AA6" w:rsidRPr="0000750B" w:rsidRDefault="008D3AA6" w:rsidP="00CA752A">
            <w:pPr>
              <w:jc w:val="right"/>
            </w:pPr>
            <w:r w:rsidRPr="0000750B">
              <w:rPr>
                <w:sz w:val="40"/>
                <w:szCs w:val="40"/>
              </w:rPr>
              <w:t>CMW</w:t>
            </w:r>
            <w:r w:rsidRPr="0000750B">
              <w:t>/</w:t>
            </w:r>
            <w:fldSimple w:instr=" FILLIN  &quot;Введите часть символа после CMW/&quot;  \* MERGEFORMAT ">
              <w:r w:rsidR="00862119">
                <w:t>C/TUR/CO/1</w:t>
              </w:r>
            </w:fldSimple>
          </w:p>
        </w:tc>
      </w:tr>
      <w:tr w:rsidR="008D3AA6" w:rsidRPr="0000750B" w:rsidTr="00CA752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D3AA6" w:rsidRPr="0000750B" w:rsidRDefault="008D3AA6" w:rsidP="00CA752A">
            <w:pPr>
              <w:spacing w:before="120"/>
              <w:jc w:val="center"/>
            </w:pPr>
            <w:r w:rsidRPr="0000750B">
              <w:rPr>
                <w:noProof/>
                <w:lang w:eastAsia="ru-RU"/>
              </w:rPr>
              <w:drawing>
                <wp:inline distT="0" distB="0" distL="0" distR="0" wp14:anchorId="2B39B7BB" wp14:editId="604A3EF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D3AA6" w:rsidRPr="0000750B" w:rsidRDefault="008D3AA6" w:rsidP="00CA752A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00750B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00750B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D3AA6" w:rsidRPr="0000750B" w:rsidRDefault="008D3AA6" w:rsidP="00CA752A">
            <w:pPr>
              <w:spacing w:before="240"/>
            </w:pPr>
            <w:proofErr w:type="spellStart"/>
            <w:r w:rsidRPr="0000750B">
              <w:t>Distr</w:t>
            </w:r>
            <w:proofErr w:type="spellEnd"/>
            <w:r w:rsidRPr="0000750B">
              <w:t xml:space="preserve">.: </w:t>
            </w:r>
            <w:bookmarkStart w:id="0" w:name="ПолеСоСписком1"/>
            <w:r w:rsidRPr="0000750B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0750B">
              <w:instrText xml:space="preserve"> FORMDROPDOWN </w:instrText>
            </w:r>
            <w:r w:rsidR="00B66661">
              <w:fldChar w:fldCharType="separate"/>
            </w:r>
            <w:r w:rsidRPr="0000750B">
              <w:fldChar w:fldCharType="end"/>
            </w:r>
            <w:bookmarkEnd w:id="0"/>
          </w:p>
          <w:p w:rsidR="008D3AA6" w:rsidRPr="0000750B" w:rsidRDefault="00B66661" w:rsidP="00CA752A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862119">
              <w:t xml:space="preserve">31 </w:t>
            </w:r>
            <w:proofErr w:type="spellStart"/>
            <w:r w:rsidR="00862119">
              <w:t>May</w:t>
            </w:r>
            <w:proofErr w:type="spellEnd"/>
            <w:r w:rsidR="00862119">
              <w:t xml:space="preserve"> 2016</w:t>
            </w:r>
            <w:r>
              <w:fldChar w:fldCharType="end"/>
            </w:r>
          </w:p>
          <w:p w:rsidR="008D3AA6" w:rsidRPr="0000750B" w:rsidRDefault="008D3AA6" w:rsidP="00CA752A">
            <w:r w:rsidRPr="0000750B">
              <w:t>Russian</w:t>
            </w:r>
          </w:p>
          <w:p w:rsidR="008D3AA6" w:rsidRPr="0000750B" w:rsidRDefault="008D3AA6" w:rsidP="00CA752A">
            <w:proofErr w:type="spellStart"/>
            <w:r w:rsidRPr="0000750B">
              <w:t>Original</w:t>
            </w:r>
            <w:proofErr w:type="spellEnd"/>
            <w:r w:rsidRPr="0000750B">
              <w:t xml:space="preserve">: </w:t>
            </w:r>
            <w:bookmarkStart w:id="1" w:name="ПолеСоСписком2"/>
            <w:r w:rsidRPr="0000750B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0750B">
              <w:instrText xml:space="preserve"> FORMDROPDOWN </w:instrText>
            </w:r>
            <w:r w:rsidR="00B66661">
              <w:fldChar w:fldCharType="separate"/>
            </w:r>
            <w:r w:rsidRPr="0000750B">
              <w:fldChar w:fldCharType="end"/>
            </w:r>
            <w:bookmarkEnd w:id="1"/>
          </w:p>
          <w:p w:rsidR="008D3AA6" w:rsidRPr="0000750B" w:rsidRDefault="008D3AA6" w:rsidP="00CA752A"/>
        </w:tc>
      </w:tr>
    </w:tbl>
    <w:p w:rsidR="00CA752A" w:rsidRPr="0000750B" w:rsidRDefault="00456FC3" w:rsidP="00CA752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защите прав всех</w:t>
      </w:r>
      <w:r>
        <w:rPr>
          <w:b/>
          <w:sz w:val="24"/>
          <w:szCs w:val="24"/>
        </w:rPr>
        <w:br/>
        <w:t>трудящихся-мигрантов</w:t>
      </w:r>
      <w:r>
        <w:rPr>
          <w:b/>
          <w:sz w:val="24"/>
          <w:szCs w:val="24"/>
        </w:rPr>
        <w:br/>
      </w:r>
      <w:r w:rsidR="00CA752A" w:rsidRPr="0000750B">
        <w:rPr>
          <w:b/>
          <w:sz w:val="24"/>
          <w:szCs w:val="24"/>
        </w:rPr>
        <w:t>и членов их семей</w:t>
      </w:r>
    </w:p>
    <w:p w:rsidR="00CA752A" w:rsidRPr="0000750B" w:rsidRDefault="00CA752A" w:rsidP="00CA752A">
      <w:pPr>
        <w:pStyle w:val="HChGR"/>
      </w:pPr>
      <w:r w:rsidRPr="0000750B">
        <w:tab/>
      </w:r>
      <w:r w:rsidRPr="0000750B">
        <w:tab/>
        <w:t>Заключительные замечания по первоначальному докладу Турции</w:t>
      </w:r>
      <w:r w:rsidRPr="00B66661">
        <w:rPr>
          <w:rStyle w:val="a6"/>
          <w:b w:val="0"/>
          <w:position w:val="6"/>
          <w:szCs w:val="18"/>
          <w:vertAlign w:val="baseline"/>
          <w:lang w:eastAsia="en-US"/>
        </w:rPr>
        <w:footnoteReference w:customMarkFollows="1" w:id="1"/>
        <w:t>*</w:t>
      </w:r>
      <w:r w:rsidRPr="0000750B">
        <w:rPr>
          <w:rStyle w:val="a6"/>
          <w:b w:val="0"/>
          <w:sz w:val="20"/>
          <w:vertAlign w:val="baseline"/>
          <w:lang w:eastAsia="en-US"/>
        </w:rPr>
        <w:t xml:space="preserve"> </w:t>
      </w:r>
    </w:p>
    <w:p w:rsidR="00CA752A" w:rsidRPr="0000750B" w:rsidRDefault="00CA752A" w:rsidP="00CA752A">
      <w:pPr>
        <w:pStyle w:val="SingleTxtGR"/>
      </w:pPr>
      <w:r w:rsidRPr="0000750B">
        <w:t>1.</w:t>
      </w:r>
      <w:r w:rsidRPr="0000750B">
        <w:tab/>
        <w:t>Комитет рассмотрел первоначальный доклад Турции (CMW/C/TUR/1) на своих 314-м и 315-м заседаниях (см. CRPD/C</w:t>
      </w:r>
      <w:r w:rsidR="005915E8">
        <w:t>/SR.314 и 315), состоявшихся 14</w:t>
      </w:r>
      <w:r w:rsidR="005915E8">
        <w:rPr>
          <w:lang w:val="en-US"/>
        </w:rPr>
        <w:br/>
      </w:r>
      <w:r w:rsidRPr="0000750B">
        <w:t>и 15 апреля 2016 года. На своем 325-м заседан</w:t>
      </w:r>
      <w:r w:rsidR="008A3F9F">
        <w:t>ии, состоявшемся 22 апреля 2016 </w:t>
      </w:r>
      <w:r w:rsidRPr="0000750B">
        <w:t>года, он принял следующие заключительные замечания.</w:t>
      </w:r>
    </w:p>
    <w:p w:rsidR="00CA752A" w:rsidRPr="0000750B" w:rsidRDefault="00CA752A" w:rsidP="00F15C33">
      <w:pPr>
        <w:pStyle w:val="H1GR"/>
      </w:pPr>
      <w:r w:rsidRPr="0000750B">
        <w:tab/>
        <w:t>А.</w:t>
      </w:r>
      <w:r w:rsidRPr="0000750B">
        <w:tab/>
      </w:r>
      <w:r w:rsidRPr="00F15C33">
        <w:t>Введение</w:t>
      </w:r>
    </w:p>
    <w:p w:rsidR="00CA752A" w:rsidRPr="0000750B" w:rsidRDefault="00CA752A" w:rsidP="00CA752A">
      <w:pPr>
        <w:pStyle w:val="SingleTxtGR"/>
      </w:pPr>
      <w:r w:rsidRPr="0000750B">
        <w:t>2.</w:t>
      </w:r>
      <w:r w:rsidRPr="0000750B">
        <w:tab/>
        <w:t>Комитет приветствует представление первоначального доклада госуда</w:t>
      </w:r>
      <w:r w:rsidRPr="0000750B">
        <w:t>р</w:t>
      </w:r>
      <w:r w:rsidRPr="0000750B">
        <w:t xml:space="preserve">ства-участника, подготовленного в ответ на перечень вопросов, составленный до представления доклада (CMW/C/TUR/QPR/1). </w:t>
      </w:r>
      <w:proofErr w:type="gramStart"/>
      <w:r w:rsidRPr="0000750B">
        <w:t>Комитет также приветствует дополнительную информацию, которая была представлена в ходе диалога мн</w:t>
      </w:r>
      <w:r w:rsidRPr="0000750B">
        <w:t>о</w:t>
      </w:r>
      <w:r w:rsidRPr="0000750B">
        <w:t>гочисленной, многопрофильной делегацией, возглавляемой Постоянным пре</w:t>
      </w:r>
      <w:r w:rsidRPr="0000750B">
        <w:t>д</w:t>
      </w:r>
      <w:r w:rsidRPr="0000750B">
        <w:t>ставителем Турции при Отделении Организации Объединенных Наций и др</w:t>
      </w:r>
      <w:r w:rsidRPr="0000750B">
        <w:t>у</w:t>
      </w:r>
      <w:r w:rsidRPr="0000750B">
        <w:t>гих межд</w:t>
      </w:r>
      <w:r w:rsidR="00B66661">
        <w:t>ународных организациях в Женеве</w:t>
      </w:r>
      <w:r w:rsidR="001465C9">
        <w:t xml:space="preserve"> </w:t>
      </w:r>
      <w:proofErr w:type="spellStart"/>
      <w:r w:rsidR="001465C9">
        <w:t>Мехметом</w:t>
      </w:r>
      <w:proofErr w:type="spellEnd"/>
      <w:r w:rsidR="001465C9">
        <w:t xml:space="preserve"> </w:t>
      </w:r>
      <w:proofErr w:type="spellStart"/>
      <w:r w:rsidR="001465C9">
        <w:t>Ферденом</w:t>
      </w:r>
      <w:proofErr w:type="spellEnd"/>
      <w:r w:rsidR="001465C9">
        <w:t xml:space="preserve"> </w:t>
      </w:r>
      <w:proofErr w:type="spellStart"/>
      <w:r w:rsidR="001465C9">
        <w:t>Чарыкчи</w:t>
      </w:r>
      <w:proofErr w:type="spellEnd"/>
      <w:r w:rsidR="001465C9">
        <w:t>,</w:t>
      </w:r>
      <w:r w:rsidR="001465C9">
        <w:br/>
      </w:r>
      <w:r w:rsidRPr="0000750B">
        <w:t>в состав</w:t>
      </w:r>
      <w:r w:rsidR="009E02CF">
        <w:t xml:space="preserve"> которой входили представители М</w:t>
      </w:r>
      <w:r w:rsidRPr="0000750B">
        <w:t>инистерства тр</w:t>
      </w:r>
      <w:r w:rsidR="009E02CF">
        <w:t>уда и социального обеспечения, Министерства юстиции, М</w:t>
      </w:r>
      <w:r w:rsidRPr="0000750B">
        <w:t>инистерства национального образов</w:t>
      </w:r>
      <w:r w:rsidRPr="0000750B">
        <w:t>а</w:t>
      </w:r>
      <w:r w:rsidRPr="0000750B">
        <w:t>ния, главного управления по вопросам регулирования миграции, института омбудсмена и Постоянного представительства Турции при</w:t>
      </w:r>
      <w:proofErr w:type="gramEnd"/>
      <w:r w:rsidRPr="0000750B">
        <w:t xml:space="preserve"> </w:t>
      </w:r>
      <w:proofErr w:type="gramStart"/>
      <w:r w:rsidRPr="0000750B">
        <w:t>Отделении</w:t>
      </w:r>
      <w:proofErr w:type="gramEnd"/>
      <w:r w:rsidRPr="0000750B">
        <w:t xml:space="preserve"> Орган</w:t>
      </w:r>
      <w:r w:rsidRPr="0000750B">
        <w:t>и</w:t>
      </w:r>
      <w:r w:rsidRPr="0000750B">
        <w:t>зации Объединенных Наций и других международных организациях в Женеве.</w:t>
      </w:r>
    </w:p>
    <w:p w:rsidR="00CA752A" w:rsidRPr="0000750B" w:rsidRDefault="00CA752A" w:rsidP="00CA752A">
      <w:pPr>
        <w:pStyle w:val="SingleTxtGR"/>
      </w:pPr>
      <w:r w:rsidRPr="0000750B">
        <w:t>3.</w:t>
      </w:r>
      <w:r w:rsidRPr="0000750B">
        <w:tab/>
        <w:t>Комитет высоко оценивает состоявшийся откровенный и конструктивный диалог с делегацией. Вместе с тем Комитет сожалеет, что доклад был предста</w:t>
      </w:r>
      <w:r w:rsidRPr="0000750B">
        <w:t>в</w:t>
      </w:r>
      <w:r w:rsidRPr="0000750B">
        <w:t>лен только 8 апреля 2016 года, поскольку по этой причине не было достаточно времени для его перевода на рабочие языки Комитета и для надлежащего ра</w:t>
      </w:r>
      <w:r w:rsidRPr="0000750B">
        <w:t>с</w:t>
      </w:r>
      <w:r w:rsidR="00042C19">
        <w:t>смотрения Комитетом.</w:t>
      </w:r>
    </w:p>
    <w:p w:rsidR="00CA752A" w:rsidRPr="0000750B" w:rsidRDefault="00CA752A" w:rsidP="00CA752A">
      <w:pPr>
        <w:pStyle w:val="SingleTxtGR"/>
      </w:pPr>
      <w:r w:rsidRPr="0000750B">
        <w:t>4.</w:t>
      </w:r>
      <w:r w:rsidRPr="0000750B">
        <w:tab/>
        <w:t>Комит</w:t>
      </w:r>
      <w:r w:rsidR="00B66661">
        <w:t>ет осведомлен о том, что Турция</w:t>
      </w:r>
      <w:r w:rsidRPr="0000750B">
        <w:t xml:space="preserve"> как страна происхождения труд</w:t>
      </w:r>
      <w:r w:rsidRPr="0000750B">
        <w:t>я</w:t>
      </w:r>
      <w:r w:rsidR="00B66661">
        <w:t>щихся-мигрантов</w:t>
      </w:r>
      <w:r w:rsidRPr="0000750B">
        <w:t xml:space="preserve"> добилась прогресса в защите прав своих соотечественников, работающих за границей. Вместе с тем Комитет отм</w:t>
      </w:r>
      <w:r w:rsidR="00B66661">
        <w:t>ечает, что государство-участник</w:t>
      </w:r>
      <w:r w:rsidRPr="0000750B">
        <w:t xml:space="preserve"> к</w:t>
      </w:r>
      <w:r w:rsidR="00B66661">
        <w:t>ак страна транзита и назначения</w:t>
      </w:r>
      <w:r w:rsidRPr="0000750B">
        <w:t xml:space="preserve"> сталкивается с рядом проблем в о</w:t>
      </w:r>
      <w:r w:rsidRPr="0000750B">
        <w:t>б</w:t>
      </w:r>
      <w:r w:rsidRPr="0000750B">
        <w:t>ласти защиты прав трудящихся-мигрантов.</w:t>
      </w:r>
    </w:p>
    <w:p w:rsidR="00CA752A" w:rsidRPr="0000750B" w:rsidRDefault="00CA752A" w:rsidP="00CA752A">
      <w:pPr>
        <w:pStyle w:val="SingleTxtGR"/>
      </w:pPr>
      <w:r w:rsidRPr="0000750B">
        <w:lastRenderedPageBreak/>
        <w:t>5.</w:t>
      </w:r>
      <w:r w:rsidRPr="0000750B">
        <w:tab/>
        <w:t>Комитет отмечает, что некоторые страны, в которых работают турецкие трудящиеся-мигранты, а также страны, в которые направляются многие тра</w:t>
      </w:r>
      <w:r w:rsidRPr="0000750B">
        <w:t>н</w:t>
      </w:r>
      <w:r w:rsidRPr="0000750B">
        <w:t>зитные мигранты, не являются сторонами Конвенции, что может препятств</w:t>
      </w:r>
      <w:r w:rsidRPr="0000750B">
        <w:t>о</w:t>
      </w:r>
      <w:r w:rsidRPr="0000750B">
        <w:t>вать осуществлению трудящимися-мигр</w:t>
      </w:r>
      <w:r w:rsidR="00042C19">
        <w:t>антами своих прав, закрепленных</w:t>
      </w:r>
      <w:r w:rsidR="00042C19">
        <w:br/>
      </w:r>
      <w:r w:rsidRPr="0000750B">
        <w:t>в Конвенции.</w:t>
      </w:r>
    </w:p>
    <w:p w:rsidR="00CA752A" w:rsidRPr="0000750B" w:rsidRDefault="00CA752A" w:rsidP="00F15C33">
      <w:pPr>
        <w:pStyle w:val="H1GR"/>
      </w:pPr>
      <w:r w:rsidRPr="0000750B">
        <w:tab/>
        <w:t>B.</w:t>
      </w:r>
      <w:r w:rsidRPr="0000750B">
        <w:tab/>
        <w:t>Позитивные аспекты</w:t>
      </w:r>
    </w:p>
    <w:p w:rsidR="00CA752A" w:rsidRPr="0000750B" w:rsidRDefault="00CA752A" w:rsidP="00CA752A">
      <w:pPr>
        <w:pStyle w:val="SingleTxtGR"/>
      </w:pPr>
      <w:r w:rsidRPr="0000750B">
        <w:t>6.</w:t>
      </w:r>
      <w:r w:rsidRPr="0000750B">
        <w:tab/>
        <w:t>Комитет приветствует усилия государства-участника по поощрению и защите прав турецких трудящихся-мигрантов за рубежом, в частности в отн</w:t>
      </w:r>
      <w:r w:rsidRPr="0000750B">
        <w:t>о</w:t>
      </w:r>
      <w:r w:rsidRPr="0000750B">
        <w:t>шении права на социальное обеспечение и право голоса.</w:t>
      </w:r>
    </w:p>
    <w:p w:rsidR="00CA752A" w:rsidRPr="0000750B" w:rsidRDefault="00CA752A" w:rsidP="00CA752A">
      <w:pPr>
        <w:pStyle w:val="SingleTxtGR"/>
      </w:pPr>
      <w:r w:rsidRPr="0000750B">
        <w:t>7.</w:t>
      </w:r>
      <w:r w:rsidRPr="0000750B">
        <w:tab/>
        <w:t>Комитет с удовлетворением отмечает ратификацию следующих докуме</w:t>
      </w:r>
      <w:r w:rsidRPr="0000750B">
        <w:t>н</w:t>
      </w:r>
      <w:r w:rsidRPr="0000750B">
        <w:t>тов: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Конвенции о правах инвалидов в сентябре 2009 года и Факульт</w:t>
      </w:r>
      <w:r w:rsidRPr="0000750B">
        <w:t>а</w:t>
      </w:r>
      <w:r w:rsidR="00B66661">
        <w:t>тивного протокола к ней</w:t>
      </w:r>
      <w:r w:rsidRPr="0000750B">
        <w:t xml:space="preserve"> в марте 2015 года;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Факультативного протокола к Конвенции против пыток и других жестоких, бесчеловечных или унижающих достоинств</w:t>
      </w:r>
      <w:r w:rsidR="00B66661">
        <w:t xml:space="preserve">о видов обращения и наказания </w:t>
      </w:r>
      <w:r w:rsidRPr="0000750B">
        <w:t>в сентябре 2011 года;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Факультативного протокола к Международному пакту о гражда</w:t>
      </w:r>
      <w:r w:rsidRPr="0000750B">
        <w:t>н</w:t>
      </w:r>
      <w:r w:rsidR="00B66661">
        <w:t>ских и политических правах</w:t>
      </w:r>
      <w:r w:rsidRPr="0000750B">
        <w:t xml:space="preserve"> в ноябре 2006 года;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Факультативного протокола к Международному пакту о гражда</w:t>
      </w:r>
      <w:r w:rsidRPr="0000750B">
        <w:t>н</w:t>
      </w:r>
      <w:r w:rsidRPr="0000750B">
        <w:t>ских и политических правах, направленного на отмену смертной казн</w:t>
      </w:r>
      <w:r w:rsidR="003C0EA2">
        <w:t>и</w:t>
      </w:r>
      <w:r w:rsidR="00B66661">
        <w:t xml:space="preserve">, </w:t>
      </w:r>
      <w:r w:rsidRPr="0000750B">
        <w:t>в ма</w:t>
      </w:r>
      <w:r w:rsidRPr="0000750B">
        <w:t>р</w:t>
      </w:r>
      <w:r w:rsidRPr="0000750B">
        <w:t>те 2006 года;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Конвенции</w:t>
      </w:r>
      <w:r w:rsidR="00B66661">
        <w:t xml:space="preserve"> о статусе лиц без гражданства</w:t>
      </w:r>
      <w:r w:rsidRPr="0000750B">
        <w:t xml:space="preserve"> в марте 2015 года;</w:t>
      </w:r>
    </w:p>
    <w:p w:rsidR="00CA752A" w:rsidRPr="0000750B" w:rsidRDefault="00CA752A" w:rsidP="00CA752A">
      <w:pPr>
        <w:pStyle w:val="SingleTxtGR"/>
      </w:pPr>
      <w:r w:rsidRPr="0000750B">
        <w:tab/>
        <w:t>f)</w:t>
      </w:r>
      <w:r w:rsidRPr="0000750B">
        <w:tab/>
        <w:t>Конвенции Совета Европы о п</w:t>
      </w:r>
      <w:r w:rsidR="00B66661">
        <w:t>ротиводействии торговле людьми</w:t>
      </w:r>
      <w:r w:rsidR="00B66661">
        <w:br/>
        <w:t>в январе</w:t>
      </w:r>
      <w:r w:rsidRPr="0000750B">
        <w:t xml:space="preserve"> 2016 года;</w:t>
      </w:r>
    </w:p>
    <w:p w:rsidR="00CA752A" w:rsidRPr="0000750B" w:rsidRDefault="00CA752A" w:rsidP="00CA752A">
      <w:pPr>
        <w:pStyle w:val="SingleTxtGR"/>
      </w:pPr>
      <w:r w:rsidRPr="0000750B">
        <w:tab/>
        <w:t>g)</w:t>
      </w:r>
      <w:r w:rsidRPr="0000750B">
        <w:tab/>
        <w:t>Конвенции Совета Европы о защите детей от сексуальной эксплу</w:t>
      </w:r>
      <w:r w:rsidRPr="0000750B">
        <w:t>а</w:t>
      </w:r>
      <w:r w:rsidRPr="0000750B">
        <w:t>тации и сексуальных злоупотреблений в октябре 2007 года;</w:t>
      </w:r>
    </w:p>
    <w:p w:rsidR="00CA752A" w:rsidRPr="0000750B" w:rsidRDefault="00CA752A" w:rsidP="00CA752A">
      <w:pPr>
        <w:pStyle w:val="SingleTxtGR"/>
      </w:pPr>
      <w:r w:rsidRPr="0000750B">
        <w:tab/>
        <w:t>h)</w:t>
      </w:r>
      <w:r w:rsidRPr="0000750B">
        <w:tab/>
        <w:t>Европейской социальной хартии в июне 2007 года.</w:t>
      </w:r>
    </w:p>
    <w:p w:rsidR="00CA752A" w:rsidRPr="0000750B" w:rsidRDefault="00CA752A" w:rsidP="00CA752A">
      <w:pPr>
        <w:pStyle w:val="SingleTxtGR"/>
      </w:pPr>
      <w:r w:rsidRPr="0000750B">
        <w:t>8.</w:t>
      </w:r>
      <w:r w:rsidRPr="0000750B">
        <w:tab/>
        <w:t>Комитет приветствует принятие следующих законодательных мер: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постановления, предусматривающего, что сирийцам, возвраще</w:t>
      </w:r>
      <w:r w:rsidRPr="0000750B">
        <w:t>н</w:t>
      </w:r>
      <w:r w:rsidRPr="0000750B">
        <w:t>ным в государство-участник в соответствии с соглашением, достигнутым ме</w:t>
      </w:r>
      <w:r w:rsidRPr="0000750B">
        <w:t>ж</w:t>
      </w:r>
      <w:r w:rsidRPr="0000750B">
        <w:t>ду Европейским союзом и Турцией 18 марта 2016 года, может быть, опять же по запросу, предоставлена временная защита, 7 апреля 2016 года;</w:t>
      </w:r>
    </w:p>
    <w:p w:rsidR="00CA752A" w:rsidRPr="0000750B" w:rsidRDefault="000B5DE2" w:rsidP="00CA752A">
      <w:pPr>
        <w:pStyle w:val="SingleTxtGR"/>
      </w:pPr>
      <w:r>
        <w:tab/>
      </w:r>
      <w:r w:rsidR="00CA752A" w:rsidRPr="0000750B">
        <w:t>b)</w:t>
      </w:r>
      <w:r w:rsidR="00CA752A" w:rsidRPr="0000750B">
        <w:tab/>
        <w:t>постановления об осуществлении Закона об иностранцах и межд</w:t>
      </w:r>
      <w:r w:rsidR="00CA752A" w:rsidRPr="0000750B">
        <w:t>у</w:t>
      </w:r>
      <w:r w:rsidR="00B66661">
        <w:t>народной защите</w:t>
      </w:r>
      <w:r w:rsidR="00CA752A" w:rsidRPr="0000750B">
        <w:t xml:space="preserve"> 17 марта 2016 года;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постановления о борьбе с торговлей людьми и защите жертв то</w:t>
      </w:r>
      <w:r w:rsidRPr="0000750B">
        <w:t>р</w:t>
      </w:r>
      <w:r w:rsidR="00B66661">
        <w:t>говли людьми</w:t>
      </w:r>
      <w:r w:rsidRPr="0000750B">
        <w:t xml:space="preserve"> 17 марта 2016 года;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постановления о разрешениях на работу для иностранцев, пол</w:t>
      </w:r>
      <w:r w:rsidRPr="0000750B">
        <w:t>у</w:t>
      </w:r>
      <w:r w:rsidRPr="0000750B">
        <w:t>чивших временную защиту</w:t>
      </w:r>
      <w:r w:rsidR="00042C19">
        <w:t xml:space="preserve"> (№ 8375), 15 января 2016 года;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постановле</w:t>
      </w:r>
      <w:r w:rsidR="00B66661">
        <w:t>ния о временной защите (№ 6883)</w:t>
      </w:r>
      <w:r w:rsidRPr="0000750B">
        <w:t xml:space="preserve"> 22 октября 2014 года;</w:t>
      </w:r>
    </w:p>
    <w:p w:rsidR="00CA752A" w:rsidRPr="0000750B" w:rsidRDefault="00CA752A" w:rsidP="00CA752A">
      <w:pPr>
        <w:pStyle w:val="SingleTxtGR"/>
      </w:pPr>
      <w:r w:rsidRPr="0000750B">
        <w:tab/>
        <w:t>f)</w:t>
      </w:r>
      <w:r w:rsidRPr="0000750B">
        <w:tab/>
        <w:t>циркуляра Министерства образования об образовательных услу</w:t>
      </w:r>
      <w:r w:rsidR="00B66661">
        <w:t>гах для иностранцев (№ 2014/21)</w:t>
      </w:r>
      <w:r w:rsidRPr="0000750B">
        <w:t xml:space="preserve"> 23 сентября 2014 года;</w:t>
      </w:r>
    </w:p>
    <w:p w:rsidR="00CA752A" w:rsidRPr="0000750B" w:rsidRDefault="00CA752A" w:rsidP="00CA752A">
      <w:pPr>
        <w:pStyle w:val="SingleTxtGR"/>
      </w:pPr>
      <w:r w:rsidRPr="0000750B">
        <w:tab/>
        <w:t>g)</w:t>
      </w:r>
      <w:r w:rsidRPr="0000750B">
        <w:tab/>
        <w:t>Закона об иностранцах и междун</w:t>
      </w:r>
      <w:r w:rsidR="00B66661">
        <w:t>ародной защите (№ 6458)</w:t>
      </w:r>
      <w:r w:rsidRPr="0000750B">
        <w:t xml:space="preserve"> 11 апр</w:t>
      </w:r>
      <w:r w:rsidRPr="0000750B">
        <w:t>е</w:t>
      </w:r>
      <w:r w:rsidRPr="0000750B">
        <w:t>ля 2013 года;</w:t>
      </w:r>
    </w:p>
    <w:p w:rsidR="00CA752A" w:rsidRPr="0000750B" w:rsidRDefault="00CA752A" w:rsidP="00CA752A">
      <w:pPr>
        <w:pStyle w:val="SingleTxtGR"/>
      </w:pPr>
      <w:r w:rsidRPr="0000750B">
        <w:tab/>
        <w:t>h)</w:t>
      </w:r>
      <w:r w:rsidRPr="0000750B">
        <w:tab/>
        <w:t>Закона (№ 6304) о внесении поправок в Закон о выборах и списках избира</w:t>
      </w:r>
      <w:r w:rsidR="00B66661">
        <w:t>телей и некоторые другие законы</w:t>
      </w:r>
      <w:r w:rsidRPr="0000750B">
        <w:t xml:space="preserve"> 9 мая 2012 года;</w:t>
      </w:r>
    </w:p>
    <w:p w:rsidR="00CA752A" w:rsidRPr="0000750B" w:rsidRDefault="00CA752A" w:rsidP="00CA752A">
      <w:pPr>
        <w:pStyle w:val="SingleTxtGR"/>
      </w:pPr>
      <w:r w:rsidRPr="0000750B">
        <w:tab/>
        <w:t>i)</w:t>
      </w:r>
      <w:r w:rsidRPr="0000750B">
        <w:tab/>
        <w:t>циркуляра об и</w:t>
      </w:r>
      <w:r w:rsidR="00B66661">
        <w:t>ностранных учащихся (№ 2010/48) 16 августа</w:t>
      </w:r>
      <w:r w:rsidR="00B66661">
        <w:br/>
      </w:r>
      <w:r w:rsidR="00042C19">
        <w:t>2010 года;</w:t>
      </w:r>
    </w:p>
    <w:p w:rsidR="00CA752A" w:rsidRPr="0000750B" w:rsidRDefault="009E02CF" w:rsidP="00CA752A">
      <w:pPr>
        <w:pStyle w:val="SingleTxtGR"/>
      </w:pPr>
      <w:r>
        <w:tab/>
      </w:r>
      <w:r w:rsidR="00CA752A" w:rsidRPr="0000750B">
        <w:t>j)</w:t>
      </w:r>
      <w:r w:rsidR="00CA752A" w:rsidRPr="0000750B">
        <w:tab/>
        <w:t>Закона о социальном обеспечении и всеобщем медицинском стр</w:t>
      </w:r>
      <w:r w:rsidR="00CA752A" w:rsidRPr="0000750B">
        <w:t>а</w:t>
      </w:r>
      <w:r w:rsidR="00B66661">
        <w:t>ховании (№ 5510)</w:t>
      </w:r>
      <w:r w:rsidR="00CA752A" w:rsidRPr="0000750B">
        <w:t xml:space="preserve"> 31 мая 2006 года.</w:t>
      </w:r>
    </w:p>
    <w:p w:rsidR="00CA752A" w:rsidRPr="0000750B" w:rsidRDefault="00CA752A" w:rsidP="00CA752A">
      <w:pPr>
        <w:pStyle w:val="SingleTxtGR"/>
      </w:pPr>
      <w:r w:rsidRPr="0000750B">
        <w:t>9.</w:t>
      </w:r>
      <w:r w:rsidRPr="0000750B">
        <w:tab/>
        <w:t>Комитет приветствует также принятие следующих институциональных и стратегических мер: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принятие десятого Нацио</w:t>
      </w:r>
      <w:r w:rsidR="000B5DE2">
        <w:t>нального плана развития (2014–</w:t>
      </w:r>
      <w:r w:rsidRPr="0000750B">
        <w:t>2018 г</w:t>
      </w:r>
      <w:r w:rsidRPr="0000750B">
        <w:t>о</w:t>
      </w:r>
      <w:r w:rsidRPr="0000750B">
        <w:t>ды), содержащего специальную главу о миграции;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принятие Стратегии и Национального плана действий в области н</w:t>
      </w:r>
      <w:r w:rsidRPr="0000750B">
        <w:t>е</w:t>
      </w:r>
      <w:r w:rsidR="00B66661">
        <w:t>законной миграции</w:t>
      </w:r>
      <w:r w:rsidRPr="0000750B">
        <w:t xml:space="preserve"> в 2014 году;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 xml:space="preserve">создание Главного управления по регулированию миграции </w:t>
      </w:r>
      <w:r w:rsidR="00B66661">
        <w:t>при Министерстве внутренних дел</w:t>
      </w:r>
      <w:r w:rsidRPr="0000750B">
        <w:t xml:space="preserve"> в 2013 году;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создание Управления по делам турок и св</w:t>
      </w:r>
      <w:r w:rsidR="00B66661">
        <w:t>язанных с ними общин за рубежом</w:t>
      </w:r>
      <w:r w:rsidRPr="0000750B">
        <w:t xml:space="preserve"> 6 апреля 2010 года.</w:t>
      </w:r>
    </w:p>
    <w:p w:rsidR="00CA752A" w:rsidRPr="0000750B" w:rsidRDefault="00CA752A" w:rsidP="000B5DE2">
      <w:pPr>
        <w:pStyle w:val="H1GR"/>
      </w:pPr>
      <w:r w:rsidRPr="0000750B">
        <w:tab/>
        <w:t>С.</w:t>
      </w:r>
      <w:r w:rsidRPr="0000750B">
        <w:tab/>
        <w:t>Факторы и трудности, препятствующие осуществлению Конвенции</w:t>
      </w:r>
    </w:p>
    <w:p w:rsidR="00CA752A" w:rsidRPr="0000750B" w:rsidRDefault="00CA752A" w:rsidP="00CA752A">
      <w:pPr>
        <w:pStyle w:val="SingleTxtGR"/>
      </w:pPr>
      <w:r w:rsidRPr="0000750B">
        <w:t>10.</w:t>
      </w:r>
      <w:r w:rsidRPr="0000750B">
        <w:tab/>
        <w:t xml:space="preserve">Комитет признает, что на территории государства-участника в настоящее время находится более 2,7 </w:t>
      </w:r>
      <w:r w:rsidR="000B5DE2">
        <w:t>млн.</w:t>
      </w:r>
      <w:r w:rsidRPr="0000750B">
        <w:t xml:space="preserve"> сирийских граждан под временной защитой, что оно с 2011 года о</w:t>
      </w:r>
      <w:r w:rsidR="00B66661">
        <w:t>казывает им чрезвычайную помощь</w:t>
      </w:r>
      <w:r w:rsidRPr="0000750B">
        <w:t xml:space="preserve"> и что это налагает тяж</w:t>
      </w:r>
      <w:r w:rsidRPr="0000750B">
        <w:t>е</w:t>
      </w:r>
      <w:r w:rsidRPr="0000750B">
        <w:t>лую нагрузку на ресурсы и инфраструктуру государства-участника. Он выраж</w:t>
      </w:r>
      <w:r w:rsidRPr="0000750B">
        <w:t>а</w:t>
      </w:r>
      <w:r w:rsidRPr="0000750B">
        <w:t>ет признательность государству-участнику за ту огромную поддержку, которую оно оказывает сирийским гражданам в на протяжении крупнейшего со времен второй мировой войны гуманитарного кризиса в мире, вызванного конфликтом в Сирийской Арабской Республике.</w:t>
      </w:r>
    </w:p>
    <w:p w:rsidR="00CA752A" w:rsidRPr="0000750B" w:rsidRDefault="00CA752A" w:rsidP="000B5DE2">
      <w:pPr>
        <w:pStyle w:val="H1GR"/>
      </w:pPr>
      <w:r w:rsidRPr="0000750B">
        <w:tab/>
        <w:t>D.</w:t>
      </w:r>
      <w:r w:rsidRPr="0000750B">
        <w:tab/>
        <w:t>Основные вопросы</w:t>
      </w:r>
      <w:r w:rsidR="000B5DE2">
        <w:t>, вызывающие обеспокоенность, и </w:t>
      </w:r>
      <w:r w:rsidRPr="0000750B">
        <w:t>рекомендации</w:t>
      </w:r>
    </w:p>
    <w:p w:rsidR="00CA752A" w:rsidRPr="0000750B" w:rsidRDefault="00CA752A" w:rsidP="000B5DE2">
      <w:pPr>
        <w:pStyle w:val="H23GR"/>
      </w:pPr>
      <w:r w:rsidRPr="0000750B">
        <w:tab/>
        <w:t>1.</w:t>
      </w:r>
      <w:r w:rsidRPr="0000750B">
        <w:tab/>
        <w:t>Общие меры по осуществлению (статьи 73 и 84)</w:t>
      </w:r>
    </w:p>
    <w:p w:rsidR="00CA752A" w:rsidRPr="0000750B" w:rsidRDefault="00CA752A" w:rsidP="000B5DE2">
      <w:pPr>
        <w:pStyle w:val="H23GR"/>
      </w:pPr>
      <w:r w:rsidRPr="0000750B">
        <w:tab/>
      </w:r>
      <w:r w:rsidRPr="0000750B">
        <w:tab/>
        <w:t>Законодательство и его применение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11.</w:t>
      </w:r>
      <w:r w:rsidRPr="0000750B">
        <w:tab/>
        <w:t>Комитет приветствует усилия, прилагаемые государством-участником для принятия законодательства и политики, направленных на защиту прав труд</w:t>
      </w:r>
      <w:r w:rsidRPr="0000750B">
        <w:t>я</w:t>
      </w:r>
      <w:r w:rsidRPr="0000750B">
        <w:t>щихся-мигрантов, включая Закон об иностранцах и международной защите 2013 года (№ 6458). Вместе с тем Комитет выражает обеспокоенность по пов</w:t>
      </w:r>
      <w:r w:rsidRPr="0000750B">
        <w:t>о</w:t>
      </w:r>
      <w:r w:rsidRPr="0000750B">
        <w:t>ду того,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государство-участник не прилагает достаточных усилий</w:t>
      </w:r>
      <w:r w:rsidR="00B66661">
        <w:t>, для того</w:t>
      </w:r>
      <w:r w:rsidRPr="0000750B">
        <w:t xml:space="preserve"> чтобы положения Конвенции были отражены во всех соответствующих наци</w:t>
      </w:r>
      <w:r w:rsidRPr="0000750B">
        <w:t>о</w:t>
      </w:r>
      <w:r w:rsidRPr="0000750B">
        <w:t>нальных законах;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гарантии доступа к здравоохранению, образованию, рынку труда, социальной помощи, услугам переводчика и аналогичных услугам в соотве</w:t>
      </w:r>
      <w:r w:rsidRPr="0000750B">
        <w:t>т</w:t>
      </w:r>
      <w:r w:rsidRPr="0000750B">
        <w:t>ствии с Законом об иностранцах и международной защите носят произвольный, а не обязательный характер, что следует из формулировки статьи 260161 (1);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длительные процедуры рассмотрения заявлений на получение ра</w:t>
      </w:r>
      <w:r w:rsidRPr="0000750B">
        <w:t>з</w:t>
      </w:r>
      <w:r w:rsidRPr="0000750B">
        <w:t>решения на работу трудящихся-мигрантов, включая находящихся под време</w:t>
      </w:r>
      <w:r w:rsidRPr="0000750B">
        <w:t>н</w:t>
      </w:r>
      <w:r w:rsidRPr="0000750B">
        <w:t>ной защитой, стимулируют работодателей нанимать незарегистрированных трудящихся-мигрантов;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из-за строгих процессуальных норм и проблем, связанных с пр</w:t>
      </w:r>
      <w:r w:rsidRPr="0000750B">
        <w:t>и</w:t>
      </w:r>
      <w:r w:rsidRPr="0000750B">
        <w:t>знанием профессиональных сертификатов, трудящиеся-мигранты вынуждены наниматься на работу, не соответствующую их образованию и профессионал</w:t>
      </w:r>
      <w:r w:rsidRPr="0000750B">
        <w:t>ь</w:t>
      </w:r>
      <w:r w:rsidRPr="0000750B">
        <w:t>ной подготовке, в том числе в качестве разнорабочих.</w:t>
      </w:r>
    </w:p>
    <w:p w:rsidR="00CA752A" w:rsidRPr="0000750B" w:rsidRDefault="00CA752A" w:rsidP="00CA752A">
      <w:pPr>
        <w:pStyle w:val="SingleTxtGR"/>
      </w:pPr>
      <w:r w:rsidRPr="0000750B">
        <w:t>12.</w:t>
      </w:r>
      <w:r w:rsidRPr="0000750B">
        <w:tab/>
      </w:r>
      <w:r w:rsidRPr="0000750B">
        <w:rPr>
          <w:b/>
        </w:rPr>
        <w:t>Комитет рекомендует государству-участнику принять меры, необх</w:t>
      </w:r>
      <w:r w:rsidRPr="0000750B">
        <w:rPr>
          <w:b/>
        </w:rPr>
        <w:t>о</w:t>
      </w:r>
      <w:r w:rsidRPr="0000750B">
        <w:rPr>
          <w:b/>
        </w:rPr>
        <w:t>димые для обеспечения соответствия его национальных законов и полит</w:t>
      </w:r>
      <w:r w:rsidRPr="0000750B">
        <w:rPr>
          <w:b/>
        </w:rPr>
        <w:t>и</w:t>
      </w:r>
      <w:r w:rsidRPr="0000750B">
        <w:rPr>
          <w:b/>
        </w:rPr>
        <w:t>ки положениям Конвенции, и рассмотреть возможность упрощения проц</w:t>
      </w:r>
      <w:r w:rsidRPr="0000750B">
        <w:rPr>
          <w:b/>
        </w:rPr>
        <w:t>е</w:t>
      </w:r>
      <w:r w:rsidRPr="0000750B">
        <w:rPr>
          <w:b/>
        </w:rPr>
        <w:t>дур получения разрешения на работу и признания иностранных професс</w:t>
      </w:r>
      <w:r w:rsidRPr="0000750B">
        <w:rPr>
          <w:b/>
        </w:rPr>
        <w:t>и</w:t>
      </w:r>
      <w:r w:rsidRPr="0000750B">
        <w:rPr>
          <w:b/>
        </w:rPr>
        <w:t>ональных сертификатов</w:t>
      </w:r>
      <w:r w:rsidRPr="00456FC3">
        <w:rPr>
          <w:b/>
        </w:rPr>
        <w:t>.</w:t>
      </w:r>
    </w:p>
    <w:p w:rsidR="00CA752A" w:rsidRPr="0000750B" w:rsidRDefault="00CA752A" w:rsidP="00CA752A">
      <w:pPr>
        <w:pStyle w:val="SingleTxtGR"/>
      </w:pPr>
      <w:r w:rsidRPr="0000750B">
        <w:t>13.</w:t>
      </w:r>
      <w:r w:rsidRPr="0000750B">
        <w:tab/>
        <w:t>Комитет обеспокоен отсутствием информации о применении Конвенции национальными судами.</w:t>
      </w:r>
    </w:p>
    <w:p w:rsidR="00CA752A" w:rsidRPr="0000750B" w:rsidRDefault="00CA752A" w:rsidP="00CA752A">
      <w:pPr>
        <w:pStyle w:val="SingleTxtGR"/>
      </w:pPr>
      <w:r w:rsidRPr="0000750B">
        <w:t>14.</w:t>
      </w:r>
      <w:r w:rsidRPr="0000750B">
        <w:tab/>
      </w:r>
      <w:r w:rsidRPr="0000750B">
        <w:rPr>
          <w:b/>
        </w:rPr>
        <w:t>Комитет предлагает государству-участнику представить в его втором периодическом докладе информацию о применении положений Конвенции национальными судами</w:t>
      </w:r>
      <w:r w:rsidRPr="00456FC3">
        <w:rPr>
          <w:b/>
        </w:rPr>
        <w:t>.</w:t>
      </w:r>
    </w:p>
    <w:p w:rsidR="00CA752A" w:rsidRPr="0000750B" w:rsidRDefault="00CA752A" w:rsidP="000B5DE2">
      <w:pPr>
        <w:pStyle w:val="H23GR"/>
      </w:pPr>
      <w:r w:rsidRPr="0000750B">
        <w:tab/>
      </w:r>
      <w:r w:rsidRPr="0000750B">
        <w:tab/>
      </w:r>
      <w:r w:rsidRPr="000B5DE2">
        <w:t>Оговорки</w:t>
      </w:r>
      <w:r w:rsidRPr="0000750B">
        <w:t xml:space="preserve"> и заявления</w:t>
      </w:r>
    </w:p>
    <w:p w:rsidR="00CA752A" w:rsidRPr="0000750B" w:rsidRDefault="00CA752A" w:rsidP="00CA752A">
      <w:pPr>
        <w:pStyle w:val="SingleTxtGR"/>
      </w:pPr>
      <w:r w:rsidRPr="0000750B">
        <w:t>15.</w:t>
      </w:r>
      <w:r w:rsidRPr="0000750B">
        <w:tab/>
        <w:t>Комитет обеспокоен тем, что государство-участник сделало оговорки и заявления в отношении статей 15, 40, 45 и 46 Конвенции, что может помешать полному осуществлению прав трудящихся-мигрантов в соответствии с Конве</w:t>
      </w:r>
      <w:r w:rsidRPr="0000750B">
        <w:t>н</w:t>
      </w:r>
      <w:r w:rsidRPr="0000750B">
        <w:t>цией.</w:t>
      </w:r>
    </w:p>
    <w:p w:rsidR="00CA752A" w:rsidRPr="0000750B" w:rsidRDefault="00CA752A" w:rsidP="00CA752A">
      <w:pPr>
        <w:pStyle w:val="SingleTxtGR"/>
      </w:pPr>
      <w:r w:rsidRPr="0000750B">
        <w:t>16.</w:t>
      </w:r>
      <w:r w:rsidRPr="0000750B">
        <w:tab/>
      </w:r>
      <w:r w:rsidRPr="0000750B">
        <w:rPr>
          <w:b/>
        </w:rPr>
        <w:t>Комитет рекомендует государству-участнику принять меры, необх</w:t>
      </w:r>
      <w:r w:rsidRPr="0000750B">
        <w:rPr>
          <w:b/>
        </w:rPr>
        <w:t>о</w:t>
      </w:r>
      <w:r w:rsidRPr="0000750B">
        <w:rPr>
          <w:b/>
        </w:rPr>
        <w:t>димые для снятия его заявлений и оговоро</w:t>
      </w:r>
      <w:r w:rsidR="00B66661">
        <w:rPr>
          <w:b/>
        </w:rPr>
        <w:t>к в отношении статей 15, 40, 45</w:t>
      </w:r>
      <w:r w:rsidR="00B66661">
        <w:rPr>
          <w:b/>
        </w:rPr>
        <w:br/>
      </w:r>
      <w:r w:rsidRPr="0000750B">
        <w:rPr>
          <w:b/>
        </w:rPr>
        <w:t>и 46 Конвенции</w:t>
      </w:r>
      <w:r w:rsidRPr="00456FC3">
        <w:rPr>
          <w:b/>
        </w:rPr>
        <w:t>.</w:t>
      </w:r>
    </w:p>
    <w:p w:rsidR="00CA752A" w:rsidRPr="0000750B" w:rsidRDefault="000B2256" w:rsidP="000B5DE2">
      <w:pPr>
        <w:pStyle w:val="H23GR"/>
      </w:pPr>
      <w:r>
        <w:tab/>
      </w:r>
      <w:r>
        <w:tab/>
        <w:t>Статьи 76–</w:t>
      </w:r>
      <w:r w:rsidR="00CA752A" w:rsidRPr="0000750B">
        <w:t>77</w:t>
      </w:r>
    </w:p>
    <w:p w:rsidR="00CA752A" w:rsidRPr="0000750B" w:rsidRDefault="00CA752A" w:rsidP="00CA752A">
      <w:pPr>
        <w:pStyle w:val="SingleTxtGR"/>
      </w:pPr>
      <w:r w:rsidRPr="0000750B">
        <w:t>17.</w:t>
      </w:r>
      <w:r w:rsidRPr="0000750B">
        <w:tab/>
        <w:t>Комитет отмечает, что государство-участник не сделало предусмотре</w:t>
      </w:r>
      <w:r w:rsidRPr="0000750B">
        <w:t>н</w:t>
      </w:r>
      <w:r w:rsidRPr="0000750B">
        <w:t>ных в статьях 76 и 77 Конвенции заявлений о признании компетенции Комитета получать и рассматривать сообщения государств-участников и частных лиц о</w:t>
      </w:r>
      <w:r w:rsidRPr="0000750B">
        <w:t>т</w:t>
      </w:r>
      <w:r w:rsidRPr="0000750B">
        <w:t>носительно нарушения закрепленных в Конвенции прав.</w:t>
      </w:r>
    </w:p>
    <w:p w:rsidR="00CA752A" w:rsidRPr="0000750B" w:rsidRDefault="00CA752A" w:rsidP="00CA752A">
      <w:pPr>
        <w:pStyle w:val="SingleTxtGR"/>
      </w:pPr>
      <w:r w:rsidRPr="0000750B">
        <w:t>18.</w:t>
      </w:r>
      <w:r w:rsidRPr="0000750B">
        <w:tab/>
      </w:r>
      <w:r w:rsidRPr="0000750B">
        <w:rPr>
          <w:b/>
        </w:rPr>
        <w:t>Комитет рекомендует государст</w:t>
      </w:r>
      <w:r w:rsidR="00456FC3">
        <w:rPr>
          <w:b/>
        </w:rPr>
        <w:t>ву-участнику рассмотреть вопрос</w:t>
      </w:r>
      <w:r w:rsidR="00456FC3">
        <w:rPr>
          <w:b/>
        </w:rPr>
        <w:br/>
      </w:r>
      <w:r w:rsidRPr="0000750B">
        <w:rPr>
          <w:b/>
        </w:rPr>
        <w:t>о том, чтобы сделать заявления, предусмотренные в статьях 76 и 77 Ко</w:t>
      </w:r>
      <w:r w:rsidRPr="0000750B">
        <w:rPr>
          <w:b/>
        </w:rPr>
        <w:t>н</w:t>
      </w:r>
      <w:r w:rsidRPr="0000750B">
        <w:rPr>
          <w:b/>
        </w:rPr>
        <w:t>венции</w:t>
      </w:r>
      <w:r w:rsidRPr="00456FC3">
        <w:rPr>
          <w:b/>
        </w:rPr>
        <w:t>.</w:t>
      </w:r>
    </w:p>
    <w:p w:rsidR="00CA752A" w:rsidRPr="000B5DE2" w:rsidRDefault="00CA752A" w:rsidP="000B5DE2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0B5DE2">
        <w:t>Ратификация соответствующих договоров</w:t>
      </w:r>
    </w:p>
    <w:p w:rsidR="00CA752A" w:rsidRPr="0000750B" w:rsidRDefault="00CA752A" w:rsidP="00CA752A">
      <w:pPr>
        <w:pStyle w:val="SingleTxtGR"/>
      </w:pPr>
      <w:r w:rsidRPr="0000750B">
        <w:t>19.</w:t>
      </w:r>
      <w:r w:rsidRPr="0000750B">
        <w:tab/>
        <w:t>Комитет высоко оценивает ратификацию государством-участником бол</w:t>
      </w:r>
      <w:r w:rsidRPr="0000750B">
        <w:t>ь</w:t>
      </w:r>
      <w:r w:rsidRPr="0000750B">
        <w:t>шинства основных международных договоров о правах человека, а также ряда документов Международной организации труда. Вместе с тем Комитет отмеч</w:t>
      </w:r>
      <w:r w:rsidRPr="0000750B">
        <w:t>а</w:t>
      </w:r>
      <w:r w:rsidRPr="0000750B">
        <w:t>ет, что оно еще не ратифицировало Международную конвенцию для защиты всех лиц от насильственных исчезновений, Факультативный протокол к Ме</w:t>
      </w:r>
      <w:r w:rsidRPr="0000750B">
        <w:t>ж</w:t>
      </w:r>
      <w:r w:rsidRPr="0000750B">
        <w:t>дународному пакту об экономических, социальных и культурных правах, Ф</w:t>
      </w:r>
      <w:r w:rsidRPr="0000750B">
        <w:t>а</w:t>
      </w:r>
      <w:r w:rsidRPr="0000750B">
        <w:t>культативный протокол к Конвенции о правах ребенка, касающийся процедуры сообщений, и следующие договоры М</w:t>
      </w:r>
      <w:r w:rsidR="00B66661">
        <w:t>еждународной организации труда:</w:t>
      </w:r>
      <w:r w:rsidR="00B66661">
        <w:br/>
      </w:r>
      <w:r w:rsidRPr="0000750B">
        <w:t>Конвенцию о работниках-мигрантах (с внесе</w:t>
      </w:r>
      <w:r w:rsidR="00F15C33">
        <w:t>нными изменениями) 19</w:t>
      </w:r>
      <w:r w:rsidR="00B66661">
        <w:t>49 </w:t>
      </w:r>
      <w:proofErr w:type="spellStart"/>
      <w:proofErr w:type="gramStart"/>
      <w:r w:rsidR="00B66661">
        <w:t>го</w:t>
      </w:r>
      <w:proofErr w:type="spellEnd"/>
      <w:r w:rsidR="00B66661">
        <w:t>-да</w:t>
      </w:r>
      <w:proofErr w:type="gramEnd"/>
      <w:r w:rsidR="00B66661">
        <w:t> </w:t>
      </w:r>
      <w:r w:rsidR="00F15C33">
        <w:t>(№ </w:t>
      </w:r>
      <w:r w:rsidRPr="0000750B">
        <w:t>97), Конвенцию об установлен</w:t>
      </w:r>
      <w:r w:rsidR="00B66661">
        <w:t>ии минимальной заработной платы</w:t>
      </w:r>
      <w:r w:rsidR="00B66661">
        <w:br/>
      </w:r>
      <w:r w:rsidRPr="0000750B">
        <w:t>1970 года (№ 131), Конвенцию о трудящихся-мигранта</w:t>
      </w:r>
      <w:r w:rsidR="00F15C33">
        <w:t>х (дополнительные п</w:t>
      </w:r>
      <w:r w:rsidR="00F15C33">
        <w:t>о</w:t>
      </w:r>
      <w:r w:rsidR="009E02CF">
        <w:t>ложения)</w:t>
      </w:r>
      <w:r w:rsidR="00F15C33">
        <w:t xml:space="preserve"> </w:t>
      </w:r>
      <w:r w:rsidR="009E02CF">
        <w:t>1975 года</w:t>
      </w:r>
      <w:r w:rsidR="009E02CF" w:rsidRPr="0000750B">
        <w:t xml:space="preserve"> </w:t>
      </w:r>
      <w:r w:rsidR="009E02CF">
        <w:t>(</w:t>
      </w:r>
      <w:r w:rsidR="00F15C33">
        <w:t>№ </w:t>
      </w:r>
      <w:r w:rsidRPr="0000750B">
        <w:t>143</w:t>
      </w:r>
      <w:r w:rsidR="009E02CF">
        <w:t>),</w:t>
      </w:r>
      <w:r w:rsidRPr="0000750B">
        <w:t xml:space="preserve"> Конвенцию о частных аг</w:t>
      </w:r>
      <w:r w:rsidR="00B66661">
        <w:t>ентствах занятости</w:t>
      </w:r>
      <w:r w:rsidR="00B66661">
        <w:br/>
      </w:r>
      <w:r w:rsidR="00F15C33">
        <w:t>1997 года (№ </w:t>
      </w:r>
      <w:r w:rsidRPr="0000750B">
        <w:t>181) и Конвенцию о достойном труде д</w:t>
      </w:r>
      <w:r w:rsidR="00B66661">
        <w:t>омашних работников</w:t>
      </w:r>
      <w:r w:rsidR="00B66661">
        <w:br/>
      </w:r>
      <w:r w:rsidR="00EA1445">
        <w:t>2011 года (№</w:t>
      </w:r>
      <w:r w:rsidR="00EA1445">
        <w:rPr>
          <w:lang w:val="en-US"/>
        </w:rPr>
        <w:t> </w:t>
      </w:r>
      <w:r w:rsidRPr="0000750B">
        <w:t>189).</w:t>
      </w:r>
    </w:p>
    <w:p w:rsidR="00CA752A" w:rsidRPr="0000750B" w:rsidRDefault="00CA752A" w:rsidP="00CA752A">
      <w:pPr>
        <w:pStyle w:val="SingleTxtGR"/>
      </w:pPr>
      <w:r w:rsidRPr="0000750B">
        <w:t>20.</w:t>
      </w:r>
      <w:r w:rsidRPr="0000750B">
        <w:tab/>
      </w:r>
      <w:r w:rsidRPr="0000750B">
        <w:rPr>
          <w:b/>
        </w:rPr>
        <w:t>Комитет рекомендует государству-участнику рассмотреть возмо</w:t>
      </w:r>
      <w:r w:rsidRPr="0000750B">
        <w:rPr>
          <w:b/>
        </w:rPr>
        <w:t>ж</w:t>
      </w:r>
      <w:r w:rsidRPr="0000750B">
        <w:rPr>
          <w:b/>
        </w:rPr>
        <w:t>ность скорейшей ратификации вышеупомянутых документов или прис</w:t>
      </w:r>
      <w:r w:rsidRPr="0000750B">
        <w:rPr>
          <w:b/>
        </w:rPr>
        <w:t>о</w:t>
      </w:r>
      <w:r w:rsidRPr="0000750B">
        <w:rPr>
          <w:b/>
        </w:rPr>
        <w:t>единения к ним</w:t>
      </w:r>
      <w:r w:rsidRPr="00456FC3">
        <w:rPr>
          <w:b/>
        </w:rPr>
        <w:t>.</w:t>
      </w:r>
    </w:p>
    <w:p w:rsidR="00CA752A" w:rsidRPr="0000750B" w:rsidRDefault="00CA752A" w:rsidP="00CA752A">
      <w:pPr>
        <w:pStyle w:val="SingleTxtGR"/>
      </w:pPr>
      <w:r w:rsidRPr="0000750B">
        <w:t>21.</w:t>
      </w:r>
      <w:r w:rsidRPr="0000750B">
        <w:tab/>
        <w:t>Отмечая, что государство-участник я</w:t>
      </w:r>
      <w:r w:rsidR="00F15C33">
        <w:t>вляется стороной Конвенции 1951 </w:t>
      </w:r>
      <w:r w:rsidRPr="0000750B">
        <w:t>года о статусе беженцев с поправками, внесенными в нее в соответствии с Протоколом 1967 года, касающимся статуса беженцев, Комитет выражает оз</w:t>
      </w:r>
      <w:r w:rsidRPr="0000750B">
        <w:t>а</w:t>
      </w:r>
      <w:r w:rsidRPr="0000750B">
        <w:t>боченность в связи с тем, что оно сохраняет оговорку, ограничивающую прим</w:t>
      </w:r>
      <w:r w:rsidRPr="0000750B">
        <w:t>е</w:t>
      </w:r>
      <w:r w:rsidR="00B66661">
        <w:t>нение Конвенции в государствах –</w:t>
      </w:r>
      <w:r w:rsidRPr="0000750B">
        <w:t xml:space="preserve"> членах Совета Европы.</w:t>
      </w:r>
    </w:p>
    <w:p w:rsidR="00CA752A" w:rsidRPr="0000750B" w:rsidRDefault="00CA752A" w:rsidP="00CA752A">
      <w:pPr>
        <w:pStyle w:val="SingleTxtGR"/>
      </w:pPr>
      <w:r w:rsidRPr="0000750B">
        <w:t>22.</w:t>
      </w:r>
      <w:r w:rsidRPr="0000750B">
        <w:tab/>
      </w:r>
      <w:r w:rsidRPr="0000750B">
        <w:rPr>
          <w:b/>
        </w:rPr>
        <w:t>Комитет рекомендует государству-участнику рассмотреть вопрос о снятии оговорки, касающейся географического ограничения действия Конвенции 1951 года о статусе беженцев и Протокола к ней 1967 года</w:t>
      </w:r>
      <w:r w:rsidRPr="00456FC3">
        <w:rPr>
          <w:b/>
        </w:rPr>
        <w:t>.</w:t>
      </w:r>
    </w:p>
    <w:p w:rsidR="00CA752A" w:rsidRPr="0000750B" w:rsidRDefault="00CA752A" w:rsidP="000B5DE2">
      <w:pPr>
        <w:pStyle w:val="H23GR"/>
        <w:rPr>
          <w:b w:val="0"/>
        </w:rPr>
      </w:pPr>
      <w:r w:rsidRPr="0000750B">
        <w:rPr>
          <w:b w:val="0"/>
        </w:rPr>
        <w:tab/>
      </w:r>
      <w:r w:rsidRPr="000B5DE2">
        <w:tab/>
        <w:t>Комплексная политика и стратегия</w:t>
      </w:r>
    </w:p>
    <w:p w:rsidR="00CA752A" w:rsidRPr="0000750B" w:rsidRDefault="00CA752A" w:rsidP="00CA752A">
      <w:pPr>
        <w:pStyle w:val="SingleTxtGR"/>
      </w:pPr>
      <w:r w:rsidRPr="0000750B">
        <w:t>23.</w:t>
      </w:r>
      <w:r w:rsidRPr="0000750B">
        <w:tab/>
        <w:t>Принимая к сведению разработку в 2015 году Национального плана де</w:t>
      </w:r>
      <w:r w:rsidRPr="0000750B">
        <w:t>й</w:t>
      </w:r>
      <w:r w:rsidRPr="0000750B">
        <w:t>ствий в области миграции и предоставления убежища и Стратегии и Наци</w:t>
      </w:r>
      <w:r w:rsidRPr="0000750B">
        <w:t>о</w:t>
      </w:r>
      <w:r w:rsidRPr="0000750B">
        <w:t>нального плана действий по борьбе с незаконной миграцией, Комитет выражает сожаление по поводу того, что государство-участник не представило достато</w:t>
      </w:r>
      <w:r w:rsidRPr="0000750B">
        <w:t>ч</w:t>
      </w:r>
      <w:r w:rsidRPr="0000750B">
        <w:t>ной информации о конкретных мерах, принятых им в целях осуществления Конвенции.</w:t>
      </w:r>
    </w:p>
    <w:p w:rsidR="00CA752A" w:rsidRPr="0000750B" w:rsidRDefault="00CA752A" w:rsidP="00CA752A">
      <w:pPr>
        <w:pStyle w:val="SingleTxtGR"/>
      </w:pPr>
      <w:r w:rsidRPr="0000750B">
        <w:t>24.</w:t>
      </w:r>
      <w:r w:rsidRPr="0000750B">
        <w:tab/>
      </w:r>
      <w:r w:rsidRPr="0000750B">
        <w:rPr>
          <w:b/>
        </w:rPr>
        <w:t>Комитет рекомендует государству-участнику принять, реализовать и обеспечить достаточными ресурсами комплексную политику в области м</w:t>
      </w:r>
      <w:r w:rsidRPr="0000750B">
        <w:rPr>
          <w:b/>
        </w:rPr>
        <w:t>и</w:t>
      </w:r>
      <w:r w:rsidRPr="0000750B">
        <w:rPr>
          <w:b/>
        </w:rPr>
        <w:t>грации в соответствии с положениями Конвенции и с учетом различий между мужчинами и женщинами. Комитет настоятельно призывает гос</w:t>
      </w:r>
      <w:r w:rsidRPr="0000750B">
        <w:rPr>
          <w:b/>
        </w:rPr>
        <w:t>у</w:t>
      </w:r>
      <w:r w:rsidRPr="0000750B">
        <w:rPr>
          <w:b/>
        </w:rPr>
        <w:t>дарство-участник включить в свой второй периодический доклад обно</w:t>
      </w:r>
      <w:r w:rsidRPr="0000750B">
        <w:rPr>
          <w:b/>
        </w:rPr>
        <w:t>в</w:t>
      </w:r>
      <w:r w:rsidRPr="0000750B">
        <w:rPr>
          <w:b/>
        </w:rPr>
        <w:t>ленную и подкрепленную статистическими данными информацию о ко</w:t>
      </w:r>
      <w:r w:rsidRPr="0000750B">
        <w:rPr>
          <w:b/>
        </w:rPr>
        <w:t>н</w:t>
      </w:r>
      <w:r w:rsidRPr="0000750B">
        <w:rPr>
          <w:b/>
        </w:rPr>
        <w:t xml:space="preserve">кретных </w:t>
      </w:r>
      <w:proofErr w:type="gramStart"/>
      <w:r w:rsidRPr="0000750B">
        <w:rPr>
          <w:b/>
        </w:rPr>
        <w:t>мерах</w:t>
      </w:r>
      <w:proofErr w:type="gramEnd"/>
      <w:r w:rsidRPr="0000750B">
        <w:rPr>
          <w:b/>
        </w:rPr>
        <w:t xml:space="preserve"> по</w:t>
      </w:r>
      <w:r w:rsidR="0000750B" w:rsidRPr="0000750B">
        <w:rPr>
          <w:b/>
        </w:rPr>
        <w:t xml:space="preserve"> </w:t>
      </w:r>
      <w:r w:rsidRPr="0000750B">
        <w:rPr>
          <w:b/>
        </w:rPr>
        <w:t>осуществлению изложенных в Конвенции прав труд</w:t>
      </w:r>
      <w:r w:rsidRPr="0000750B">
        <w:rPr>
          <w:b/>
        </w:rPr>
        <w:t>я</w:t>
      </w:r>
      <w:r w:rsidRPr="0000750B">
        <w:rPr>
          <w:b/>
        </w:rPr>
        <w:t>щихся-мигрантов де-юре и де-факто</w:t>
      </w:r>
      <w:r w:rsidRPr="00456FC3">
        <w:rPr>
          <w:b/>
        </w:rPr>
        <w:t>.</w:t>
      </w:r>
    </w:p>
    <w:p w:rsidR="00CA752A" w:rsidRPr="0000750B" w:rsidRDefault="00CA752A" w:rsidP="000B5DE2">
      <w:pPr>
        <w:pStyle w:val="H23GR"/>
        <w:rPr>
          <w:b w:val="0"/>
        </w:rPr>
      </w:pPr>
      <w:r w:rsidRPr="0000750B">
        <w:rPr>
          <w:b w:val="0"/>
        </w:rPr>
        <w:tab/>
      </w:r>
      <w:r w:rsidRPr="000B5DE2">
        <w:tab/>
        <w:t>Координация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25.</w:t>
      </w:r>
      <w:r w:rsidRPr="0000750B">
        <w:tab/>
        <w:t>Приветствуя создание в 2013 году Главного управления по регулиров</w:t>
      </w:r>
      <w:r w:rsidRPr="0000750B">
        <w:t>а</w:t>
      </w:r>
      <w:r w:rsidRPr="0000750B">
        <w:t>нию миграции при Министерстве внутренних дел, а также других координац</w:t>
      </w:r>
      <w:r w:rsidRPr="0000750B">
        <w:t>и</w:t>
      </w:r>
      <w:r w:rsidRPr="0000750B">
        <w:t>онных ме</w:t>
      </w:r>
      <w:r w:rsidR="00B66661">
        <w:t>ханизмов, таких</w:t>
      </w:r>
      <w:r w:rsidRPr="0000750B">
        <w:t xml:space="preserve"> как Консультативный </w:t>
      </w:r>
      <w:proofErr w:type="gramStart"/>
      <w:r w:rsidRPr="0000750B">
        <w:t>совет</w:t>
      </w:r>
      <w:proofErr w:type="gramEnd"/>
      <w:r w:rsidRPr="0000750B">
        <w:t xml:space="preserve"> по миграции и Совет по миграционной политике, Комитет выражает озабоченность в связи с недост</w:t>
      </w:r>
      <w:r w:rsidRPr="0000750B">
        <w:t>а</w:t>
      </w:r>
      <w:r w:rsidRPr="0000750B">
        <w:t>точной координацией усилий ведомств и служб, занимающихся вопросами осуществления прав, предусмотренных в Конвенции.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26.</w:t>
      </w:r>
      <w:r w:rsidRPr="0000750B">
        <w:tab/>
      </w:r>
      <w:r w:rsidRPr="0000750B">
        <w:rPr>
          <w:b/>
        </w:rPr>
        <w:t>Комитет рекомендует государству-участнику активизировать усилия по улучшению координации между министерствами и ведомствами на всех уровнях управления с целью эффективного осуществления прав, защищ</w:t>
      </w:r>
      <w:r w:rsidRPr="0000750B">
        <w:rPr>
          <w:b/>
        </w:rPr>
        <w:t>а</w:t>
      </w:r>
      <w:r w:rsidRPr="0000750B">
        <w:rPr>
          <w:b/>
        </w:rPr>
        <w:t>емых Конвенцией, в том числе за счет выделения соответствующих кадр</w:t>
      </w:r>
      <w:r w:rsidRPr="0000750B">
        <w:rPr>
          <w:b/>
        </w:rPr>
        <w:t>о</w:t>
      </w:r>
      <w:r w:rsidRPr="0000750B">
        <w:rPr>
          <w:b/>
        </w:rPr>
        <w:t>вых и финансовых ресурсов, а также наращивания потенциала Главного управления по регулированию миграции и других ключевых учреждений, занимающихся миграционными вопросами</w:t>
      </w:r>
      <w:r w:rsidRPr="00456FC3">
        <w:rPr>
          <w:b/>
        </w:rPr>
        <w:t>.</w:t>
      </w:r>
    </w:p>
    <w:p w:rsidR="00CA752A" w:rsidRPr="0000750B" w:rsidRDefault="00CA752A" w:rsidP="000B5DE2">
      <w:pPr>
        <w:pStyle w:val="H23GR"/>
        <w:rPr>
          <w:b w:val="0"/>
        </w:rPr>
      </w:pPr>
      <w:r w:rsidRPr="0000750B">
        <w:rPr>
          <w:b w:val="0"/>
        </w:rPr>
        <w:tab/>
      </w:r>
      <w:r w:rsidRPr="000B5DE2">
        <w:tab/>
        <w:t>Сбор данных</w:t>
      </w:r>
    </w:p>
    <w:p w:rsidR="00CA752A" w:rsidRPr="0000750B" w:rsidRDefault="00CA752A" w:rsidP="00CA752A">
      <w:pPr>
        <w:pStyle w:val="SingleTxtGR"/>
      </w:pPr>
      <w:r w:rsidRPr="0000750B">
        <w:t>27.</w:t>
      </w:r>
      <w:r w:rsidRPr="0000750B">
        <w:tab/>
        <w:t>Высоко оценивая усилия государства-участника по предоставлению да</w:t>
      </w:r>
      <w:r w:rsidRPr="0000750B">
        <w:t>н</w:t>
      </w:r>
      <w:r w:rsidRPr="0000750B">
        <w:t>ных о миграционных потоках и других вопросах, связанных с миграцией, К</w:t>
      </w:r>
      <w:r w:rsidRPr="0000750B">
        <w:t>о</w:t>
      </w:r>
      <w:r w:rsidRPr="0000750B">
        <w:t xml:space="preserve">митет выражает озабоченность в связи с тем, что сбор </w:t>
      </w:r>
      <w:bookmarkStart w:id="2" w:name="_GoBack"/>
      <w:bookmarkEnd w:id="2"/>
      <w:r w:rsidRPr="0000750B">
        <w:t>статистических данных в отношении трудовой миграции в государстве-участнике ведется фрагментарно.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28.</w:t>
      </w:r>
      <w:r w:rsidRPr="0000750B">
        <w:tab/>
      </w:r>
      <w:r w:rsidRPr="0000750B">
        <w:rPr>
          <w:b/>
        </w:rPr>
        <w:t>Комитет рекомендует государству-участнику организовать систему сбора качественных и количественных статистических данных и инфо</w:t>
      </w:r>
      <w:r w:rsidRPr="0000750B">
        <w:rPr>
          <w:b/>
        </w:rPr>
        <w:t>р</w:t>
      </w:r>
      <w:r w:rsidRPr="0000750B">
        <w:rPr>
          <w:b/>
        </w:rPr>
        <w:t>мации о миграции, охватывающих все аспекты Конвенции, в том числе трудящихся-мигрантов с неурегулированным статусом, а также наладить сбор подробных данных о статусе трудящихся-мигрантов в государстве-участнике. Комитет призывает государство-участник вести сбор информ</w:t>
      </w:r>
      <w:r w:rsidRPr="0000750B">
        <w:rPr>
          <w:b/>
        </w:rPr>
        <w:t>а</w:t>
      </w:r>
      <w:r w:rsidRPr="0000750B">
        <w:rPr>
          <w:b/>
        </w:rPr>
        <w:t>ции и статистических данных в разбивке по полу, возрасту, гражданству, причинам въезда в страну, выезда из нее и виду выполняемой р</w:t>
      </w:r>
      <w:r w:rsidR="00B66661">
        <w:rPr>
          <w:b/>
        </w:rPr>
        <w:t>аботы,</w:t>
      </w:r>
      <w:r w:rsidR="00B66661">
        <w:rPr>
          <w:b/>
        </w:rPr>
        <w:br/>
      </w:r>
      <w:r w:rsidRPr="0000750B">
        <w:rPr>
          <w:b/>
        </w:rPr>
        <w:t xml:space="preserve">с </w:t>
      </w:r>
      <w:proofErr w:type="gramStart"/>
      <w:r w:rsidRPr="0000750B">
        <w:rPr>
          <w:b/>
        </w:rPr>
        <w:t>тем</w:t>
      </w:r>
      <w:proofErr w:type="gramEnd"/>
      <w:r w:rsidRPr="0000750B">
        <w:rPr>
          <w:b/>
        </w:rPr>
        <w:t xml:space="preserve"> чтобы эффективно воздействовать на соответствующую политику и применение Конвенции в соответствии с целью 17.18 в области развития</w:t>
      </w:r>
      <w:r w:rsidRPr="00EA1445">
        <w:rPr>
          <w:rStyle w:val="a6"/>
        </w:rPr>
        <w:footnoteReference w:id="2"/>
      </w:r>
      <w:r w:rsidRPr="0000750B">
        <w:rPr>
          <w:b/>
        </w:rPr>
        <w:t>. Кроме того, Комитет рекомендует государству-участнику обеспечить с</w:t>
      </w:r>
      <w:r w:rsidRPr="0000750B">
        <w:rPr>
          <w:b/>
        </w:rPr>
        <w:t>о</w:t>
      </w:r>
      <w:r w:rsidRPr="0000750B">
        <w:rPr>
          <w:b/>
        </w:rPr>
        <w:t>трудничество своих консульских и дипломатических представительств за рубежом для целей сбора данных о миграции, в том числе о положении н</w:t>
      </w:r>
      <w:r w:rsidRPr="0000750B">
        <w:rPr>
          <w:b/>
        </w:rPr>
        <w:t>е</w:t>
      </w:r>
      <w:r w:rsidRPr="0000750B">
        <w:rPr>
          <w:b/>
        </w:rPr>
        <w:t>легальных трудовых мигрантов и жертв торговли людьми. В случае нево</w:t>
      </w:r>
      <w:r w:rsidRPr="0000750B">
        <w:rPr>
          <w:b/>
        </w:rPr>
        <w:t>з</w:t>
      </w:r>
      <w:r w:rsidRPr="0000750B">
        <w:rPr>
          <w:b/>
        </w:rPr>
        <w:t>можности получ</w:t>
      </w:r>
      <w:r w:rsidR="00B66661">
        <w:rPr>
          <w:b/>
        </w:rPr>
        <w:t>ить точную информацию, например</w:t>
      </w:r>
      <w:r w:rsidRPr="0000750B">
        <w:rPr>
          <w:b/>
        </w:rPr>
        <w:t xml:space="preserve"> по трудящимся-мигрантам, не имеющим постоянного статуса, Комитет будет признателен за предоставление информации, основанной на исследованиях или оце</w:t>
      </w:r>
      <w:r w:rsidRPr="0000750B">
        <w:rPr>
          <w:b/>
        </w:rPr>
        <w:t>н</w:t>
      </w:r>
      <w:r w:rsidRPr="0000750B">
        <w:rPr>
          <w:b/>
        </w:rPr>
        <w:t>ках</w:t>
      </w:r>
      <w:r w:rsidRPr="00456FC3">
        <w:rPr>
          <w:b/>
        </w:rPr>
        <w:t>.</w:t>
      </w:r>
    </w:p>
    <w:p w:rsidR="00CA752A" w:rsidRPr="000B5DE2" w:rsidRDefault="00CA752A" w:rsidP="000B5DE2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="00042C19">
        <w:t>Независимый мониторинг</w:t>
      </w:r>
    </w:p>
    <w:p w:rsidR="00CA752A" w:rsidRPr="0000750B" w:rsidRDefault="00CA752A" w:rsidP="00CA752A">
      <w:pPr>
        <w:pStyle w:val="SingleTxtGR"/>
      </w:pPr>
      <w:r w:rsidRPr="0000750B">
        <w:t>29.</w:t>
      </w:r>
      <w:r w:rsidRPr="0000750B">
        <w:tab/>
        <w:t>Комитет приветствует содержащуюся в докладе государства-участника инф</w:t>
      </w:r>
      <w:r w:rsidR="009E02CF">
        <w:t>ормацию о том, что Управление ом</w:t>
      </w:r>
      <w:r w:rsidRPr="0000750B">
        <w:t>будсмена уполномочено проводить ра</w:t>
      </w:r>
      <w:r w:rsidRPr="0000750B">
        <w:t>с</w:t>
      </w:r>
      <w:r w:rsidRPr="0000750B">
        <w:t>следования по всем жалобам трудящихся-мигрантов, в том числе не имеющих постоянного статуса. В то же время Комитет обеспокоен тем, что:</w:t>
      </w:r>
    </w:p>
    <w:p w:rsidR="00CA752A" w:rsidRPr="0000750B" w:rsidRDefault="009E02CF" w:rsidP="00CA752A">
      <w:pPr>
        <w:pStyle w:val="SingleTxtGR"/>
      </w:pPr>
      <w:r>
        <w:tab/>
        <w:t>a)</w:t>
      </w:r>
      <w:r>
        <w:tab/>
        <w:t>Управление ом</w:t>
      </w:r>
      <w:r w:rsidR="00CA752A" w:rsidRPr="0000750B">
        <w:t>будсмена не имеет права проводить расследования по собственной инициативе;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Закон об учреждении по правам человека и вопросам равенства Турции, вступивший в силу 20 апреля 2016 года, в соответствии с которым национальное правозащитное учреждение Турции будет преобразовано в учр</w:t>
      </w:r>
      <w:r w:rsidRPr="0000750B">
        <w:t>е</w:t>
      </w:r>
      <w:r w:rsidRPr="0000750B">
        <w:t>ждение по правам человека и вопросам равенства, ослабляет его надзорные полномочия, так как в случаях, связанных с дискриминацией, такое учреждение сможет расследовать нарушения прав человека только при наличии соотве</w:t>
      </w:r>
      <w:r w:rsidRPr="0000750B">
        <w:t>т</w:t>
      </w:r>
      <w:r w:rsidRPr="0000750B">
        <w:t>ствующего заявления;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Закон об учреждении по правам человека и вопросам равенства Турции не в полной мере соответствует принципам, касающимся статуса нац</w:t>
      </w:r>
      <w:r w:rsidRPr="0000750B">
        <w:t>и</w:t>
      </w:r>
      <w:r w:rsidRPr="0000750B">
        <w:t>ональных учреждений, занимающихся поощрением и защитой прав человека (Парижские принципы). Кроме того, функциональная и финансовая независ</w:t>
      </w:r>
      <w:r w:rsidRPr="0000750B">
        <w:t>и</w:t>
      </w:r>
      <w:r w:rsidRPr="0000750B">
        <w:t>мость национального учреждения может иметь пагубные последствия для его работы в качестве национального превентивного механизма, созданного в соо</w:t>
      </w:r>
      <w:r w:rsidRPr="0000750B">
        <w:t>т</w:t>
      </w:r>
      <w:r w:rsidRPr="0000750B">
        <w:t>ветствии с Факультативным протоколом к Конвенции против пыток.</w:t>
      </w:r>
    </w:p>
    <w:p w:rsidR="00CA752A" w:rsidRPr="0000750B" w:rsidRDefault="00CA752A" w:rsidP="00CA752A">
      <w:pPr>
        <w:pStyle w:val="SingleTxtGR"/>
      </w:pPr>
      <w:r w:rsidRPr="0000750B">
        <w:t>30.</w:t>
      </w:r>
      <w:r w:rsidRPr="0000750B">
        <w:tab/>
      </w:r>
      <w:r w:rsidRPr="00B66661">
        <w:rPr>
          <w:b/>
        </w:rPr>
        <w:t>Комитет рекомендует государству-участнику обратиться за технич</w:t>
      </w:r>
      <w:r w:rsidRPr="00B66661">
        <w:rPr>
          <w:b/>
        </w:rPr>
        <w:t>е</w:t>
      </w:r>
      <w:r w:rsidRPr="00B66661">
        <w:rPr>
          <w:b/>
        </w:rPr>
        <w:t xml:space="preserve">ской помощью к Управлению Верховного комиссара по правам человека (УВКПЧ), с </w:t>
      </w:r>
      <w:proofErr w:type="gramStart"/>
      <w:r w:rsidRPr="00B66661">
        <w:rPr>
          <w:b/>
        </w:rPr>
        <w:t>тем</w:t>
      </w:r>
      <w:proofErr w:type="gramEnd"/>
      <w:r w:rsidRPr="00B66661">
        <w:rPr>
          <w:b/>
        </w:rPr>
        <w:t xml:space="preserve"> чтобы обеспечить: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ab/>
      </w:r>
      <w:proofErr w:type="gramStart"/>
      <w:r w:rsidRPr="0000750B">
        <w:rPr>
          <w:b/>
        </w:rPr>
        <w:t>a)</w:t>
      </w:r>
      <w:r w:rsidRPr="0000750B">
        <w:rPr>
          <w:b/>
        </w:rPr>
        <w:tab/>
        <w:t>функциональную и финансовую независимость национального учреждения от правительства в соответствии с Парижскими принципами, в том числе в отношении сферы полномочий и способности поднимать в</w:t>
      </w:r>
      <w:r w:rsidRPr="0000750B">
        <w:rPr>
          <w:b/>
        </w:rPr>
        <w:t>о</w:t>
      </w:r>
      <w:r w:rsidRPr="0000750B">
        <w:rPr>
          <w:b/>
        </w:rPr>
        <w:t>просы о соответствии конституции и контролировать эффективность с</w:t>
      </w:r>
      <w:r w:rsidRPr="0000750B">
        <w:rPr>
          <w:b/>
        </w:rPr>
        <w:t>у</w:t>
      </w:r>
      <w:r w:rsidRPr="0000750B">
        <w:rPr>
          <w:b/>
        </w:rPr>
        <w:t>дебной системы, а также права проводить расследования по всем вопр</w:t>
      </w:r>
      <w:r w:rsidRPr="0000750B">
        <w:rPr>
          <w:b/>
        </w:rPr>
        <w:t>о</w:t>
      </w:r>
      <w:r w:rsidRPr="0000750B">
        <w:rPr>
          <w:b/>
        </w:rPr>
        <w:t>сам, касающимся прав человека, включая права трудящи</w:t>
      </w:r>
      <w:r w:rsidR="00B66661">
        <w:rPr>
          <w:b/>
        </w:rPr>
        <w:t>хся-мигрантов и членов их семей</w:t>
      </w:r>
      <w:r w:rsidRPr="0000750B">
        <w:rPr>
          <w:b/>
        </w:rPr>
        <w:t xml:space="preserve"> независимо от их статуса;</w:t>
      </w:r>
      <w:proofErr w:type="gramEnd"/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полную независимость национального превентивного механи</w:t>
      </w:r>
      <w:r w:rsidRPr="0000750B">
        <w:rPr>
          <w:b/>
        </w:rPr>
        <w:t>з</w:t>
      </w:r>
      <w:r w:rsidRPr="0000750B">
        <w:rPr>
          <w:b/>
        </w:rPr>
        <w:t>ма и право без предварительного уведомления посещать все места, где тр</w:t>
      </w:r>
      <w:r w:rsidRPr="0000750B">
        <w:rPr>
          <w:b/>
        </w:rPr>
        <w:t>у</w:t>
      </w:r>
      <w:r w:rsidRPr="0000750B">
        <w:rPr>
          <w:b/>
        </w:rPr>
        <w:t>дящиеся-мигранты и члены их семей могут быть лишены свободы, в том числе транзитные зоны аэропортов;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</w:r>
      <w:r w:rsidR="009E02CF">
        <w:rPr>
          <w:b/>
        </w:rPr>
        <w:t xml:space="preserve">чтобы </w:t>
      </w:r>
      <w:r w:rsidRPr="0000750B">
        <w:rPr>
          <w:b/>
        </w:rPr>
        <w:t>Управление омбудсмена обладало полномочиями вмеш</w:t>
      </w:r>
      <w:r w:rsidRPr="0000750B">
        <w:rPr>
          <w:b/>
        </w:rPr>
        <w:t>и</w:t>
      </w:r>
      <w:r w:rsidRPr="0000750B">
        <w:rPr>
          <w:b/>
        </w:rPr>
        <w:t>ваться в процесс принятия всех административных решений, связанных с миграцией, включая арест, содержание под стражей, определение миграц</w:t>
      </w:r>
      <w:r w:rsidRPr="0000750B">
        <w:rPr>
          <w:b/>
        </w:rPr>
        <w:t>и</w:t>
      </w:r>
      <w:r w:rsidRPr="0000750B">
        <w:rPr>
          <w:b/>
        </w:rPr>
        <w:t>онного статуса и высылку;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 xml:space="preserve">укрепление и координацию деятельности Управления </w:t>
      </w:r>
      <w:proofErr w:type="gramStart"/>
      <w:r w:rsidRPr="0000750B">
        <w:rPr>
          <w:b/>
        </w:rPr>
        <w:t>ом</w:t>
      </w:r>
      <w:r w:rsidR="007617BD">
        <w:rPr>
          <w:b/>
        </w:rPr>
        <w:t>-</w:t>
      </w:r>
      <w:proofErr w:type="spellStart"/>
      <w:r w:rsidRPr="0000750B">
        <w:rPr>
          <w:b/>
        </w:rPr>
        <w:t>будсмена</w:t>
      </w:r>
      <w:proofErr w:type="spellEnd"/>
      <w:proofErr w:type="gramEnd"/>
      <w:r w:rsidRPr="0000750B">
        <w:rPr>
          <w:b/>
        </w:rPr>
        <w:t xml:space="preserve"> и нового учреждением по правам человека и вопросам раве</w:t>
      </w:r>
      <w:r w:rsidRPr="0000750B">
        <w:rPr>
          <w:b/>
        </w:rPr>
        <w:t>н</w:t>
      </w:r>
      <w:r w:rsidRPr="0000750B">
        <w:rPr>
          <w:b/>
        </w:rPr>
        <w:t>ства;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проведение выборов в новое учреждение по правам человека и вопросов равенства на полностью транспарентной основе с публичным объявлением вакансий и при условии, что кандидаты не будут назначаться исполнительной властью.</w:t>
      </w:r>
    </w:p>
    <w:p w:rsidR="00CA752A" w:rsidRPr="000B5DE2" w:rsidRDefault="00CA752A" w:rsidP="000B5DE2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0B5DE2">
        <w:t>Обучение по вопросам Конвенции и ее популяризация</w:t>
      </w:r>
    </w:p>
    <w:p w:rsidR="00CA752A" w:rsidRPr="0000750B" w:rsidRDefault="00CA752A" w:rsidP="00CA752A">
      <w:pPr>
        <w:pStyle w:val="SingleTxtGR"/>
      </w:pPr>
      <w:r w:rsidRPr="0000750B">
        <w:t>31.</w:t>
      </w:r>
      <w:r w:rsidRPr="0000750B">
        <w:tab/>
        <w:t>Отмечая, что государственные служащие, сотрудники сил безопасности и судебных органов проходят подготовку в области прав человека, Комитет в</w:t>
      </w:r>
      <w:r w:rsidRPr="0000750B">
        <w:t>ы</w:t>
      </w:r>
      <w:r w:rsidRPr="0000750B">
        <w:t>ражает обеспокоенность в связи с отсутствием учебных материалов и пр</w:t>
      </w:r>
      <w:r w:rsidRPr="0000750B">
        <w:t>о</w:t>
      </w:r>
      <w:r w:rsidRPr="0000750B">
        <w:t>грамм, касающихся конкретно Конвенции и закрепленных в ней прав, а также распространения такой информации среди всех заинтересованных сторон, включая национальные, региональные и местные органы власти, национальные суды, государственных служащих, оказывающих бесплатную юридическую п</w:t>
      </w:r>
      <w:r w:rsidRPr="0000750B">
        <w:t>о</w:t>
      </w:r>
      <w:r w:rsidRPr="0000750B">
        <w:t>мощь в иммиграционных процедурах, организации гражданского общества, трудящихся-мигрантов и членов их семей.</w:t>
      </w:r>
    </w:p>
    <w:p w:rsidR="00CA752A" w:rsidRPr="0000750B" w:rsidRDefault="00CA752A" w:rsidP="00CA752A">
      <w:pPr>
        <w:pStyle w:val="SingleTxtGR"/>
      </w:pPr>
      <w:r w:rsidRPr="0000750B">
        <w:t>32.</w:t>
      </w:r>
      <w:r w:rsidRPr="0000750B">
        <w:tab/>
      </w:r>
      <w:r w:rsidRPr="0000750B">
        <w:rPr>
          <w:b/>
        </w:rPr>
        <w:t>Комитет рекомендует государству-участнику разработать учебные программы и программы подготовки по Конвенции и обеспечить доступ к ним для всех должностных и иных лиц, работа которых связана с вопрос</w:t>
      </w:r>
      <w:r w:rsidRPr="0000750B">
        <w:rPr>
          <w:b/>
        </w:rPr>
        <w:t>а</w:t>
      </w:r>
      <w:r w:rsidRPr="0000750B">
        <w:rPr>
          <w:b/>
        </w:rPr>
        <w:t>ми миграции. Комитет также рекомендует государству-участнику гарант</w:t>
      </w:r>
      <w:r w:rsidRPr="0000750B">
        <w:rPr>
          <w:b/>
        </w:rPr>
        <w:t>и</w:t>
      </w:r>
      <w:r w:rsidRPr="0000750B">
        <w:rPr>
          <w:b/>
        </w:rPr>
        <w:t>ровать всем трудящимся-мигрантам доступ к информации об их правах с</w:t>
      </w:r>
      <w:r w:rsidRPr="0000750B">
        <w:rPr>
          <w:b/>
        </w:rPr>
        <w:t>о</w:t>
      </w:r>
      <w:r w:rsidRPr="0000750B">
        <w:rPr>
          <w:b/>
        </w:rPr>
        <w:t>гласно Конвенции и сотрудничать с организациями гражданского общ</w:t>
      </w:r>
      <w:r w:rsidRPr="0000750B">
        <w:rPr>
          <w:b/>
        </w:rPr>
        <w:t>е</w:t>
      </w:r>
      <w:r w:rsidRPr="0000750B">
        <w:rPr>
          <w:b/>
        </w:rPr>
        <w:t>ства и средствами массовой информации в целях распространения инфо</w:t>
      </w:r>
      <w:r w:rsidRPr="0000750B">
        <w:rPr>
          <w:b/>
        </w:rPr>
        <w:t>р</w:t>
      </w:r>
      <w:r w:rsidRPr="0000750B">
        <w:rPr>
          <w:b/>
        </w:rPr>
        <w:t>мации о Конвенции и содействия ее осуществлению</w:t>
      </w:r>
      <w:r w:rsidRPr="00456FC3">
        <w:rPr>
          <w:b/>
        </w:rPr>
        <w:t>.</w:t>
      </w:r>
    </w:p>
    <w:p w:rsidR="00CA752A" w:rsidRPr="000B5DE2" w:rsidRDefault="00CA752A" w:rsidP="000B5DE2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="007617BD">
        <w:t>Участие гражданского общества</w:t>
      </w:r>
    </w:p>
    <w:p w:rsidR="00CA752A" w:rsidRPr="0000750B" w:rsidRDefault="00CA752A" w:rsidP="00CA752A">
      <w:pPr>
        <w:pStyle w:val="SingleTxtGR"/>
      </w:pPr>
      <w:r w:rsidRPr="0000750B">
        <w:t>33.</w:t>
      </w:r>
      <w:r w:rsidRPr="0000750B">
        <w:tab/>
        <w:t>Приветствуя тот факт, что в состав координационных органов, учрежде</w:t>
      </w:r>
      <w:r w:rsidRPr="0000750B">
        <w:t>н</w:t>
      </w:r>
      <w:r w:rsidRPr="0000750B">
        <w:t>ных в соответствии с Законом об иностранцах и международной защите входят представители научных кругов, государственного сектора и неправительстве</w:t>
      </w:r>
      <w:r w:rsidRPr="0000750B">
        <w:t>н</w:t>
      </w:r>
      <w:r w:rsidRPr="0000750B">
        <w:t>ных организаций, Комитет выражает сожаление в связи с тем, что у госуда</w:t>
      </w:r>
      <w:r w:rsidRPr="0000750B">
        <w:t>р</w:t>
      </w:r>
      <w:r w:rsidRPr="0000750B">
        <w:t>ства-участника, как указано в письменных ответах государства-участника на перечень вопросов, не было возможности сотрудничать с гражданским общ</w:t>
      </w:r>
      <w:r w:rsidRPr="0000750B">
        <w:t>е</w:t>
      </w:r>
      <w:r w:rsidRPr="0000750B">
        <w:t>ством в ходе подготовки его периодического доклада. Комитет обеспокоен тем, что некоторые организации гражданского общества, отстаивающие права чел</w:t>
      </w:r>
      <w:r w:rsidRPr="0000750B">
        <w:t>о</w:t>
      </w:r>
      <w:r w:rsidRPr="0000750B">
        <w:t>века в государстве-участнике: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согласно сообщениям, подвергаются запугиванию со стороны гос</w:t>
      </w:r>
      <w:r w:rsidRPr="0000750B">
        <w:t>у</w:t>
      </w:r>
      <w:r w:rsidR="007617BD">
        <w:t>дарственных должностных лиц;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опасаются, как сообщается, оказывать помощь незарегистрирова</w:t>
      </w:r>
      <w:r w:rsidRPr="0000750B">
        <w:t>н</w:t>
      </w:r>
      <w:r w:rsidRPr="0000750B">
        <w:t>ным трудящимся-мигрантам из страха, что их обвинят в незаконном ввозе м</w:t>
      </w:r>
      <w:r w:rsidRPr="0000750B">
        <w:t>и</w:t>
      </w:r>
      <w:r w:rsidRPr="0000750B">
        <w:t>грантов;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имеют ограниченный доступ к центрам содержания под стражей.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34.</w:t>
      </w:r>
      <w:r w:rsidRPr="0000750B">
        <w:tab/>
      </w:r>
      <w:r w:rsidRPr="0000750B">
        <w:rPr>
          <w:b/>
        </w:rPr>
        <w:t>Комитет напоминает государству-участнику о том, что правозащи</w:t>
      </w:r>
      <w:r w:rsidRPr="0000750B">
        <w:rPr>
          <w:b/>
        </w:rPr>
        <w:t>т</w:t>
      </w:r>
      <w:r w:rsidRPr="0000750B">
        <w:rPr>
          <w:b/>
        </w:rPr>
        <w:t>ники заслуживают особой защиты, поскольку их деятельность имеет и</w:t>
      </w:r>
      <w:r w:rsidRPr="0000750B">
        <w:rPr>
          <w:b/>
        </w:rPr>
        <w:t>с</w:t>
      </w:r>
      <w:r w:rsidRPr="0000750B">
        <w:rPr>
          <w:b/>
        </w:rPr>
        <w:t>ключительное значение для поощрения прав человека для всех, включая трудящихся-мигрантов. Поэтому Комитет настоятельно рекомендует гос</w:t>
      </w:r>
      <w:r w:rsidRPr="0000750B">
        <w:rPr>
          <w:b/>
        </w:rPr>
        <w:t>у</w:t>
      </w:r>
      <w:r w:rsidRPr="0000750B">
        <w:rPr>
          <w:b/>
        </w:rPr>
        <w:t>дарству-участнику принять незамедлительные меры по предоставлению журналистам, правозащитникам и всем неправительственным организ</w:t>
      </w:r>
      <w:r w:rsidRPr="0000750B">
        <w:rPr>
          <w:b/>
        </w:rPr>
        <w:t>а</w:t>
      </w:r>
      <w:r w:rsidRPr="0000750B">
        <w:rPr>
          <w:b/>
        </w:rPr>
        <w:t>циям возможности осуществлять свое право на свободу выражения мнений и убеждений без угроз и преследований. Комитет также настоятельно пр</w:t>
      </w:r>
      <w:r w:rsidRPr="0000750B">
        <w:rPr>
          <w:b/>
        </w:rPr>
        <w:t>и</w:t>
      </w:r>
      <w:r w:rsidRPr="0000750B">
        <w:rPr>
          <w:b/>
        </w:rPr>
        <w:t>зывает государство-участник провести оперативное и независимое рассл</w:t>
      </w:r>
      <w:r w:rsidRPr="0000750B">
        <w:rPr>
          <w:b/>
        </w:rPr>
        <w:t>е</w:t>
      </w:r>
      <w:r w:rsidRPr="0000750B">
        <w:rPr>
          <w:b/>
        </w:rPr>
        <w:t>дование случаев запугивания и притеснения правозащитников и актив</w:t>
      </w:r>
      <w:r w:rsidRPr="0000750B">
        <w:rPr>
          <w:b/>
        </w:rPr>
        <w:t>и</w:t>
      </w:r>
      <w:r w:rsidRPr="0000750B">
        <w:rPr>
          <w:b/>
        </w:rPr>
        <w:t>стов гражданского общества, а также привлечь к ответственности вино</w:t>
      </w:r>
      <w:r w:rsidRPr="0000750B">
        <w:rPr>
          <w:b/>
        </w:rPr>
        <w:t>в</w:t>
      </w:r>
      <w:r w:rsidRPr="0000750B">
        <w:rPr>
          <w:b/>
        </w:rPr>
        <w:t>ных в таких нарушениях. 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призвать организации гражданского общества оказывать по</w:t>
      </w:r>
      <w:r w:rsidRPr="0000750B">
        <w:rPr>
          <w:b/>
        </w:rPr>
        <w:t>д</w:t>
      </w:r>
      <w:r w:rsidRPr="0000750B">
        <w:rPr>
          <w:b/>
        </w:rPr>
        <w:t>держку трудящимся-мигрантам и членам их семей и гарантировать, чтобы ни одна организация гражданского общества не была наказана за оказание помощи незарегистрированным трудящимся-мигрантам или за работу с ними;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систематически вовлекать гражданское общество и неправ</w:t>
      </w:r>
      <w:r w:rsidRPr="0000750B">
        <w:rPr>
          <w:b/>
        </w:rPr>
        <w:t>и</w:t>
      </w:r>
      <w:r w:rsidRPr="0000750B">
        <w:rPr>
          <w:b/>
        </w:rPr>
        <w:t>тельственные организации в осуществлении Конвенции, включая ос</w:t>
      </w:r>
      <w:r w:rsidRPr="0000750B">
        <w:rPr>
          <w:b/>
        </w:rPr>
        <w:t>у</w:t>
      </w:r>
      <w:r w:rsidRPr="0000750B">
        <w:rPr>
          <w:b/>
        </w:rPr>
        <w:t>ществление политики в области миграции и соглашения, достигнутого между Европейским союзом и Турцией от 18 марта 2016 года;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 организациям гражданского общества беспрепя</w:t>
      </w:r>
      <w:r w:rsidRPr="0000750B">
        <w:rPr>
          <w:b/>
        </w:rPr>
        <w:t>т</w:t>
      </w:r>
      <w:r w:rsidRPr="0000750B">
        <w:rPr>
          <w:b/>
        </w:rPr>
        <w:t xml:space="preserve">ственный доступ в центры содержания под стражей, с </w:t>
      </w:r>
      <w:proofErr w:type="gramStart"/>
      <w:r w:rsidRPr="0000750B">
        <w:rPr>
          <w:b/>
        </w:rPr>
        <w:t>тем</w:t>
      </w:r>
      <w:proofErr w:type="gramEnd"/>
      <w:r w:rsidRPr="0000750B">
        <w:rPr>
          <w:b/>
        </w:rPr>
        <w:t xml:space="preserve"> чтобы они могли оказывать эффективную помощь задержанным трудящимся-мигрантам и членам их семей</w:t>
      </w:r>
      <w:r w:rsidRPr="00456FC3">
        <w:rPr>
          <w:b/>
        </w:rPr>
        <w:t>.</w:t>
      </w:r>
    </w:p>
    <w:p w:rsidR="00CA752A" w:rsidRPr="0000750B" w:rsidRDefault="00CA752A" w:rsidP="000B5DE2">
      <w:pPr>
        <w:pStyle w:val="H23GR"/>
        <w:rPr>
          <w:b w:val="0"/>
        </w:rPr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0B5DE2">
        <w:t>Коррупция</w:t>
      </w:r>
    </w:p>
    <w:p w:rsidR="00CA752A" w:rsidRPr="0000750B" w:rsidRDefault="00CA752A" w:rsidP="00CA752A">
      <w:pPr>
        <w:pStyle w:val="SingleTxtGR"/>
      </w:pPr>
      <w:r w:rsidRPr="0000750B">
        <w:t>35.</w:t>
      </w:r>
      <w:r w:rsidRPr="0000750B">
        <w:tab/>
        <w:t>Комитет выражает сожаление в связи с отсутствием информации о мерах, принятых в целях предупреждения коррупции среди должностных лиц, которые несут обязательства по Конвенции, включая сотрудников погранслужбы и п</w:t>
      </w:r>
      <w:r w:rsidRPr="0000750B">
        <w:t>о</w:t>
      </w:r>
      <w:r w:rsidRPr="0000750B">
        <w:t>лиции.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36.</w:t>
      </w:r>
      <w:r w:rsidRPr="0000750B">
        <w:tab/>
      </w:r>
      <w:r w:rsidRPr="0000750B">
        <w:rPr>
          <w:b/>
        </w:rPr>
        <w:t>Комитет предлагает государству-участнику представить в своем вт</w:t>
      </w:r>
      <w:r w:rsidRPr="0000750B">
        <w:rPr>
          <w:b/>
        </w:rPr>
        <w:t>о</w:t>
      </w:r>
      <w:r w:rsidRPr="0000750B">
        <w:rPr>
          <w:b/>
        </w:rPr>
        <w:t>ром периодическом докладе информацию о мерах, принятых для пред</w:t>
      </w:r>
      <w:r w:rsidRPr="0000750B">
        <w:rPr>
          <w:b/>
        </w:rPr>
        <w:t>у</w:t>
      </w:r>
      <w:r w:rsidRPr="0000750B">
        <w:rPr>
          <w:b/>
        </w:rPr>
        <w:t>преждения коррупции среди должностных лиц, несущих ответственность согласно Конвенции, в том числе статистические данные о расследованиях и санкциях. Комитет рекомендует государству-участнику проводить и</w:t>
      </w:r>
      <w:r w:rsidRPr="0000750B">
        <w:rPr>
          <w:b/>
        </w:rPr>
        <w:t>н</w:t>
      </w:r>
      <w:r w:rsidRPr="0000750B">
        <w:rPr>
          <w:b/>
        </w:rPr>
        <w:t>формационно-просветительские кампании с тем, чтобы стимулировать трудящихся-мигрантов и членов их семей, утверждающих, что они явл</w:t>
      </w:r>
      <w:r w:rsidRPr="0000750B">
        <w:rPr>
          <w:b/>
        </w:rPr>
        <w:t>я</w:t>
      </w:r>
      <w:r w:rsidRPr="0000750B">
        <w:rPr>
          <w:b/>
        </w:rPr>
        <w:t>ются жертвами коррупции, сообщать об этом.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2.</w:t>
      </w:r>
      <w:r w:rsidRPr="001D0FC4">
        <w:tab/>
        <w:t>Общие принципы (статьи 7 и 83)</w:t>
      </w:r>
    </w:p>
    <w:p w:rsidR="00CA752A" w:rsidRPr="0000750B" w:rsidRDefault="00CA752A" w:rsidP="001D0FC4">
      <w:pPr>
        <w:pStyle w:val="H23GR"/>
        <w:rPr>
          <w:b w:val="0"/>
        </w:rPr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1D0FC4">
        <w:t>Недискриминация</w:t>
      </w:r>
    </w:p>
    <w:p w:rsidR="00CA752A" w:rsidRPr="0000750B" w:rsidRDefault="00CA752A" w:rsidP="00CA752A">
      <w:pPr>
        <w:pStyle w:val="SingleTxtGR"/>
      </w:pPr>
      <w:r w:rsidRPr="0000750B">
        <w:t>37.</w:t>
      </w:r>
      <w:r w:rsidRPr="0000750B">
        <w:tab/>
        <w:t>Отмечая, что государство-участник в настоящее время разрабатывает проект стратегии согласования (интеграции) и национального плана действий, Комитет испытывает озабоченность в связи с тем,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национальное законодательство не охватывает все запрещенные признаки дискриминации, включенные в статьи 1 (1) и 7 Конвенции;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пункт 1 статьи 5 Трудового кодекса запрещает дискриминацию в трудовых отношениях, но не запрещает дискриминацию на этапе найма;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отсутствует информация о практических примерах, которые помо</w:t>
      </w:r>
      <w:r w:rsidRPr="0000750B">
        <w:t>г</w:t>
      </w:r>
      <w:r w:rsidRPr="0000750B">
        <w:t>ли бы оценить, насколько полно в стране осуществляется закрепленное в Ко</w:t>
      </w:r>
      <w:r w:rsidRPr="0000750B">
        <w:t>н</w:t>
      </w:r>
      <w:r w:rsidRPr="0000750B">
        <w:t xml:space="preserve">венции право на </w:t>
      </w:r>
      <w:proofErr w:type="spellStart"/>
      <w:r w:rsidRPr="0000750B">
        <w:t>недискриминацию</w:t>
      </w:r>
      <w:proofErr w:type="spellEnd"/>
      <w:r w:rsidRPr="0000750B">
        <w:t xml:space="preserve"> в отнош</w:t>
      </w:r>
      <w:r w:rsidR="00B66661">
        <w:t>ении трудящихся-мигрантов</w:t>
      </w:r>
      <w:r w:rsidRPr="0000750B">
        <w:t xml:space="preserve"> нез</w:t>
      </w:r>
      <w:r w:rsidRPr="0000750B">
        <w:t>а</w:t>
      </w:r>
      <w:r w:rsidRPr="0000750B">
        <w:t>висимо от наличия или отсутствия у них регистрации.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38.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a)</w:t>
      </w:r>
      <w:r w:rsidRPr="0000750B">
        <w:rPr>
          <w:b/>
        </w:rPr>
        <w:tab/>
        <w:t>принять все необходимые меры, включая законодательные п</w:t>
      </w:r>
      <w:r w:rsidRPr="0000750B">
        <w:rPr>
          <w:b/>
        </w:rPr>
        <w:t>о</w:t>
      </w:r>
      <w:r w:rsidRPr="0000750B">
        <w:rPr>
          <w:b/>
        </w:rPr>
        <w:t>правки, для обеспечения того, чтобы все зарегистрированные и незарег</w:t>
      </w:r>
      <w:r w:rsidRPr="0000750B">
        <w:rPr>
          <w:b/>
        </w:rPr>
        <w:t>и</w:t>
      </w:r>
      <w:r w:rsidRPr="0000750B">
        <w:rPr>
          <w:b/>
        </w:rPr>
        <w:t>стрированные трудящиеся-мигранты</w:t>
      </w:r>
      <w:r w:rsidR="00B66661">
        <w:rPr>
          <w:b/>
        </w:rPr>
        <w:t xml:space="preserve"> и члены их семей на территории</w:t>
      </w:r>
      <w:r w:rsidR="00B66661">
        <w:rPr>
          <w:b/>
        </w:rPr>
        <w:br/>
      </w:r>
      <w:r w:rsidRPr="0000750B">
        <w:rPr>
          <w:b/>
        </w:rPr>
        <w:t>государства-участника или под его юрисдикцией без какой-либо дискр</w:t>
      </w:r>
      <w:r w:rsidRPr="0000750B">
        <w:rPr>
          <w:b/>
        </w:rPr>
        <w:t>и</w:t>
      </w:r>
      <w:r w:rsidRPr="0000750B">
        <w:rPr>
          <w:b/>
        </w:rPr>
        <w:t>минации могли осуществлять права, признанные в Конвенции, в соотве</w:t>
      </w:r>
      <w:r w:rsidRPr="0000750B">
        <w:rPr>
          <w:b/>
        </w:rPr>
        <w:t>т</w:t>
      </w:r>
      <w:r w:rsidRPr="0000750B">
        <w:rPr>
          <w:b/>
        </w:rPr>
        <w:t>ствии с ее статьей 7, в том числе путем внесения поправок в Трудовой к</w:t>
      </w:r>
      <w:r w:rsidRPr="0000750B">
        <w:rPr>
          <w:b/>
        </w:rPr>
        <w:t>о</w:t>
      </w:r>
      <w:r w:rsidRPr="0000750B">
        <w:rPr>
          <w:b/>
        </w:rPr>
        <w:t>декс;</w:t>
      </w:r>
      <w:proofErr w:type="gramEnd"/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представить в своем втором периодическом докладе информ</w:t>
      </w:r>
      <w:r w:rsidRPr="0000750B">
        <w:rPr>
          <w:b/>
        </w:rPr>
        <w:t>а</w:t>
      </w:r>
      <w:r w:rsidRPr="0000750B">
        <w:rPr>
          <w:b/>
        </w:rPr>
        <w:t>цию о конкретных мерах, принятых в этой связи, и существующей пра</w:t>
      </w:r>
      <w:r w:rsidRPr="0000750B">
        <w:rPr>
          <w:b/>
        </w:rPr>
        <w:t>к</w:t>
      </w:r>
      <w:r w:rsidRPr="0000750B">
        <w:rPr>
          <w:b/>
        </w:rPr>
        <w:t>тике, а также соответствующие примеры;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обеспечить, чтобы в официальных дебатах по вопросу о нез</w:t>
      </w:r>
      <w:r w:rsidRPr="0000750B">
        <w:rPr>
          <w:b/>
        </w:rPr>
        <w:t>а</w:t>
      </w:r>
      <w:r w:rsidRPr="0000750B">
        <w:rPr>
          <w:b/>
        </w:rPr>
        <w:t>конных мигрантах затрагивались их права человека и международные обязательства государства-участника по соблюдению, защите и осущест</w:t>
      </w:r>
      <w:r w:rsidRPr="0000750B">
        <w:rPr>
          <w:b/>
        </w:rPr>
        <w:t>в</w:t>
      </w:r>
      <w:r w:rsidRPr="0000750B">
        <w:rPr>
          <w:b/>
        </w:rPr>
        <w:t>лению их прав в соответствии с Конвенцией и другими международными договорами о правах человека.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Право на эффективное средство правовой защиты</w:t>
      </w:r>
    </w:p>
    <w:p w:rsidR="00CA752A" w:rsidRPr="0000750B" w:rsidRDefault="00CA752A" w:rsidP="00CA752A">
      <w:pPr>
        <w:pStyle w:val="SingleTxtGR"/>
      </w:pPr>
      <w:r w:rsidRPr="0000750B">
        <w:t>39.</w:t>
      </w:r>
      <w:r w:rsidRPr="0000750B">
        <w:tab/>
        <w:t>Комитет выражает обеспокоенность в связи с тем,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несмотря на наличие в законодательстве государства-участника п</w:t>
      </w:r>
      <w:r w:rsidRPr="0000750B">
        <w:t>о</w:t>
      </w:r>
      <w:r w:rsidRPr="0000750B">
        <w:t>ложений, регулирующих трудовые права трудящихся-мигрантов, обеспечение соблюдения этих прав на практике, согласно сообщениям, зависит от возмо</w:t>
      </w:r>
      <w:r w:rsidRPr="0000750B">
        <w:t>ж</w:t>
      </w:r>
      <w:r w:rsidRPr="0000750B">
        <w:t>ности трудящегося-мигранта оплатить услуги адвоката;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те редкие случаи, когда трудящимся-мигрантам удавалось получить хоть какую-то компенсацию, как правило, связаны с серьезными произво</w:t>
      </w:r>
      <w:r w:rsidRPr="0000750B">
        <w:t>д</w:t>
      </w:r>
      <w:r w:rsidRPr="0000750B">
        <w:t>ственными травмами или смертью человека;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большинство из весьма незначительного числа жалоб трудящихся-мигрантов или членов их семей, полученных Управлением омбудсмена к наст</w:t>
      </w:r>
      <w:r w:rsidRPr="0000750B">
        <w:t>о</w:t>
      </w:r>
      <w:r w:rsidRPr="0000750B">
        <w:t>ящему времени, были признаны неприемлемыми;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незарегистрированные трудящиеся-мигранты в Турции, как соо</w:t>
      </w:r>
      <w:r w:rsidRPr="0000750B">
        <w:t>б</w:t>
      </w:r>
      <w:r w:rsidRPr="0000750B">
        <w:t>щается, редко могут добиться возмещения в случае нарушения их прав по Ко</w:t>
      </w:r>
      <w:r w:rsidRPr="0000750B">
        <w:t>н</w:t>
      </w:r>
      <w:r w:rsidRPr="0000750B">
        <w:t>венции, не подвергнувшись при этом наказанию из-за их нелегального статуса;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незарегистрированные трудящиеся-мигранты предпочитают не о</w:t>
      </w:r>
      <w:r w:rsidRPr="0000750B">
        <w:t>б</w:t>
      </w:r>
      <w:r w:rsidRPr="0000750B">
        <w:t>ращаться с жалобами, опасаясь привлечения к ответственности, депортации и штрафов за работу без надлежащей регистрации в соответствии со статьей 21 Закона о разрешениях на работу для иностранцев (№ 4817);</w:t>
      </w:r>
    </w:p>
    <w:p w:rsidR="00CA752A" w:rsidRPr="0000750B" w:rsidRDefault="00CA752A" w:rsidP="00CA752A">
      <w:pPr>
        <w:pStyle w:val="SingleTxtGR"/>
      </w:pPr>
      <w:r w:rsidRPr="0000750B">
        <w:tab/>
        <w:t>f)</w:t>
      </w:r>
      <w:r w:rsidRPr="0000750B">
        <w:tab/>
        <w:t>ощущается нехватка информации и надлежащих механизмов пр</w:t>
      </w:r>
      <w:r w:rsidRPr="0000750B">
        <w:t>а</w:t>
      </w:r>
      <w:r w:rsidRPr="0000750B">
        <w:t>вовой помощи для трудящихся-мигрантов об их правах и имеющихся средствах правовой защиты в рамках системы пр</w:t>
      </w:r>
      <w:r w:rsidR="007617BD">
        <w:t>авосудия государства-участника.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40.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a)</w:t>
      </w:r>
      <w:r w:rsidRPr="0000750B">
        <w:rPr>
          <w:b/>
        </w:rPr>
        <w:tab/>
        <w:t>обеспечить, чтобы в законодательстве и на практике все тр</w:t>
      </w:r>
      <w:r w:rsidRPr="0000750B">
        <w:rPr>
          <w:b/>
        </w:rPr>
        <w:t>у</w:t>
      </w:r>
      <w:r w:rsidRPr="0000750B">
        <w:rPr>
          <w:b/>
        </w:rPr>
        <w:t>дящиеся-мигранты и члены их семей, включая не имеющих постоянного статуса, обладали равными с гражданами</w:t>
      </w:r>
      <w:r w:rsidR="0000750B" w:rsidRPr="0000750B">
        <w:rPr>
          <w:b/>
        </w:rPr>
        <w:t xml:space="preserve"> </w:t>
      </w:r>
      <w:r w:rsidRPr="0000750B">
        <w:rPr>
          <w:b/>
        </w:rPr>
        <w:t>государства-участника возмо</w:t>
      </w:r>
      <w:r w:rsidRPr="0000750B">
        <w:rPr>
          <w:b/>
        </w:rPr>
        <w:t>ж</w:t>
      </w:r>
      <w:r w:rsidRPr="0000750B">
        <w:rPr>
          <w:b/>
        </w:rPr>
        <w:t>ностями подавать жалобы и добиваться эффективного возмещения ущерба в судах, если их права по Конвенции были нарушены, в том числе путем устранения препятствий на пути д</w:t>
      </w:r>
      <w:r w:rsidR="00B66661">
        <w:rPr>
          <w:b/>
        </w:rPr>
        <w:t>оступа к правосудию, таких</w:t>
      </w:r>
      <w:r w:rsidRPr="0000750B">
        <w:rPr>
          <w:b/>
        </w:rPr>
        <w:t xml:space="preserve"> как дене</w:t>
      </w:r>
      <w:r w:rsidRPr="0000750B">
        <w:rPr>
          <w:b/>
        </w:rPr>
        <w:t>ж</w:t>
      </w:r>
      <w:r w:rsidRPr="0000750B">
        <w:rPr>
          <w:b/>
        </w:rPr>
        <w:t>ные штрафы за работу без регистрации</w:t>
      </w:r>
      <w:proofErr w:type="gramEnd"/>
      <w:r w:rsidRPr="0000750B">
        <w:rPr>
          <w:b/>
        </w:rPr>
        <w:t xml:space="preserve"> и повышенный риск депортации в случае подачи жалобы;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принять меры по информированию трудящихся-мигрантов и членов их семей, в том числе лиц с неурегулированным статусом, об им</w:t>
      </w:r>
      <w:r w:rsidRPr="0000750B">
        <w:rPr>
          <w:b/>
        </w:rPr>
        <w:t>е</w:t>
      </w:r>
      <w:r w:rsidRPr="0000750B">
        <w:rPr>
          <w:b/>
        </w:rPr>
        <w:t>ющихся в их распоряжении судебных и иных средствах правовой защиты в случае нарушения их прав по Конвенции.</w:t>
      </w:r>
    </w:p>
    <w:p w:rsidR="00CA752A" w:rsidRPr="0000750B" w:rsidRDefault="00CA752A" w:rsidP="00B66661">
      <w:pPr>
        <w:pStyle w:val="H23GR"/>
      </w:pPr>
      <w:r w:rsidRPr="0000750B">
        <w:tab/>
        <w:t>3.</w:t>
      </w:r>
      <w:r w:rsidRPr="0000750B">
        <w:tab/>
        <w:t>Права человека всех трудящи</w:t>
      </w:r>
      <w:r w:rsidR="00B66661">
        <w:t>хся-мигрантов и членов их семей</w:t>
      </w:r>
      <w:r w:rsidR="00B66661">
        <w:br/>
      </w:r>
      <w:r w:rsidRPr="0000750B">
        <w:t>(статьи 8–35)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Пограничный конт</w:t>
      </w:r>
      <w:r w:rsidR="003C0EA2" w:rsidRPr="001D0FC4">
        <w:t>р</w:t>
      </w:r>
      <w:r w:rsidR="007617BD">
        <w:t>оль и транзитные мигранты</w:t>
      </w:r>
    </w:p>
    <w:p w:rsidR="00CA752A" w:rsidRPr="0000750B" w:rsidRDefault="00CA752A" w:rsidP="00CA752A">
      <w:pPr>
        <w:pStyle w:val="SingleTxtGR"/>
      </w:pPr>
      <w:r w:rsidRPr="0000750B">
        <w:t>41.</w:t>
      </w:r>
      <w:r w:rsidRPr="0000750B">
        <w:tab/>
        <w:t>Комитет высоко оценивает политику государства-участника в отношении приема и регистрации сирийских граждан, покидающих свою страну во время кризиса. Вместе с тем Комитет обеспокоен: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сообщениями о том, что начиная с 2016 года государство-участник установило визовые требования для сирийцев, прибывающих воздушным транспортом, и продолжает строительство бетонной стены для закрытия своей сухопутной границы с Сирийской Арабской Республикой, чтобы препятств</w:t>
      </w:r>
      <w:r w:rsidRPr="0000750B">
        <w:t>о</w:t>
      </w:r>
      <w:r w:rsidRPr="0000750B">
        <w:t>вать доступу в страну лиц, не нуждающихся в неотложной медицинской пом</w:t>
      </w:r>
      <w:r w:rsidRPr="0000750B">
        <w:t>о</w:t>
      </w:r>
      <w:r w:rsidRPr="0000750B">
        <w:t>щи;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утверждениями о том, что пограничники государства-участника в ряде случаев ведут огонь на поражение, чтобы не дать пересечь границу сири</w:t>
      </w:r>
      <w:r w:rsidRPr="0000750B">
        <w:t>й</w:t>
      </w:r>
      <w:r w:rsidRPr="0000750B">
        <w:t>ским гражданам, включая детей, которые бегут из Исламского государства Ир</w:t>
      </w:r>
      <w:r w:rsidRPr="0000750B">
        <w:t>а</w:t>
      </w:r>
      <w:r w:rsidRPr="0000750B">
        <w:t>ка и Леванта, а также отсутствием информации о расследовании этих утве</w:t>
      </w:r>
      <w:r w:rsidRPr="0000750B">
        <w:t>р</w:t>
      </w:r>
      <w:r w:rsidRPr="0000750B">
        <w:t>ждений;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сохранением и увеличением числа случаев смерти мигрантов в прибрежных водах государства-участника с 2012 года, несмотря на сокращение этих показателей в марте 2016 года в связи с проведением государством-участником поисково-спасательных работ в рамках проекта СЕЙФМЕД и оп</w:t>
      </w:r>
      <w:r w:rsidRPr="0000750B">
        <w:t>е</w:t>
      </w:r>
      <w:r w:rsidR="007617BD">
        <w:t>рации в Эгейском море;</w:t>
      </w:r>
    </w:p>
    <w:p w:rsidR="00CA752A" w:rsidRPr="0000750B" w:rsidRDefault="00CA752A" w:rsidP="00CA752A">
      <w:pPr>
        <w:pStyle w:val="SingleTxtGR"/>
      </w:pPr>
      <w:r w:rsidRPr="0000750B">
        <w:tab/>
      </w:r>
      <w:proofErr w:type="gramStart"/>
      <w:r w:rsidRPr="0000750B">
        <w:t>d)</w:t>
      </w:r>
      <w:r w:rsidRPr="0000750B">
        <w:tab/>
        <w:t>ограниченной информацией о конкретных механизмах и процед</w:t>
      </w:r>
      <w:r w:rsidRPr="0000750B">
        <w:t>у</w:t>
      </w:r>
      <w:r w:rsidRPr="0000750B">
        <w:t>рах содействия выявлению среди мигрантов, прибывающих в государство-участник, лиц, нуждающихся в защите в соответствии с международными но</w:t>
      </w:r>
      <w:r w:rsidRPr="0000750B">
        <w:t>р</w:t>
      </w:r>
      <w:r w:rsidRPr="0000750B">
        <w:t>мами в области прав человека, гуманитарного и беженского права, а также о конкретных мерах, принимаемых для обеспечения того, чтобы миграционные процедуры государства-участника предполагали защиту прав уязвимых групп и отдельных лиц, в частности детей и лиц, спасающихся от</w:t>
      </w:r>
      <w:proofErr w:type="gramEnd"/>
      <w:r w:rsidRPr="0000750B">
        <w:t xml:space="preserve"> насилия и конфл</w:t>
      </w:r>
      <w:r w:rsidR="007617BD">
        <w:t>иктов в их собственных странах;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отсутствием механизмов для приема и обработки ходатайств о предоставлении убежища, а также отсутствием в государстве-участнике гара</w:t>
      </w:r>
      <w:r w:rsidRPr="0000750B">
        <w:t>н</w:t>
      </w:r>
      <w:r w:rsidRPr="0000750B">
        <w:t>тий невыдворения до начала возвращения мигрантов из Греции в соответствии с соглашением, достигнутым между Европейским союзом и Турцией 18 марта 2016 года.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42.</w:t>
      </w:r>
      <w:r w:rsidRPr="0000750B">
        <w:tab/>
      </w:r>
      <w:r w:rsidRPr="0000750B">
        <w:rPr>
          <w:b/>
        </w:rPr>
        <w:t>Со ссылкой на доклад УВКПЧ о положении транзитных мигрантов (A/HRC/31/35) и рекомендованные УВКПЧ Принципы и руководящие п</w:t>
      </w:r>
      <w:r w:rsidRPr="0000750B">
        <w:rPr>
          <w:b/>
        </w:rPr>
        <w:t>о</w:t>
      </w:r>
      <w:r w:rsidRPr="0000750B">
        <w:rPr>
          <w:b/>
        </w:rPr>
        <w:t>ложения в отношении защиты прав человека на международных границах 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a)</w:t>
      </w:r>
      <w:r w:rsidRPr="0000750B">
        <w:rPr>
          <w:b/>
        </w:rPr>
        <w:tab/>
        <w:t>продолжать придерживаться своих обязательств в соотве</w:t>
      </w:r>
      <w:r w:rsidRPr="0000750B">
        <w:rPr>
          <w:b/>
        </w:rPr>
        <w:t>т</w:t>
      </w:r>
      <w:r w:rsidRPr="0000750B">
        <w:rPr>
          <w:b/>
        </w:rPr>
        <w:t>ствии с международным обычным правом, международным правом в обл</w:t>
      </w:r>
      <w:r w:rsidRPr="0000750B">
        <w:rPr>
          <w:b/>
        </w:rPr>
        <w:t>а</w:t>
      </w:r>
      <w:r w:rsidRPr="0000750B">
        <w:rPr>
          <w:b/>
        </w:rPr>
        <w:t>сти прав человека и статьей 6 (1) Закона об иностранцах и международной защите в отношении с</w:t>
      </w:r>
      <w:r w:rsidR="00042C19">
        <w:rPr>
          <w:b/>
        </w:rPr>
        <w:t xml:space="preserve">облюдения принципа </w:t>
      </w:r>
      <w:proofErr w:type="spellStart"/>
      <w:r w:rsidR="00042C19">
        <w:rPr>
          <w:b/>
        </w:rPr>
        <w:t>невыдворения</w:t>
      </w:r>
      <w:proofErr w:type="spellEnd"/>
      <w:r w:rsidRPr="0000750B">
        <w:rPr>
          <w:b/>
        </w:rPr>
        <w:t xml:space="preserve"> и с этой целью воздерживаться от возвращения мигрантов на границе или их принуд</w:t>
      </w:r>
      <w:r w:rsidRPr="0000750B">
        <w:rPr>
          <w:b/>
        </w:rPr>
        <w:t>и</w:t>
      </w:r>
      <w:r w:rsidRPr="0000750B">
        <w:rPr>
          <w:b/>
        </w:rPr>
        <w:t>тельной высылки в тех случаях, когда им могут угрожать преследования, пытки или другие жестокие, бесчеловечные или</w:t>
      </w:r>
      <w:proofErr w:type="gramEnd"/>
      <w:r w:rsidRPr="0000750B">
        <w:rPr>
          <w:b/>
        </w:rPr>
        <w:t xml:space="preserve"> унижающие достоинство виды обращения и наказания;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незамедлительно расследовать все случаи злоупотреблений и смерти в приграничных районах государства-участника и принимать меры для предотвращения таких нарушений прав человека в будущем, в том числе путем обеспечения того, чтобы все транзитные мигранты имели д</w:t>
      </w:r>
      <w:r w:rsidRPr="0000750B">
        <w:rPr>
          <w:b/>
        </w:rPr>
        <w:t>о</w:t>
      </w:r>
      <w:r w:rsidRPr="0000750B">
        <w:rPr>
          <w:b/>
        </w:rPr>
        <w:t>ступ к правосудию и эффективным средствам правовой защиты в случаях насилия и злоупотреблений, будь то со стороны должностных лиц или частных лиц, групп или учреждений;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разработать и ввести в действие механизмы для оценки инд</w:t>
      </w:r>
      <w:r w:rsidRPr="0000750B">
        <w:rPr>
          <w:b/>
        </w:rPr>
        <w:t>и</w:t>
      </w:r>
      <w:r w:rsidRPr="0000750B">
        <w:rPr>
          <w:b/>
        </w:rPr>
        <w:t>видуальной ситуации транзитных мигрантов, с тем чтобы определить их потребности в защите без какой-либо дискриминации и в полном соотве</w:t>
      </w:r>
      <w:r w:rsidRPr="0000750B">
        <w:rPr>
          <w:b/>
        </w:rPr>
        <w:t>т</w:t>
      </w:r>
      <w:r w:rsidRPr="0000750B">
        <w:rPr>
          <w:b/>
        </w:rPr>
        <w:t>ствии с международными стандартами в области прав человека, гуман</w:t>
      </w:r>
      <w:r w:rsidRPr="0000750B">
        <w:rPr>
          <w:b/>
        </w:rPr>
        <w:t>и</w:t>
      </w:r>
      <w:r w:rsidRPr="0000750B">
        <w:rPr>
          <w:b/>
        </w:rPr>
        <w:t>тарного и беженского права;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 xml:space="preserve">гарантировать права человека всех транзитных детей-мигрантов и обеспечить, чтобы с ними обращались в первую очередь как с детьми, и в этих целях дать указания относительно применения </w:t>
      </w:r>
      <w:proofErr w:type="gramStart"/>
      <w:r w:rsidRPr="0000750B">
        <w:rPr>
          <w:b/>
        </w:rPr>
        <w:t>принципа соблюдения наилучших интересов ребе</w:t>
      </w:r>
      <w:r w:rsidR="007617BD">
        <w:rPr>
          <w:b/>
        </w:rPr>
        <w:t>нка транзитных детей-мигрантов</w:t>
      </w:r>
      <w:proofErr w:type="gramEnd"/>
      <w:r w:rsidR="007617BD">
        <w:rPr>
          <w:b/>
        </w:rPr>
        <w:t>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обеспечить предоставление транзитным мигрантам, ставшим жертвами насилия, физического и психологического жестокого обращения и эксплуатации, соответствующих услуг, включая медицинскую и психол</w:t>
      </w:r>
      <w:r w:rsidRPr="0000750B">
        <w:rPr>
          <w:b/>
        </w:rPr>
        <w:t>о</w:t>
      </w:r>
      <w:r w:rsidRPr="0000750B">
        <w:rPr>
          <w:b/>
        </w:rPr>
        <w:t>гическую помощь; и предоставить мигрантам, в частности девочкам и женщинам, подвергшимся в процессе транзита изнасилованию или другим формам сексуального насилия, защиту и лечение, соответствующие сл</w:t>
      </w:r>
      <w:r w:rsidRPr="0000750B">
        <w:rPr>
          <w:b/>
        </w:rPr>
        <w:t>о</w:t>
      </w:r>
      <w:r w:rsidRPr="0000750B">
        <w:rPr>
          <w:b/>
        </w:rPr>
        <w:t>жившимся обстоятельствам и условиям, включая услуги в области секс</w:t>
      </w:r>
      <w:r w:rsidRPr="0000750B">
        <w:rPr>
          <w:b/>
        </w:rPr>
        <w:t>у</w:t>
      </w:r>
      <w:r w:rsidRPr="0000750B">
        <w:rPr>
          <w:b/>
        </w:rPr>
        <w:t xml:space="preserve">ального и репродуктивного здоровья и доступ </w:t>
      </w:r>
      <w:proofErr w:type="gramStart"/>
      <w:r w:rsidRPr="0000750B">
        <w:rPr>
          <w:b/>
        </w:rPr>
        <w:t>к</w:t>
      </w:r>
      <w:proofErr w:type="gramEnd"/>
      <w:r w:rsidRPr="0000750B">
        <w:rPr>
          <w:b/>
        </w:rPr>
        <w:t xml:space="preserve"> основанным на правах ч</w:t>
      </w:r>
      <w:r w:rsidRPr="0000750B">
        <w:rPr>
          <w:b/>
        </w:rPr>
        <w:t>е</w:t>
      </w:r>
      <w:r w:rsidRPr="0000750B">
        <w:rPr>
          <w:b/>
        </w:rPr>
        <w:t>ловека, всеобъемлющим и комплексным информации и услугам в области сексуального и репродуктивного здоровья;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f)</w:t>
      </w:r>
      <w:r w:rsidRPr="0000750B">
        <w:rPr>
          <w:b/>
        </w:rPr>
        <w:tab/>
        <w:t>создать, обеспечить функционирование и совершенствовать надлежащие и эффективные спасательные службы на всех своих междун</w:t>
      </w:r>
      <w:r w:rsidRPr="0000750B">
        <w:rPr>
          <w:b/>
        </w:rPr>
        <w:t>а</w:t>
      </w:r>
      <w:r w:rsidRPr="0000750B">
        <w:rPr>
          <w:b/>
        </w:rPr>
        <w:t>родных границах и дополнительно укрепить морские поисково-спасательные службы и услуги по оказанию помощи семьям погибших и пропавших без вести мигрантов, включая идентификацию и репатриацию останков;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g)</w:t>
      </w:r>
      <w:r w:rsidRPr="0000750B">
        <w:rPr>
          <w:b/>
        </w:rPr>
        <w:tab/>
        <w:t>согласовать перенос сроков возвращения беженцев из Греции до тех пор, пока не будут созданы надлежащие механизмы для приема и о</w:t>
      </w:r>
      <w:r w:rsidRPr="0000750B">
        <w:rPr>
          <w:b/>
        </w:rPr>
        <w:t>б</w:t>
      </w:r>
      <w:r w:rsidRPr="0000750B">
        <w:rPr>
          <w:b/>
        </w:rPr>
        <w:t>работки ходатайств о международной защите;</w:t>
      </w:r>
    </w:p>
    <w:p w:rsidR="00CA752A" w:rsidRPr="0000750B" w:rsidRDefault="00CA752A" w:rsidP="00CA752A">
      <w:pPr>
        <w:pStyle w:val="SingleTxtGR"/>
      </w:pPr>
      <w:r w:rsidRPr="0000750B">
        <w:rPr>
          <w:b/>
        </w:rPr>
        <w:tab/>
        <w:t>h)</w:t>
      </w:r>
      <w:r w:rsidRPr="0000750B">
        <w:rPr>
          <w:b/>
        </w:rPr>
        <w:tab/>
        <w:t>обеспечить, чтобы меры, направленные на решение проблемы нелегальной миграции и незаконного ввоза мигрантов, не оказывали нег</w:t>
      </w:r>
      <w:r w:rsidRPr="0000750B">
        <w:rPr>
          <w:b/>
        </w:rPr>
        <w:t>а</w:t>
      </w:r>
      <w:r w:rsidRPr="0000750B">
        <w:rPr>
          <w:b/>
        </w:rPr>
        <w:t>тивного воздействия на права человека трудящихся-мигрантов и членов их семей и чтобы все трудящиеся-мигранты и члены их семей получали п</w:t>
      </w:r>
      <w:r w:rsidRPr="0000750B">
        <w:rPr>
          <w:b/>
        </w:rPr>
        <w:t>о</w:t>
      </w:r>
      <w:r w:rsidRPr="0000750B">
        <w:rPr>
          <w:b/>
        </w:rPr>
        <w:t>мощь, в которой они нуждаются, и надлежащие процессуальные гарантии.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1D0FC4">
        <w:t>Эксплуатация труда и другие формы жестокого обращения</w:t>
      </w:r>
    </w:p>
    <w:p w:rsidR="00CA752A" w:rsidRPr="0000750B" w:rsidRDefault="00CA752A" w:rsidP="00CA752A">
      <w:pPr>
        <w:pStyle w:val="SingleTxtGR"/>
      </w:pPr>
      <w:r w:rsidRPr="0000750B">
        <w:t>43.</w:t>
      </w:r>
      <w:r w:rsidRPr="0000750B">
        <w:tab/>
        <w:t>Комитет отмечает усилия государства-участника по ликвидац</w:t>
      </w:r>
      <w:r w:rsidR="00042C19">
        <w:t xml:space="preserve">ии детского труда. </w:t>
      </w:r>
      <w:proofErr w:type="gramStart"/>
      <w:r w:rsidR="00042C19">
        <w:t>Вместе с тем</w:t>
      </w:r>
      <w:r w:rsidRPr="0000750B">
        <w:t xml:space="preserve"> Комитет выражает обеспокоенность по поводу того, что многие дети-мигранты, как несопровождаемые, так и с семьями, заняты в н</w:t>
      </w:r>
      <w:r w:rsidRPr="0000750B">
        <w:t>е</w:t>
      </w:r>
      <w:r w:rsidRPr="0000750B">
        <w:t>формальном секторе, главным образом на сельскохозяйственных работах, в т</w:t>
      </w:r>
      <w:r w:rsidRPr="0000750B">
        <w:t>е</w:t>
      </w:r>
      <w:r w:rsidRPr="0000750B">
        <w:t>чение ненормированного рабочего дня и в тяжелых условиях без правовой з</w:t>
      </w:r>
      <w:r w:rsidRPr="0000750B">
        <w:t>а</w:t>
      </w:r>
      <w:r w:rsidRPr="0000750B">
        <w:t>щиты, с учетом того, что статья 4 Трудового кодекса не распространяется на сельскохозяйственные предприятия, на которых занято менее 50 работников.</w:t>
      </w:r>
      <w:proofErr w:type="gramEnd"/>
      <w:r w:rsidRPr="0000750B">
        <w:t xml:space="preserve"> Комитет также обеспокоен тем, что минимальный возраст для приема на раб</w:t>
      </w:r>
      <w:r w:rsidRPr="0000750B">
        <w:t>о</w:t>
      </w:r>
      <w:r w:rsidRPr="0000750B">
        <w:t xml:space="preserve">ту, который составляет 15 лет, ниже, чем возраст, в котором дети, как правило, </w:t>
      </w:r>
      <w:proofErr w:type="gramStart"/>
      <w:r w:rsidRPr="0000750B">
        <w:t>заканч</w:t>
      </w:r>
      <w:r w:rsidR="007617BD">
        <w:t>ивают обязательное образование</w:t>
      </w:r>
      <w:proofErr w:type="gramEnd"/>
      <w:r w:rsidR="007617BD">
        <w:t>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44.</w:t>
      </w:r>
      <w:r w:rsidRPr="0000750B">
        <w:tab/>
      </w:r>
      <w:r w:rsidRPr="0000750B">
        <w:rPr>
          <w:b/>
        </w:rPr>
        <w:t>Комитет рекомендует, чтобы в соответствии с целью 16.2 в области устойчивого развития государство-участник: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обеспечило законодательную защиту всех детей трудящихся-мигрантов, включая тех, кто работает на сельскохозяйственных предпри</w:t>
      </w:r>
      <w:r w:rsidRPr="0000750B">
        <w:rPr>
          <w:b/>
        </w:rPr>
        <w:t>я</w:t>
      </w:r>
      <w:r w:rsidRPr="0000750B">
        <w:rPr>
          <w:b/>
        </w:rPr>
        <w:t xml:space="preserve">тиях, на которых занято менее 50 работников, или в небольших торговых точках, количество сотрудников которых не превышает </w:t>
      </w:r>
      <w:r w:rsidR="00042C19">
        <w:rPr>
          <w:b/>
        </w:rPr>
        <w:t>3</w:t>
      </w:r>
      <w:r w:rsidRPr="0000750B">
        <w:rPr>
          <w:b/>
        </w:rPr>
        <w:t xml:space="preserve"> человек;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привело свое законодательство о минимальном возрасте труд</w:t>
      </w:r>
      <w:r w:rsidRPr="0000750B">
        <w:rPr>
          <w:b/>
        </w:rPr>
        <w:t>о</w:t>
      </w:r>
      <w:r w:rsidRPr="0000750B">
        <w:rPr>
          <w:b/>
        </w:rPr>
        <w:t>устройства в соответствие с обычным возрастом завершения обязательн</w:t>
      </w:r>
      <w:r w:rsidRPr="0000750B">
        <w:rPr>
          <w:b/>
        </w:rPr>
        <w:t>о</w:t>
      </w:r>
      <w:r w:rsidRPr="0000750B">
        <w:rPr>
          <w:b/>
        </w:rPr>
        <w:t>го образования и с Конвенцией Международной организации труда о наихудших формах детского труда 1999 года (№ 182);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включило конкретные меры в отношении детей-мигрантов в Политику и Рамочную программу по искоренению наихудших форм де</w:t>
      </w:r>
      <w:r w:rsidRPr="0000750B">
        <w:rPr>
          <w:b/>
        </w:rPr>
        <w:t>т</w:t>
      </w:r>
      <w:r w:rsidR="00042C19">
        <w:rPr>
          <w:b/>
        </w:rPr>
        <w:t>ского труда на 2016–</w:t>
      </w:r>
      <w:r w:rsidRPr="0000750B">
        <w:rPr>
          <w:b/>
        </w:rPr>
        <w:t>2023 годы или разработало конкретную стратегию по искоренению наихудших форм детского труда для детей-мигрантов;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усилило проверки, осуществляемые инспекциями труда, а та</w:t>
      </w:r>
      <w:r w:rsidRPr="0000750B">
        <w:rPr>
          <w:b/>
        </w:rPr>
        <w:t>к</w:t>
      </w:r>
      <w:r w:rsidRPr="0000750B">
        <w:rPr>
          <w:b/>
        </w:rPr>
        <w:t>же обеспечило привлечение к ответственности и наказание лиц или групп лиц, эксплуатирующих детей из числа трудящихся-мигрантов, принужд</w:t>
      </w:r>
      <w:r w:rsidRPr="0000750B">
        <w:rPr>
          <w:b/>
        </w:rPr>
        <w:t>а</w:t>
      </w:r>
      <w:r w:rsidRPr="0000750B">
        <w:rPr>
          <w:b/>
        </w:rPr>
        <w:t>ющих их к труду или злоупотребляющих их положением, особенно в н</w:t>
      </w:r>
      <w:r w:rsidRPr="0000750B">
        <w:rPr>
          <w:b/>
        </w:rPr>
        <w:t>е</w:t>
      </w:r>
      <w:r w:rsidRPr="0000750B">
        <w:rPr>
          <w:b/>
        </w:rPr>
        <w:t>формальном секторе экономики;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обеспечило надлежащую помощь, защиту и реабилитацию, включая социально-психологическую реабилитацию, детям-мигрантам, которые стали жертвами трудовой эксплуатации.</w:t>
      </w:r>
    </w:p>
    <w:p w:rsidR="00CA752A" w:rsidRPr="0000750B" w:rsidRDefault="00CA752A" w:rsidP="00CA752A">
      <w:pPr>
        <w:pStyle w:val="SingleTxtGR"/>
      </w:pPr>
      <w:r w:rsidRPr="0000750B">
        <w:t>45.</w:t>
      </w:r>
      <w:r w:rsidRPr="0000750B">
        <w:tab/>
        <w:t>Комитет выражает обеспокоенность по поводу: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отсутствия данных о случаях сексуального и гендерного насилия, включая ранние и принудительные браки, среди мигрантов в государстве-участнике;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низкого уровня осведомленности трудящихся-мигрантов и членов их семей о существовании национального консультативного механизма для жертв сексуального и гендерного насилия, а местных органов власти и специ</w:t>
      </w:r>
      <w:r w:rsidRPr="0000750B">
        <w:t>а</w:t>
      </w:r>
      <w:r w:rsidRPr="0000750B">
        <w:t>листов-прак</w:t>
      </w:r>
      <w:r w:rsidR="000B2256">
        <w:t>тиков на провинциальном уровне –</w:t>
      </w:r>
      <w:r w:rsidRPr="0000750B">
        <w:t xml:space="preserve"> о применимости к женщинам-мигрантам национальной нормативно-правовой базы по борьбе с насилием в отношении женщин;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невнимания со стороны местных властей к потребностям в защите женщин-мигрантов, ставших жертвами насилия или рискующих ему подвер</w:t>
      </w:r>
      <w:r w:rsidRPr="0000750B">
        <w:t>г</w:t>
      </w:r>
      <w:r w:rsidRPr="0000750B">
        <w:t>нуться;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ограниченного национального потенциала для выявления мигра</w:t>
      </w:r>
      <w:r w:rsidRPr="0000750B">
        <w:t>н</w:t>
      </w:r>
      <w:r w:rsidRPr="0000750B">
        <w:t>тов, ставших жертвами сексуального и гендерного насилия, и специализир</w:t>
      </w:r>
      <w:r w:rsidRPr="0000750B">
        <w:t>о</w:t>
      </w:r>
      <w:r w:rsidRPr="0000750B">
        <w:t>ванных услуг для них;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ограниченного числа программ по предотвращению сексуального и гендерного насилия среди общин мигрантов.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46.</w:t>
      </w:r>
      <w:r w:rsidRPr="0000750B">
        <w:tab/>
      </w:r>
      <w:r w:rsidRPr="0000750B">
        <w:rPr>
          <w:b/>
        </w:rPr>
        <w:t>Комитет рекомендует государству-участнику принять меры с целью: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сбора данных о случаях сексуального и гендерного насилия, включая ранние и принудительные браки, среди мигрантов в государстве-участнике;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повышения уровня осведомленности трудящихся-мигрантов и членов их семей о национальном консультативном механизме для жертв сексуального и гендерного насилия, а местных органов власти и специал</w:t>
      </w:r>
      <w:r w:rsidRPr="0000750B">
        <w:rPr>
          <w:b/>
        </w:rPr>
        <w:t>и</w:t>
      </w:r>
      <w:r w:rsidRPr="0000750B">
        <w:rPr>
          <w:b/>
        </w:rPr>
        <w:t>стов-прак</w:t>
      </w:r>
      <w:r w:rsidR="000B2256">
        <w:rPr>
          <w:b/>
        </w:rPr>
        <w:t>тиков на провинциальном уровне –</w:t>
      </w:r>
      <w:r w:rsidRPr="0000750B">
        <w:rPr>
          <w:b/>
        </w:rPr>
        <w:t xml:space="preserve"> о применимости к женщ</w:t>
      </w:r>
      <w:r w:rsidRPr="0000750B">
        <w:rPr>
          <w:b/>
        </w:rPr>
        <w:t>и</w:t>
      </w:r>
      <w:r w:rsidRPr="0000750B">
        <w:rPr>
          <w:b/>
        </w:rPr>
        <w:t>нам-мигрантам национальной нормативно-правовой базы по борьбе</w:t>
      </w:r>
      <w:r w:rsidR="007617BD">
        <w:rPr>
          <w:b/>
        </w:rPr>
        <w:t xml:space="preserve"> с насилием в отношении женщин;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учета потребностей в защите женщин-мигрантов, ставших жертвами насилия или рискующих ему подвергнуться;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наращивания потенциала для выявления мигрантов, ставших жертвами сексуального и гендерного насилия, и создания специализир</w:t>
      </w:r>
      <w:r w:rsidRPr="0000750B">
        <w:rPr>
          <w:b/>
        </w:rPr>
        <w:t>о</w:t>
      </w:r>
      <w:r w:rsidRPr="0000750B">
        <w:rPr>
          <w:b/>
        </w:rPr>
        <w:t>ванных услуг для них;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уделения особого внимания трудящимся-мигрантам и членам их семей в рамках механизмов и программ по предупреждению сексуальн</w:t>
      </w:r>
      <w:r w:rsidRPr="0000750B">
        <w:rPr>
          <w:b/>
        </w:rPr>
        <w:t>о</w:t>
      </w:r>
      <w:r w:rsidRPr="0000750B">
        <w:rPr>
          <w:b/>
        </w:rPr>
        <w:t>го и гендерного насилия</w:t>
      </w:r>
      <w:r w:rsidRPr="00456FC3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Надлежащая правовая процедура, задержание и равенство перед судом</w:t>
      </w:r>
    </w:p>
    <w:p w:rsidR="00CA752A" w:rsidRPr="0000750B" w:rsidRDefault="00CA752A" w:rsidP="00CA752A">
      <w:pPr>
        <w:pStyle w:val="SingleTxtGR"/>
      </w:pPr>
      <w:r w:rsidRPr="0000750B">
        <w:t>47.</w:t>
      </w:r>
      <w:r w:rsidRPr="0000750B">
        <w:tab/>
        <w:t>Комитет принимает к сведению информацию государства-участника о том, что несопровождаемые дети помещаются в учреждения, где им предоста</w:t>
      </w:r>
      <w:r w:rsidRPr="0000750B">
        <w:t>в</w:t>
      </w:r>
      <w:r w:rsidRPr="0000750B">
        <w:t>ляются услуги по защите прав детей. Вместе с тем Комитет выражает обесп</w:t>
      </w:r>
      <w:r w:rsidRPr="0000750B">
        <w:t>о</w:t>
      </w:r>
      <w:r w:rsidRPr="0000750B">
        <w:t>коенность по поводу того,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широко распространена практика автоматического задержания большого количества трудящихся-мигрантов и просителей убежища, не име</w:t>
      </w:r>
      <w:r w:rsidRPr="0000750B">
        <w:t>ю</w:t>
      </w:r>
      <w:r w:rsidRPr="0000750B">
        <w:t>щих постоянного статуса, включая семьи и детей, многие из которых были з</w:t>
      </w:r>
      <w:r w:rsidRPr="0000750B">
        <w:t>а</w:t>
      </w:r>
      <w:r w:rsidRPr="0000750B">
        <w:t>держаны при попытке добраться до Греции;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статья 57 (2) Закона об иностранцах и международной защите, к</w:t>
      </w:r>
      <w:r w:rsidRPr="0000750B">
        <w:t>о</w:t>
      </w:r>
      <w:r w:rsidRPr="0000750B">
        <w:t>торая предусматривает, что административное задержание может быть предп</w:t>
      </w:r>
      <w:r w:rsidRPr="0000750B">
        <w:t>и</w:t>
      </w:r>
      <w:r w:rsidRPr="0000750B">
        <w:t>сано с целью высылки тех лиц, которые нарушают правила въезда и выезда из государства-участника; имеют фальшивые или поддельные документы; или не покинули государство-участник после истечения</w:t>
      </w:r>
      <w:r w:rsidR="0000750B" w:rsidRPr="0000750B">
        <w:t xml:space="preserve"> </w:t>
      </w:r>
      <w:r w:rsidRPr="0000750B">
        <w:t>предоставленного им для в</w:t>
      </w:r>
      <w:r w:rsidRPr="0000750B">
        <w:t>ы</w:t>
      </w:r>
      <w:r w:rsidR="00042C19">
        <w:t>езда срока</w:t>
      </w:r>
      <w:r w:rsidR="007617BD">
        <w:t xml:space="preserve"> без уважительных причин;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дети и семьи с детьми не всегда содержатся отдельно от взрослых в местах содержания под стражей, так как семейных помещений зачастую просто нет;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несопровождаемые дети, содержащиеся под стражей, как утве</w:t>
      </w:r>
      <w:r w:rsidRPr="0000750B">
        <w:t>р</w:t>
      </w:r>
      <w:r w:rsidRPr="0000750B">
        <w:t>ждается, зачастую не получают лечения, соответствующего их возрасту и пр</w:t>
      </w:r>
      <w:r w:rsidRPr="0000750B">
        <w:t>а</w:t>
      </w:r>
      <w:r w:rsidRPr="0000750B">
        <w:t>вовому статусу, и не имеют доступа к службам защиты детей;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в стране планируется строить новые центры содержания под стр</w:t>
      </w:r>
      <w:r w:rsidRPr="0000750B">
        <w:t>а</w:t>
      </w:r>
      <w:r w:rsidRPr="0000750B">
        <w:t>жей, количество которых и без того велико, при этом отсутствует информация о применении на практике альтернатив административному задержанию, как это предусмотрено в статье 68 (3) Закона об иностранцах и международной защите.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48.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обеспечить, чтобы административное содержание под стражей использовалось только в качестве крайней меры, и поощрять альтерн</w:t>
      </w:r>
      <w:r w:rsidRPr="0000750B">
        <w:rPr>
          <w:b/>
        </w:rPr>
        <w:t>а</w:t>
      </w:r>
      <w:r w:rsidRPr="0000750B">
        <w:rPr>
          <w:b/>
        </w:rPr>
        <w:t>тивные меры, не связанные с заключением под стражу, в соответствии с принятым Комитетом замечанием общего порядка № 2 (2013) о правах тр</w:t>
      </w:r>
      <w:r w:rsidRPr="0000750B">
        <w:rPr>
          <w:b/>
        </w:rPr>
        <w:t>у</w:t>
      </w:r>
      <w:r w:rsidRPr="0000750B">
        <w:rPr>
          <w:b/>
        </w:rPr>
        <w:t>дящихся-мигрантов, не имеющих постоянного статуса, и членов их семей;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безотлагательно и полностью прекратить практику задержания детей на основании их миграционного статуса или миграционного статуса их родителей и принять меры, альтернативные содержанию под стражей, чтобы дети могли оставаться на свободе со своими родственниками и/или опекунами в своих общинах, пока решается вопрос об их иммиграционном статусе, с учетом их наилучших интересов, а также права на свободу и с</w:t>
      </w:r>
      <w:r w:rsidRPr="0000750B">
        <w:rPr>
          <w:b/>
        </w:rPr>
        <w:t>е</w:t>
      </w:r>
      <w:r w:rsidRPr="0000750B">
        <w:rPr>
          <w:b/>
        </w:rPr>
        <w:t>мейную жизнь;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обеспечить, чтобы государство в проводимой им политике и практике руководствовалось гуманитарным подходом к миграции, а не подходом, продиктованным соображениями безопасности, в том числе п</w:t>
      </w:r>
      <w:r w:rsidRPr="0000750B">
        <w:rPr>
          <w:b/>
        </w:rPr>
        <w:t>у</w:t>
      </w:r>
      <w:r w:rsidRPr="0000750B">
        <w:rPr>
          <w:b/>
        </w:rPr>
        <w:t>тем предпочтения мер, альтернативных заключению под стражу</w:t>
      </w:r>
      <w:r w:rsidRPr="00456FC3">
        <w:rPr>
          <w:b/>
        </w:rPr>
        <w:t>.</w:t>
      </w:r>
    </w:p>
    <w:p w:rsidR="00CA752A" w:rsidRPr="0000750B" w:rsidRDefault="00CA752A" w:rsidP="00CA752A">
      <w:pPr>
        <w:pStyle w:val="SingleTxtGR"/>
      </w:pPr>
      <w:r w:rsidRPr="0000750B">
        <w:t>49.</w:t>
      </w:r>
      <w:r w:rsidRPr="0000750B">
        <w:tab/>
        <w:t>Комитет выражает обеспокоенность по поводу: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сообщений о содержании мигрантов под стражей без связи с вне</w:t>
      </w:r>
      <w:r w:rsidRPr="0000750B">
        <w:t>ш</w:t>
      </w:r>
      <w:r w:rsidRPr="0000750B">
        <w:t>ним миром, и что у них при этом изымают мобильные телефоны и не допуск</w:t>
      </w:r>
      <w:r w:rsidRPr="0000750B">
        <w:t>а</w:t>
      </w:r>
      <w:r w:rsidRPr="0000750B">
        <w:t>ют к ним адвокатов и родственников в нарушение статьи 68 (8) Закона об ин</w:t>
      </w:r>
      <w:r w:rsidRPr="0000750B">
        <w:t>о</w:t>
      </w:r>
      <w:r w:rsidRPr="0000750B">
        <w:t>странцах и международной защите, подвергают унижению, насилию, пыткам, содержат в одиночном заключении и не информируют о причинах и продолж</w:t>
      </w:r>
      <w:r w:rsidRPr="0000750B">
        <w:t>и</w:t>
      </w:r>
      <w:r w:rsidRPr="0000750B">
        <w:t>тельности их содержания под стражей, а также об их правах;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содержания мигрантов под стражей в местах, которые не являются центров содержания под стражей;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запрета на выход за пределы места содержания под стражей, в том числе для детей, недостаточного питания, недостаточного доступа к медици</w:t>
      </w:r>
      <w:r w:rsidRPr="0000750B">
        <w:t>н</w:t>
      </w:r>
      <w:r w:rsidRPr="0000750B">
        <w:t>скому обслуживанию, переполненности помещений, нехватки персонала и а</w:t>
      </w:r>
      <w:r w:rsidRPr="0000750B">
        <w:t>н</w:t>
      </w:r>
      <w:r w:rsidRPr="0000750B">
        <w:t>тисанитарных условий в некоторых депортационных центрах;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недостаточного уровня профессиональной подготовки и информ</w:t>
      </w:r>
      <w:r w:rsidRPr="0000750B">
        <w:t>и</w:t>
      </w:r>
      <w:r w:rsidRPr="0000750B">
        <w:t xml:space="preserve">рованности персонала </w:t>
      </w:r>
      <w:proofErr w:type="spellStart"/>
      <w:r w:rsidRPr="0000750B">
        <w:t>депортационных</w:t>
      </w:r>
      <w:proofErr w:type="spellEnd"/>
      <w:r w:rsidRPr="0000750B">
        <w:t xml:space="preserve"> центров в области международных пр</w:t>
      </w:r>
      <w:r w:rsidRPr="0000750B">
        <w:t>а</w:t>
      </w:r>
      <w:r w:rsidRPr="0000750B">
        <w:t xml:space="preserve">возащитных стандартов и принципов, касающихся прав и обращения с лицами, лишенными свободы, в том, что касается </w:t>
      </w:r>
      <w:r w:rsidR="00042C19">
        <w:t>условия содержания под стражей,</w:t>
      </w:r>
      <w:r w:rsidR="00042C19">
        <w:br/>
      </w:r>
      <w:r w:rsidR="007617BD">
        <w:t>а также гарантий.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50.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эффективно расследовать все случаи насилия и других нар</w:t>
      </w:r>
      <w:r w:rsidRPr="0000750B">
        <w:rPr>
          <w:b/>
        </w:rPr>
        <w:t>у</w:t>
      </w:r>
      <w:r w:rsidRPr="0000750B">
        <w:rPr>
          <w:b/>
        </w:rPr>
        <w:t>шений прав человека задержанных мигрантов и обеспечивать на регуля</w:t>
      </w:r>
      <w:r w:rsidRPr="0000750B">
        <w:rPr>
          <w:b/>
        </w:rPr>
        <w:t>р</w:t>
      </w:r>
      <w:r w:rsidRPr="0000750B">
        <w:rPr>
          <w:b/>
        </w:rPr>
        <w:t>ной основе обязательную подготовку по правам человека для всех сотру</w:t>
      </w:r>
      <w:r w:rsidRPr="0000750B">
        <w:rPr>
          <w:b/>
        </w:rPr>
        <w:t>д</w:t>
      </w:r>
      <w:r w:rsidRPr="0000750B">
        <w:rPr>
          <w:b/>
        </w:rPr>
        <w:t>ников правоприменительных органов с целью предупреждения таких нарушений;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обеспечить, чтобы все мигранты и члены их семей, которые подвергаются аресту, информировались о причинах их ареста в момент з</w:t>
      </w:r>
      <w:r w:rsidRPr="0000750B">
        <w:rPr>
          <w:b/>
        </w:rPr>
        <w:t>а</w:t>
      </w:r>
      <w:r w:rsidRPr="0000750B">
        <w:rPr>
          <w:b/>
        </w:rPr>
        <w:t>держания и оперативно получали информацию об их правах и предъя</w:t>
      </w:r>
      <w:r w:rsidRPr="0000750B">
        <w:rPr>
          <w:b/>
        </w:rPr>
        <w:t>в</w:t>
      </w:r>
      <w:r w:rsidRPr="0000750B">
        <w:rPr>
          <w:b/>
        </w:rPr>
        <w:t>ленных им обвинениях на языке, который они понимают;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обеспечить, чтобы мигранты содержались под стражей только в специально предназначенных для этого официальных местах;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обеспечить, чтобы во всех местах содержания под стражей предоставлялись надлежащие базовые услуги, включая питание, медици</w:t>
      </w:r>
      <w:r w:rsidRPr="0000750B">
        <w:rPr>
          <w:b/>
        </w:rPr>
        <w:t>н</w:t>
      </w:r>
      <w:r w:rsidRPr="0000750B">
        <w:rPr>
          <w:b/>
        </w:rPr>
        <w:t>ские услуги, санитарно-гигиенические условия и возможность прогулок на открытом воздухе.</w:t>
      </w:r>
    </w:p>
    <w:p w:rsidR="00CA752A" w:rsidRPr="0000750B" w:rsidRDefault="00CA752A" w:rsidP="00CA752A">
      <w:pPr>
        <w:pStyle w:val="SingleTxtGR"/>
      </w:pPr>
      <w:r w:rsidRPr="0000750B">
        <w:t>51.</w:t>
      </w:r>
      <w:r w:rsidRPr="0000750B">
        <w:tab/>
        <w:t>Комитет отмечает, что законодательство государства-участника, включая статью 57 (7) Закона об иностранцах и международной защите, предусматрив</w:t>
      </w:r>
      <w:r w:rsidRPr="0000750B">
        <w:t>а</w:t>
      </w:r>
      <w:r w:rsidRPr="0000750B">
        <w:t>ет бесплатную юридическую помощь и право на обжалование в суде постано</w:t>
      </w:r>
      <w:r w:rsidRPr="0000750B">
        <w:t>в</w:t>
      </w:r>
      <w:r w:rsidRPr="0000750B">
        <w:t xml:space="preserve">ления о заключении под стражу. </w:t>
      </w:r>
      <w:proofErr w:type="gramStart"/>
      <w:r w:rsidRPr="0000750B">
        <w:t>Вместе с тем Комитет обеспокоен отсутствием информации о практическом осуществлении этих положений и о конкретных мерах, позволяющих обеспечить трудящимся-мигрантам и членам их семей, в особенности с неурегулированным статусом, в ходе уголовного и администр</w:t>
      </w:r>
      <w:r w:rsidRPr="0000750B">
        <w:t>а</w:t>
      </w:r>
      <w:r w:rsidRPr="0000750B">
        <w:t>тивного разбирательства, в том числе в случаях задержания и высылки, такие же надлежащие процессуальные гарантии, как и те, которыми пользуются граждане государства-участника, а также доступ к информации на</w:t>
      </w:r>
      <w:proofErr w:type="gramEnd"/>
      <w:r w:rsidRPr="0000750B">
        <w:t xml:space="preserve"> </w:t>
      </w:r>
      <w:proofErr w:type="gramStart"/>
      <w:r w:rsidRPr="0000750B">
        <w:t>языке</w:t>
      </w:r>
      <w:proofErr w:type="gramEnd"/>
      <w:r w:rsidRPr="0000750B">
        <w:t>, кот</w:t>
      </w:r>
      <w:r w:rsidRPr="0000750B">
        <w:t>о</w:t>
      </w:r>
      <w:r w:rsidR="007617BD">
        <w:t>рый они понимают.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52.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принять необходимые меры для обеспечения трудящимся-мигрантам и членам их семей, в особенности мигрантам с неурегулир</w:t>
      </w:r>
      <w:r w:rsidRPr="0000750B">
        <w:rPr>
          <w:b/>
        </w:rPr>
        <w:t>о</w:t>
      </w:r>
      <w:r w:rsidRPr="0000750B">
        <w:rPr>
          <w:b/>
        </w:rPr>
        <w:t>ванным статусом, такие же гарантии надлежащего отправления правос</w:t>
      </w:r>
      <w:r w:rsidRPr="0000750B">
        <w:rPr>
          <w:b/>
        </w:rPr>
        <w:t>у</w:t>
      </w:r>
      <w:r w:rsidRPr="0000750B">
        <w:rPr>
          <w:b/>
        </w:rPr>
        <w:t>дия в ходе уголовного и административного разбирательства, в том числе в случаях задержания и высылки, такие же надлежащие процессуальные г</w:t>
      </w:r>
      <w:r w:rsidRPr="0000750B">
        <w:rPr>
          <w:b/>
        </w:rPr>
        <w:t>а</w:t>
      </w:r>
      <w:r w:rsidRPr="0000750B">
        <w:rPr>
          <w:b/>
        </w:rPr>
        <w:t>рантии, как и те, которыми пользуются граждане государства-участника в судах и трибуналах;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b)</w:t>
      </w:r>
      <w:r w:rsidRPr="0000750B">
        <w:rPr>
          <w:b/>
        </w:rPr>
        <w:tab/>
        <w:t>включить в свой доклад о последующих мерах и во второй п</w:t>
      </w:r>
      <w:r w:rsidRPr="0000750B">
        <w:rPr>
          <w:b/>
        </w:rPr>
        <w:t>е</w:t>
      </w:r>
      <w:r w:rsidRPr="0000750B">
        <w:rPr>
          <w:b/>
        </w:rPr>
        <w:t>риодический доклад подробную дезагрегированную информацию о чи</w:t>
      </w:r>
      <w:r w:rsidRPr="0000750B">
        <w:rPr>
          <w:b/>
        </w:rPr>
        <w:t>с</w:t>
      </w:r>
      <w:r w:rsidRPr="0000750B">
        <w:rPr>
          <w:b/>
        </w:rPr>
        <w:t>ленности трудящихся-мигрантов, содержащихся под стражей за нарушения иммиграционного законодательства, и о месте, средней продолжительн</w:t>
      </w:r>
      <w:r w:rsidRPr="0000750B">
        <w:rPr>
          <w:b/>
        </w:rPr>
        <w:t>о</w:t>
      </w:r>
      <w:r w:rsidRPr="0000750B">
        <w:rPr>
          <w:b/>
        </w:rPr>
        <w:t>сти и условиях их содержания под стражей, а также информацию о собл</w:t>
      </w:r>
      <w:r w:rsidRPr="0000750B">
        <w:rPr>
          <w:b/>
        </w:rPr>
        <w:t>ю</w:t>
      </w:r>
      <w:r w:rsidRPr="0000750B">
        <w:rPr>
          <w:b/>
        </w:rPr>
        <w:t>дении прав трудящихся-мигрантов в отношении надлежащего судебного разбирате</w:t>
      </w:r>
      <w:r w:rsidR="00456FC3">
        <w:rPr>
          <w:b/>
        </w:rPr>
        <w:t>льства и равенства перед судом;</w:t>
      </w:r>
      <w:proofErr w:type="gramEnd"/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 соблюдение закрепленных в Конвенции минимал</w:t>
      </w:r>
      <w:r w:rsidRPr="0000750B">
        <w:rPr>
          <w:b/>
        </w:rPr>
        <w:t>ь</w:t>
      </w:r>
      <w:r w:rsidRPr="0000750B">
        <w:rPr>
          <w:b/>
        </w:rPr>
        <w:t>ных гарантий в отношении административных и судебных процедур пр</w:t>
      </w:r>
      <w:r w:rsidRPr="0000750B">
        <w:rPr>
          <w:b/>
        </w:rPr>
        <w:t>и</w:t>
      </w:r>
      <w:r w:rsidRPr="0000750B">
        <w:rPr>
          <w:b/>
        </w:rPr>
        <w:t>менительно к трудящимся-мигрантам и членам их семей</w:t>
      </w:r>
      <w:r w:rsidRPr="00456FC3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tab/>
      </w:r>
      <w:r w:rsidRPr="0000750B">
        <w:tab/>
      </w:r>
      <w:r w:rsidRPr="001D0FC4">
        <w:t>Высылка из страны</w:t>
      </w:r>
    </w:p>
    <w:p w:rsidR="00CA752A" w:rsidRPr="0000750B" w:rsidRDefault="00CA752A" w:rsidP="00CA752A">
      <w:pPr>
        <w:pStyle w:val="SingleTxtGR"/>
      </w:pPr>
      <w:r w:rsidRPr="0000750B">
        <w:t>53.</w:t>
      </w:r>
      <w:r w:rsidRPr="0000750B">
        <w:tab/>
        <w:t>Комитет выражает обеспокоенность в связи с тем, что:</w:t>
      </w:r>
    </w:p>
    <w:p w:rsidR="00CA752A" w:rsidRPr="0000750B" w:rsidRDefault="00042C19" w:rsidP="00CA752A">
      <w:pPr>
        <w:pStyle w:val="SingleTxtGR"/>
      </w:pPr>
      <w:r>
        <w:tab/>
        <w:t>a)</w:t>
      </w:r>
      <w:r>
        <w:tab/>
        <w:t>с середины января 2016 года</w:t>
      </w:r>
      <w:r w:rsidR="00CA752A" w:rsidRPr="0000750B">
        <w:t xml:space="preserve"> власти государства-участника, по имеющимся сообщениям, депортировали несколько тысяч сирийских граждан, большинство из которых не имеют соответствующих документов, в том числе семьи и несопровождаемых детей;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как сообщается, также были депортированы незарегистрированные афганские и иракские мигранты;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органы власти государства-участника могут использовать разли</w:t>
      </w:r>
      <w:r w:rsidRPr="0000750B">
        <w:t>ч</w:t>
      </w:r>
      <w:r w:rsidRPr="0000750B">
        <w:t xml:space="preserve">ные степени принуждения, чтобы оказать давление на незарегистрированных мигрантов, включая детей, с целью их </w:t>
      </w:r>
      <w:r w:rsidR="0000750B" w:rsidRPr="0000750B">
        <w:t>«</w:t>
      </w:r>
      <w:r w:rsidRPr="0000750B">
        <w:t>добровольного</w:t>
      </w:r>
      <w:r w:rsidR="0000750B" w:rsidRPr="0000750B">
        <w:t>»</w:t>
      </w:r>
      <w:r w:rsidRPr="0000750B">
        <w:t xml:space="preserve"> возвращения;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государство-участник не представило достаточной информации и данных о высылке;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количество случаев коллективной высылки может увеличиться в результате соглашения между Европейским союзом и государством-участником, подписанным 18 марта 2016 года, осуществление которого началось 4 апреля 2016 года.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54.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расследовать все предполагаемые случаи коллективной в</w:t>
      </w:r>
      <w:r w:rsidRPr="0000750B">
        <w:rPr>
          <w:b/>
        </w:rPr>
        <w:t>ы</w:t>
      </w:r>
      <w:r w:rsidRPr="0000750B">
        <w:rPr>
          <w:b/>
        </w:rPr>
        <w:t>сылки мигрантов из Сирии, Афганистана и Ирака, привлечь к ответстве</w:t>
      </w:r>
      <w:r w:rsidRPr="0000750B">
        <w:rPr>
          <w:b/>
        </w:rPr>
        <w:t>н</w:t>
      </w:r>
      <w:r w:rsidRPr="0000750B">
        <w:rPr>
          <w:b/>
        </w:rPr>
        <w:t>ности виновных и принять эффективные меры для предоставления ко</w:t>
      </w:r>
      <w:r w:rsidRPr="0000750B">
        <w:rPr>
          <w:b/>
        </w:rPr>
        <w:t>м</w:t>
      </w:r>
      <w:r w:rsidRPr="0000750B">
        <w:rPr>
          <w:b/>
        </w:rPr>
        <w:t>пенсации жертвам и для предотвращения таких высылок в будущем;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принять необходимые меры для обеспечения того, чтобы адм</w:t>
      </w:r>
      <w:r w:rsidRPr="0000750B">
        <w:rPr>
          <w:b/>
        </w:rPr>
        <w:t>и</w:t>
      </w:r>
      <w:r w:rsidRPr="0000750B">
        <w:rPr>
          <w:b/>
        </w:rPr>
        <w:t>нистративные и судебные процедуры депортации и/или высылки в полной мере регулировались законом и соответствовали Конвенции;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обеспечить, чтобы трудящиеся-мигранты, подлежащие депо</w:t>
      </w:r>
      <w:r w:rsidRPr="0000750B">
        <w:rPr>
          <w:b/>
        </w:rPr>
        <w:t>р</w:t>
      </w:r>
      <w:r w:rsidRPr="0000750B">
        <w:rPr>
          <w:b/>
        </w:rPr>
        <w:t>тации или высылке в административном порядке, знали о своем праве на обжалование соответствующего решения и могли сделать это;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разработать механизмы предотвращения выдворения транзи</w:t>
      </w:r>
      <w:r w:rsidRPr="0000750B">
        <w:rPr>
          <w:b/>
        </w:rPr>
        <w:t>т</w:t>
      </w:r>
      <w:r w:rsidRPr="0000750B">
        <w:rPr>
          <w:b/>
        </w:rPr>
        <w:t>ных мигрантов до тех пор, пока не будет завершена оценка индивидуальн</w:t>
      </w:r>
      <w:r w:rsidRPr="0000750B">
        <w:rPr>
          <w:b/>
        </w:rPr>
        <w:t>о</w:t>
      </w:r>
      <w:r w:rsidRPr="0000750B">
        <w:rPr>
          <w:b/>
        </w:rPr>
        <w:t>го положения каждого мигранта, с тем чтобы, среди прочего, обеспечить соблюдение принципов невыдворения и запрета коллективной высылки;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представить в своем докладе о последующих мерах и во втором периодическом докладе информацию, включая дезагрегированные стат</w:t>
      </w:r>
      <w:r w:rsidRPr="0000750B">
        <w:rPr>
          <w:b/>
        </w:rPr>
        <w:t>и</w:t>
      </w:r>
      <w:r w:rsidRPr="0000750B">
        <w:rPr>
          <w:b/>
        </w:rPr>
        <w:t>стические данные, о числе случаев высылки, причинах и примененных процедурах;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f)</w:t>
      </w:r>
      <w:r w:rsidRPr="0000750B">
        <w:rPr>
          <w:b/>
        </w:rPr>
        <w:tab/>
        <w:t>обеспечить, чтобы все необходимые процессуальные гарантии строго соблюдались во всех индивидуа</w:t>
      </w:r>
      <w:r w:rsidR="00042C19">
        <w:rPr>
          <w:b/>
        </w:rPr>
        <w:t>льных судебных делах о высылке,</w:t>
      </w:r>
      <w:r w:rsidR="00042C19">
        <w:rPr>
          <w:b/>
        </w:rPr>
        <w:br/>
      </w:r>
      <w:r w:rsidRPr="0000750B">
        <w:rPr>
          <w:b/>
        </w:rPr>
        <w:t xml:space="preserve">с </w:t>
      </w:r>
      <w:proofErr w:type="gramStart"/>
      <w:r w:rsidRPr="0000750B">
        <w:rPr>
          <w:b/>
        </w:rPr>
        <w:t>тем</w:t>
      </w:r>
      <w:proofErr w:type="gramEnd"/>
      <w:r w:rsidRPr="0000750B">
        <w:rPr>
          <w:b/>
        </w:rPr>
        <w:t xml:space="preserve"> чтобы не допустить произвольной высылки, в том числе в контексте соглашения между Европейским союзом и государством-участником, по</w:t>
      </w:r>
      <w:r w:rsidRPr="0000750B">
        <w:rPr>
          <w:b/>
        </w:rPr>
        <w:t>д</w:t>
      </w:r>
      <w:r w:rsidRPr="0000750B">
        <w:rPr>
          <w:b/>
        </w:rPr>
        <w:t>писан</w:t>
      </w:r>
      <w:r w:rsidR="003C0EA2">
        <w:rPr>
          <w:b/>
        </w:rPr>
        <w:t>н</w:t>
      </w:r>
      <w:r w:rsidRPr="0000750B">
        <w:rPr>
          <w:b/>
        </w:rPr>
        <w:t>ого 18 марта 2016 года.</w:t>
      </w:r>
    </w:p>
    <w:p w:rsidR="00CA752A" w:rsidRPr="0000750B" w:rsidRDefault="00CA752A" w:rsidP="001D0FC4">
      <w:pPr>
        <w:pStyle w:val="H23GR"/>
      </w:pPr>
      <w:r w:rsidRPr="0000750B">
        <w:tab/>
      </w:r>
      <w:r w:rsidRPr="0000750B">
        <w:tab/>
        <w:t>Консульская помощь</w:t>
      </w:r>
    </w:p>
    <w:p w:rsidR="00CA752A" w:rsidRPr="0000750B" w:rsidRDefault="00CA752A" w:rsidP="00CA752A">
      <w:pPr>
        <w:pStyle w:val="SingleTxtGR"/>
      </w:pPr>
      <w:r w:rsidRPr="0000750B">
        <w:t>55.</w:t>
      </w:r>
      <w:r w:rsidRPr="0000750B">
        <w:tab/>
        <w:t>Комитет приветствует информацию государства-участника о том, что большинство консульских учреждений, действующих в районах компактного проживания турецки</w:t>
      </w:r>
      <w:r w:rsidR="00042C19">
        <w:t>х трудящихся-мигрантов, оказывае</w:t>
      </w:r>
      <w:r w:rsidRPr="0000750B">
        <w:t xml:space="preserve">т им непосредственную правовую помощь, в том числе во время содержания под стражей и </w:t>
      </w:r>
      <w:r w:rsidR="00042C19">
        <w:t xml:space="preserve">процедуры высылки. Тем не </w:t>
      </w:r>
      <w:proofErr w:type="gramStart"/>
      <w:r w:rsidR="00042C19">
        <w:t>менее</w:t>
      </w:r>
      <w:proofErr w:type="gramEnd"/>
      <w:r w:rsidRPr="0000750B">
        <w:t xml:space="preserve"> Комитет выражает обеспокоенность по поводу отсу</w:t>
      </w:r>
      <w:r w:rsidRPr="0000750B">
        <w:t>т</w:t>
      </w:r>
      <w:r w:rsidRPr="0000750B">
        <w:t>ствия статистических данных и примеров правовой помощи.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56.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обеспечить, чтобы все трудящиеся-мигранты и члены их семей имели доступ к консульской помощи для защиты прав, изложенных в Ко</w:t>
      </w:r>
      <w:r w:rsidRPr="0000750B">
        <w:rPr>
          <w:b/>
        </w:rPr>
        <w:t>н</w:t>
      </w:r>
      <w:r w:rsidRPr="0000750B">
        <w:rPr>
          <w:b/>
        </w:rPr>
        <w:t>венции;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обеспечить, чтобы сотрудники посольств и консульств за гр</w:t>
      </w:r>
      <w:r w:rsidRPr="0000750B">
        <w:rPr>
          <w:b/>
        </w:rPr>
        <w:t>а</w:t>
      </w:r>
      <w:r w:rsidRPr="0000750B">
        <w:rPr>
          <w:b/>
        </w:rPr>
        <w:t>ницей были надлежащим образом осведомлены о законах и процедурах стран, в которых работают по найму турецкие трудящиеся-мигранты;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представить в своем втором периодическом докладе статист</w:t>
      </w:r>
      <w:r w:rsidRPr="0000750B">
        <w:rPr>
          <w:b/>
        </w:rPr>
        <w:t>и</w:t>
      </w:r>
      <w:r w:rsidRPr="0000750B">
        <w:rPr>
          <w:b/>
        </w:rPr>
        <w:t>ческие данные и примеры правовой помощи, предоставляемой турецким трудящимся-мигрантам, проживающим за границей, и членам их семей.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Вознаграждение, условия труда и свобода передвижения</w:t>
      </w:r>
    </w:p>
    <w:p w:rsidR="00CA752A" w:rsidRPr="0000750B" w:rsidRDefault="00CA752A" w:rsidP="00CA752A">
      <w:pPr>
        <w:pStyle w:val="SingleTxtGR"/>
      </w:pPr>
      <w:r w:rsidRPr="0000750B">
        <w:t>57.</w:t>
      </w:r>
      <w:r w:rsidRPr="0000750B">
        <w:tab/>
        <w:t>Приветствуя недавнее постановление, дающее возможность трудоустро</w:t>
      </w:r>
      <w:r w:rsidRPr="0000750B">
        <w:t>й</w:t>
      </w:r>
      <w:r w:rsidRPr="0000750B">
        <w:t>ства сирийцам, находящимся под временной защитой, Комитет выражает оз</w:t>
      </w:r>
      <w:r w:rsidRPr="0000750B">
        <w:t>а</w:t>
      </w:r>
      <w:r w:rsidRPr="0000750B">
        <w:t>боченность в связи с тем, что ограничения, налагаемые Законом об иностра</w:t>
      </w:r>
      <w:r w:rsidRPr="0000750B">
        <w:t>н</w:t>
      </w:r>
      <w:r w:rsidRPr="0000750B">
        <w:t>цах и международной защите на трудящихся-мигрантов и членов их семей в о</w:t>
      </w:r>
      <w:r w:rsidRPr="0000750B">
        <w:t>т</w:t>
      </w:r>
      <w:r w:rsidRPr="0000750B">
        <w:t>ношении проживания в конкретных провинциях, существенно и неоправданно ограничивают не только свободу передвижения трудящихся-мигрантов, но и их возможности в области занятости. Комитет также обеспокоен эксплуатацией трудящихся-мигрантов на рабочем месте, а именно: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трудящиеся-мигранты, не имеющие постоянного статуса, получают низкую заработную плату, размер которой сильно варьирует, в значительной степени зависит от воспринимаемой иерархии разных национальностей труд</w:t>
      </w:r>
      <w:r w:rsidRPr="0000750B">
        <w:t>я</w:t>
      </w:r>
      <w:r w:rsidR="00042C19">
        <w:t>щихся-мигрантов</w:t>
      </w:r>
      <w:r w:rsidRPr="0000750B">
        <w:t xml:space="preserve"> и выплачивается нерегулярно, а то и вовсе не выплачивается;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от незарегистрированных трудящихся-мигрантов ожидается, что они будут работать дольше, чем другие работники или дольше, чем устано</w:t>
      </w:r>
      <w:r w:rsidRPr="0000750B">
        <w:t>в</w:t>
      </w:r>
      <w:r w:rsidRPr="0000750B">
        <w:t>ленная законом продолжительность рабочего времени, при этом они могут быть незаконно уволены;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трудящиеся-мигранты часто работают на сельск</w:t>
      </w:r>
      <w:r w:rsidR="00042C19">
        <w:t xml:space="preserve">охозяйственных предприятиях, 98% </w:t>
      </w:r>
      <w:r w:rsidRPr="0000750B">
        <w:t>которых не охватываются контролем трудовых инспекций и положениями о санкциях Трудового кодекса (Закон № 4857);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большинство незарегистрированных трудящихся-мигрантов в сел</w:t>
      </w:r>
      <w:r w:rsidRPr="0000750B">
        <w:t>ь</w:t>
      </w:r>
      <w:r w:rsidRPr="0000750B">
        <w:t>скохозяйственном секторе получают заработную плату ниже уровня минимал</w:t>
      </w:r>
      <w:r w:rsidRPr="0000750B">
        <w:t>ь</w:t>
      </w:r>
      <w:r w:rsidRPr="0000750B">
        <w:t>ного размера оплаты труда, им не оплачивают сверхурочные, при этом зарплату выплачивают посредники, произвольно удерживающие комиссионные.</w:t>
      </w:r>
    </w:p>
    <w:p w:rsidR="00CA752A" w:rsidRPr="0000750B" w:rsidRDefault="00CA752A" w:rsidP="00042C19">
      <w:pPr>
        <w:pStyle w:val="SingleTxtGR"/>
        <w:keepNext/>
        <w:rPr>
          <w:b/>
        </w:rPr>
      </w:pPr>
      <w:r w:rsidRPr="0000750B">
        <w:t>58.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042C19">
      <w:pPr>
        <w:pStyle w:val="SingleTxtGR"/>
        <w:keepNext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гарантировать де-юре и де-факто право всех трудящихся-мигрантов и членов их семей на сво</w:t>
      </w:r>
      <w:r w:rsidR="00042C19">
        <w:rPr>
          <w:b/>
        </w:rPr>
        <w:t>боду передвижения по территории</w:t>
      </w:r>
      <w:r w:rsidR="00042C19">
        <w:rPr>
          <w:b/>
        </w:rPr>
        <w:br/>
      </w:r>
      <w:r w:rsidRPr="0000750B">
        <w:rPr>
          <w:b/>
        </w:rPr>
        <w:t>гос</w:t>
      </w:r>
      <w:r w:rsidRPr="0000750B">
        <w:rPr>
          <w:b/>
        </w:rPr>
        <w:t>у</w:t>
      </w:r>
      <w:r w:rsidRPr="0000750B">
        <w:rPr>
          <w:b/>
        </w:rPr>
        <w:t>дарства-участника и свободу выбора места жительства;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b)</w:t>
      </w:r>
      <w:r w:rsidRPr="0000750B">
        <w:rPr>
          <w:b/>
        </w:rPr>
        <w:tab/>
        <w:t>гарантировать де-юре и де-факто трудовые права всех труд</w:t>
      </w:r>
      <w:r w:rsidRPr="0000750B">
        <w:rPr>
          <w:b/>
        </w:rPr>
        <w:t>я</w:t>
      </w:r>
      <w:r w:rsidRPr="0000750B">
        <w:rPr>
          <w:b/>
        </w:rPr>
        <w:t>щихся-мигрантов на своей территории, в том числе путем проведения р</w:t>
      </w:r>
      <w:r w:rsidRPr="0000750B">
        <w:rPr>
          <w:b/>
        </w:rPr>
        <w:t>е</w:t>
      </w:r>
      <w:r w:rsidRPr="0000750B">
        <w:rPr>
          <w:b/>
        </w:rPr>
        <w:t>гулярных и внезапных инспекций труда в секторах, в которых заняты тр</w:t>
      </w:r>
      <w:r w:rsidRPr="0000750B">
        <w:rPr>
          <w:b/>
        </w:rPr>
        <w:t>у</w:t>
      </w:r>
      <w:r w:rsidRPr="0000750B">
        <w:rPr>
          <w:b/>
        </w:rPr>
        <w:t>дящиеся-мигранты, в особенности в секторе сельскохозяйственного прои</w:t>
      </w:r>
      <w:r w:rsidRPr="0000750B">
        <w:rPr>
          <w:b/>
        </w:rPr>
        <w:t>з</w:t>
      </w:r>
      <w:r w:rsidRPr="0000750B">
        <w:rPr>
          <w:b/>
        </w:rPr>
        <w:t>водства, строительства и текстильной промышленности, в бытовом сект</w:t>
      </w:r>
      <w:r w:rsidRPr="0000750B">
        <w:rPr>
          <w:b/>
        </w:rPr>
        <w:t>о</w:t>
      </w:r>
      <w:r w:rsidRPr="0000750B">
        <w:rPr>
          <w:b/>
        </w:rPr>
        <w:t>ре, секторе уличной торговли и в секс-индустрии, без каких-либо исключ</w:t>
      </w:r>
      <w:r w:rsidRPr="0000750B">
        <w:rPr>
          <w:b/>
        </w:rPr>
        <w:t>е</w:t>
      </w:r>
      <w:r w:rsidR="00042C19">
        <w:rPr>
          <w:b/>
        </w:rPr>
        <w:t xml:space="preserve">ний </w:t>
      </w:r>
      <w:r w:rsidRPr="0000750B">
        <w:rPr>
          <w:b/>
        </w:rPr>
        <w:t>в соответствии с целью 8.8 в области устойчивого развития;</w:t>
      </w:r>
      <w:proofErr w:type="gramEnd"/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обеспечить, чтобы инспекции труда обращали основное вним</w:t>
      </w:r>
      <w:r w:rsidRPr="0000750B">
        <w:rPr>
          <w:b/>
        </w:rPr>
        <w:t>а</w:t>
      </w:r>
      <w:r w:rsidRPr="0000750B">
        <w:rPr>
          <w:b/>
        </w:rPr>
        <w:t>ние на усло</w:t>
      </w:r>
      <w:r w:rsidR="00042C19">
        <w:rPr>
          <w:b/>
        </w:rPr>
        <w:t>вия работы трудящихся-мигрантов</w:t>
      </w:r>
      <w:r w:rsidRPr="0000750B">
        <w:rPr>
          <w:b/>
        </w:rPr>
        <w:t xml:space="preserve"> и чтобы в ходе таких и</w:t>
      </w:r>
      <w:r w:rsidRPr="0000750B">
        <w:rPr>
          <w:b/>
        </w:rPr>
        <w:t>н</w:t>
      </w:r>
      <w:r w:rsidRPr="0000750B">
        <w:rPr>
          <w:b/>
        </w:rPr>
        <w:t>спекций проводились конфиденциальные беседы с самими трудящимися-мигрантами;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Комитет также рекомендует государству-участнику гарантир</w:t>
      </w:r>
      <w:r w:rsidRPr="0000750B">
        <w:rPr>
          <w:b/>
        </w:rPr>
        <w:t>о</w:t>
      </w:r>
      <w:r w:rsidRPr="0000750B">
        <w:rPr>
          <w:b/>
        </w:rPr>
        <w:t>вать, чтобы инспекции труда работал</w:t>
      </w:r>
      <w:r w:rsidR="00042C19">
        <w:rPr>
          <w:b/>
        </w:rPr>
        <w:t>и независимо от других органов,</w:t>
      </w:r>
      <w:r w:rsidR="00042C19">
        <w:rPr>
          <w:b/>
        </w:rPr>
        <w:br/>
      </w:r>
      <w:r w:rsidRPr="0000750B">
        <w:rPr>
          <w:b/>
        </w:rPr>
        <w:t>в частности от иммиграционных служб, поощряя трудящихся-мигрантов сообщать о случаях жестокого обращения и эксплуатации в органы, зан</w:t>
      </w:r>
      <w:r w:rsidRPr="0000750B">
        <w:rPr>
          <w:b/>
        </w:rPr>
        <w:t>и</w:t>
      </w:r>
      <w:r w:rsidRPr="0000750B">
        <w:rPr>
          <w:b/>
        </w:rPr>
        <w:t>мающиеся трудовыми вопросами, не опасаясь каких-либо действий со ст</w:t>
      </w:r>
      <w:r w:rsidRPr="0000750B">
        <w:rPr>
          <w:b/>
        </w:rPr>
        <w:t>о</w:t>
      </w:r>
      <w:r w:rsidRPr="0000750B">
        <w:rPr>
          <w:b/>
        </w:rPr>
        <w:t>роны иммиграционных служб;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представить в своем втором периодическом докладе информ</w:t>
      </w:r>
      <w:r w:rsidRPr="0000750B">
        <w:rPr>
          <w:b/>
        </w:rPr>
        <w:t>а</w:t>
      </w:r>
      <w:r w:rsidRPr="0000750B">
        <w:rPr>
          <w:b/>
        </w:rPr>
        <w:t>цию о трудовой эксплуатации трудящихся-мигрантов, включая мигрантов, не имеющих постоянного статуса, особенно мигрантов, работающих в сел</w:t>
      </w:r>
      <w:r w:rsidRPr="0000750B">
        <w:rPr>
          <w:b/>
        </w:rPr>
        <w:t>ь</w:t>
      </w:r>
      <w:r w:rsidRPr="0000750B">
        <w:rPr>
          <w:b/>
        </w:rPr>
        <w:t xml:space="preserve">ском хозяйстве, строительстве и текстильной промышленности, в секторе домашней прислуги, уличной торговли и </w:t>
      </w:r>
      <w:proofErr w:type="gramStart"/>
      <w:r w:rsidRPr="0000750B">
        <w:rPr>
          <w:b/>
        </w:rPr>
        <w:t>секс-индустрии</w:t>
      </w:r>
      <w:proofErr w:type="gramEnd"/>
      <w:r w:rsidRPr="00456FC3">
        <w:rPr>
          <w:b/>
        </w:rPr>
        <w:t>.</w:t>
      </w:r>
    </w:p>
    <w:p w:rsidR="00CA752A" w:rsidRPr="0000750B" w:rsidRDefault="00CA752A" w:rsidP="00CA752A">
      <w:pPr>
        <w:pStyle w:val="SingleTxtGR"/>
      </w:pPr>
      <w:r w:rsidRPr="0000750B">
        <w:t>59.</w:t>
      </w:r>
      <w:r w:rsidRPr="0000750B">
        <w:tab/>
        <w:t>Комитет обеспокоен тем, что трудящиеся-мигранты, работающие в кач</w:t>
      </w:r>
      <w:r w:rsidRPr="0000750B">
        <w:t>е</w:t>
      </w:r>
      <w:r w:rsidRPr="0000750B">
        <w:t>стве домашней прислуги в государстве-участнике, подвергаются неправоме</w:t>
      </w:r>
      <w:r w:rsidRPr="0000750B">
        <w:t>р</w:t>
      </w:r>
      <w:r w:rsidR="000B2256">
        <w:t>ному обращению и эксплуатации –</w:t>
      </w:r>
      <w:r w:rsidRPr="0000750B">
        <w:t xml:space="preserve"> от сверхурочной работы без надлежащей компенсации, конфискации паспортов работодателями и угроз депортации до словесных оскорблений и развратных действий, включая изнасилования.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60.</w:t>
      </w:r>
      <w:r w:rsidRPr="0000750B">
        <w:tab/>
      </w:r>
      <w:r w:rsidRPr="0000750B">
        <w:rPr>
          <w:b/>
        </w:rPr>
        <w:t>В свете своего замечания общего порядка № 1 (2011 год) о трудящи</w:t>
      </w:r>
      <w:r w:rsidRPr="0000750B">
        <w:rPr>
          <w:b/>
        </w:rPr>
        <w:t>х</w:t>
      </w:r>
      <w:r w:rsidRPr="0000750B">
        <w:rPr>
          <w:b/>
        </w:rPr>
        <w:t>ся-мигрантах, работающих в качестве домашней прислуги, Комитет рек</w:t>
      </w:r>
      <w:r w:rsidRPr="0000750B">
        <w:rPr>
          <w:b/>
        </w:rPr>
        <w:t>о</w:t>
      </w:r>
      <w:r w:rsidRPr="0000750B">
        <w:rPr>
          <w:b/>
        </w:rPr>
        <w:t>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обеспечить, чтобы работа домашней прислуги регулировалась в соответствии с</w:t>
      </w:r>
      <w:r w:rsidR="00042C19">
        <w:rPr>
          <w:b/>
        </w:rPr>
        <w:t xml:space="preserve"> национальным законодательством</w:t>
      </w:r>
      <w:r w:rsidRPr="0000750B">
        <w:rPr>
          <w:b/>
        </w:rPr>
        <w:t xml:space="preserve"> и чтобы трудящиеся-мигранты, работающие в качестве домашней прислуги, пользовались т</w:t>
      </w:r>
      <w:r w:rsidRPr="0000750B">
        <w:rPr>
          <w:b/>
        </w:rPr>
        <w:t>а</w:t>
      </w:r>
      <w:r w:rsidRPr="0000750B">
        <w:rPr>
          <w:b/>
        </w:rPr>
        <w:t>кой же защитой, как и местные трудящиеся, в том, что касается мин</w:t>
      </w:r>
      <w:r w:rsidRPr="0000750B">
        <w:rPr>
          <w:b/>
        </w:rPr>
        <w:t>и</w:t>
      </w:r>
      <w:r w:rsidRPr="0000750B">
        <w:rPr>
          <w:b/>
        </w:rPr>
        <w:t>мальной заработной платы, продолжительности рабочего дня, отпуска, свободы объединений и других условий труда;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обеспечить защиту права домашних работников-мигрантов на свободу передвижения и местожительства и на сохранение у себя их пр</w:t>
      </w:r>
      <w:r w:rsidRPr="0000750B">
        <w:rPr>
          <w:b/>
        </w:rPr>
        <w:t>о</w:t>
      </w:r>
      <w:r w:rsidRPr="0000750B">
        <w:rPr>
          <w:b/>
        </w:rPr>
        <w:t>ездных документов и удостоверений личности;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обеспечить наличие у трудящихся-мигрантов, работающих в качестве домашней прислуги, четко оговоренных условий работы по найму в письменной форме и на понятном им языке с указанием их конкретных обязанностей, часов работы, вознаграждения, дней отдыха и других усл</w:t>
      </w:r>
      <w:r w:rsidRPr="0000750B">
        <w:rPr>
          <w:b/>
        </w:rPr>
        <w:t>о</w:t>
      </w:r>
      <w:r w:rsidRPr="0000750B">
        <w:rPr>
          <w:b/>
        </w:rPr>
        <w:t>вий работы в рамках договоров, основанных на принципе свободы, спр</w:t>
      </w:r>
      <w:r w:rsidRPr="0000750B">
        <w:rPr>
          <w:b/>
        </w:rPr>
        <w:t>а</w:t>
      </w:r>
      <w:r w:rsidRPr="0000750B">
        <w:rPr>
          <w:b/>
        </w:rPr>
        <w:t>ведливости и полного согласия;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обеспечить мигрантам, работающим в качестве домашней пр</w:t>
      </w:r>
      <w:r w:rsidRPr="0000750B">
        <w:rPr>
          <w:b/>
        </w:rPr>
        <w:t>и</w:t>
      </w:r>
      <w:r w:rsidRPr="0000750B">
        <w:rPr>
          <w:b/>
        </w:rPr>
        <w:t xml:space="preserve">слуги, доступ к правосудию и укрепить службы трудовой инспекции для эффективного </w:t>
      </w:r>
      <w:proofErr w:type="gramStart"/>
      <w:r w:rsidRPr="0000750B">
        <w:rPr>
          <w:b/>
        </w:rPr>
        <w:t>контроля за</w:t>
      </w:r>
      <w:proofErr w:type="gramEnd"/>
      <w:r w:rsidRPr="0000750B">
        <w:rPr>
          <w:b/>
        </w:rPr>
        <w:t xml:space="preserve"> условиями труда домашней прислуги, а также для приема, расследования и рассмотрения жалоб на предполагаемые нарушения в этой связи</w:t>
      </w:r>
      <w:r w:rsidRPr="00456FC3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1D0FC4">
        <w:t>Профсоюзы</w:t>
      </w:r>
    </w:p>
    <w:p w:rsidR="00CA752A" w:rsidRPr="0000750B" w:rsidRDefault="00CA752A" w:rsidP="00CA752A">
      <w:pPr>
        <w:pStyle w:val="SingleTxtGR"/>
      </w:pPr>
      <w:r w:rsidRPr="0000750B">
        <w:t>61.</w:t>
      </w:r>
      <w:r w:rsidRPr="0000750B">
        <w:tab/>
        <w:t>Комитет обеспокоен представленной государством-участником информ</w:t>
      </w:r>
      <w:r w:rsidRPr="0000750B">
        <w:t>а</w:t>
      </w:r>
      <w:r w:rsidRPr="0000750B">
        <w:t>цией о том, что незарегистрированные трудящиеся-мигранты не им</w:t>
      </w:r>
      <w:r w:rsidR="007617BD">
        <w:t>еют права вступать в профсоюзы.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62.</w:t>
      </w:r>
      <w:r w:rsidRPr="0000750B">
        <w:tab/>
      </w:r>
      <w:r w:rsidRPr="0000750B">
        <w:rPr>
          <w:b/>
        </w:rPr>
        <w:t>Комитет рекомендует государству-участнику принять все необход</w:t>
      </w:r>
      <w:r w:rsidRPr="0000750B">
        <w:rPr>
          <w:b/>
        </w:rPr>
        <w:t>и</w:t>
      </w:r>
      <w:r w:rsidRPr="0000750B">
        <w:rPr>
          <w:b/>
        </w:rPr>
        <w:t>мые меры, в том числе поправки к законодательству, для обеспечения всем трудящимся-мигрантам, включая мигрантов, не имеющих постоянного статуса, гарантий их права участвовать в профсоюзной деятельности и свободно вступать в профсоюзы в соответствии со статьей 26 Конвенции</w:t>
      </w:r>
      <w:r w:rsidRPr="00456FC3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1D0FC4">
        <w:t>Медицинское обслуживание</w:t>
      </w:r>
    </w:p>
    <w:p w:rsidR="00CA752A" w:rsidRPr="0000750B" w:rsidRDefault="00CA752A" w:rsidP="00CA752A">
      <w:pPr>
        <w:pStyle w:val="SingleTxtGR"/>
      </w:pPr>
      <w:r w:rsidRPr="0000750B">
        <w:t>63.</w:t>
      </w:r>
      <w:r w:rsidRPr="0000750B">
        <w:tab/>
        <w:t>Комитет приветствует содержащуюся в докладе государства-участника информацию о том, что нелегальные мигранты имеют право на доступ к бе</w:t>
      </w:r>
      <w:r w:rsidRPr="0000750B">
        <w:t>с</w:t>
      </w:r>
      <w:r w:rsidRPr="0000750B">
        <w:t>платной медицинской помощи в экстренных случаях, если они не располагают достаточными финансовыми ресурсами. В то же время Комитет обеспокоен тем,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на практике трудящиеся-мигранты, не имеющие документов, ста</w:t>
      </w:r>
      <w:r w:rsidRPr="0000750B">
        <w:t>л</w:t>
      </w:r>
      <w:r w:rsidRPr="0000750B">
        <w:t>киваются с проблемами при получении доступа к неотложной медицинской п</w:t>
      </w:r>
      <w:r w:rsidRPr="0000750B">
        <w:t>о</w:t>
      </w:r>
      <w:r w:rsidRPr="0000750B">
        <w:t>мощи;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медицинские учреждения, предоставляющие услуги незарегистр</w:t>
      </w:r>
      <w:r w:rsidRPr="0000750B">
        <w:t>и</w:t>
      </w:r>
      <w:r w:rsidRPr="0000750B">
        <w:t>рованным трудящимся-мигрантам, могут понести за это наказание;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большинство медицинских работников в государстве-участнике г</w:t>
      </w:r>
      <w:r w:rsidRPr="0000750B">
        <w:t>о</w:t>
      </w:r>
      <w:r w:rsidRPr="0000750B">
        <w:t>ворят только на турецком языке, при этом устных переводчиков в государстве</w:t>
      </w:r>
      <w:r w:rsidRPr="0000750B">
        <w:t>н</w:t>
      </w:r>
      <w:r w:rsidRPr="0000750B">
        <w:t>ных и частных медицинских учреждениях не хватает.</w:t>
      </w:r>
    </w:p>
    <w:p w:rsidR="00CA752A" w:rsidRPr="0000750B" w:rsidRDefault="00CA752A" w:rsidP="00CA752A">
      <w:pPr>
        <w:pStyle w:val="SingleTxtGR"/>
      </w:pPr>
      <w:r w:rsidRPr="0000750B">
        <w:t>64.</w:t>
      </w:r>
      <w:r w:rsidRPr="0000750B">
        <w:tab/>
      </w:r>
      <w:r w:rsidRPr="0000750B">
        <w:rPr>
          <w:b/>
        </w:rPr>
        <w:t xml:space="preserve">Комитет рекомендует государству-участнику обеспечить де-юре и де-факто доступ всех </w:t>
      </w:r>
      <w:proofErr w:type="gramStart"/>
      <w:r w:rsidRPr="0000750B">
        <w:rPr>
          <w:b/>
        </w:rPr>
        <w:t>трудящиеся-мигрантов</w:t>
      </w:r>
      <w:proofErr w:type="gramEnd"/>
      <w:r w:rsidRPr="0000750B">
        <w:rPr>
          <w:b/>
        </w:rPr>
        <w:t xml:space="preserve"> к медицинскому обслуживанию, в том числе путем отмены санкций в отношении медицинских учреждений, которые предоставляют услуги незарегистрированным трудящимся-мигрантам, и обеспечения</w:t>
      </w:r>
      <w:r w:rsidR="0000750B" w:rsidRPr="0000750B">
        <w:rPr>
          <w:b/>
        </w:rPr>
        <w:t xml:space="preserve"> </w:t>
      </w:r>
      <w:r w:rsidRPr="0000750B">
        <w:rPr>
          <w:b/>
        </w:rPr>
        <w:t>в случае необходимости устного перевода</w:t>
      </w:r>
      <w:r w:rsidRPr="00456FC3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Регистрация рождения и гражданство</w:t>
      </w:r>
    </w:p>
    <w:p w:rsidR="00CA752A" w:rsidRPr="0000750B" w:rsidRDefault="00CA752A" w:rsidP="00CA752A">
      <w:pPr>
        <w:pStyle w:val="SingleTxtGR"/>
      </w:pPr>
      <w:r w:rsidRPr="0000750B">
        <w:t>65.</w:t>
      </w:r>
      <w:r w:rsidRPr="0000750B">
        <w:tab/>
        <w:t>Приветствуя представленную государством-участником информацию о том, что безгражданство не является проблемой в государстве-участнике и что оно привержено делу всеобщей регистрации рождений, Комитет, тем не менее, выражает обеспокоенность по поводу отсутствия всеобъемлющего стратегич</w:t>
      </w:r>
      <w:r w:rsidRPr="0000750B">
        <w:t>е</w:t>
      </w:r>
      <w:r w:rsidRPr="0000750B">
        <w:t>ского подхода и планирования регистрации рождения детей-мигрантов в гос</w:t>
      </w:r>
      <w:r w:rsidRPr="0000750B">
        <w:t>у</w:t>
      </w:r>
      <w:r w:rsidRPr="0000750B">
        <w:t>дарстве-участнике, а также по поводу отсутствия конкретных мер по обеспеч</w:t>
      </w:r>
      <w:r w:rsidRPr="0000750B">
        <w:t>е</w:t>
      </w:r>
      <w:r w:rsidRPr="0000750B">
        <w:t>нию права детей-мигрантов на национальность и гражданство.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66.</w:t>
      </w:r>
      <w:r w:rsidRPr="0000750B">
        <w:tab/>
      </w:r>
      <w:r w:rsidRPr="0000750B">
        <w:rPr>
          <w:b/>
        </w:rPr>
        <w:t>Комитет рекомендует государству-участнику обеспечить, чтобы все дети трудящихся-мигрантов регистрировались при рождении и получали документы, удостоверяющие их личность, в соответствии с целью 16.9 в области устойчивого развития, а также повысить уровень информирова</w:t>
      </w:r>
      <w:r w:rsidRPr="0000750B">
        <w:rPr>
          <w:b/>
        </w:rPr>
        <w:t>н</w:t>
      </w:r>
      <w:r w:rsidRPr="0000750B">
        <w:rPr>
          <w:b/>
        </w:rPr>
        <w:t>ности о большом значении регистрации новорожденных среди трудящихся-мигрантов и членов их семей, особенно мигрантов с неурегулированным статусом. Комитет призывает государство-участник присоединиться к Конвенции о сокращении безгражданства 1961 года и к Европейской ко</w:t>
      </w:r>
      <w:r w:rsidRPr="0000750B">
        <w:rPr>
          <w:b/>
        </w:rPr>
        <w:t>н</w:t>
      </w:r>
      <w:r w:rsidRPr="0000750B">
        <w:rPr>
          <w:b/>
        </w:rPr>
        <w:t>венции о гражданстве 1997 года.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Образование</w:t>
      </w:r>
    </w:p>
    <w:p w:rsidR="00CA752A" w:rsidRPr="0000750B" w:rsidRDefault="00CA752A" w:rsidP="00CA752A">
      <w:pPr>
        <w:pStyle w:val="SingleTxtGR"/>
      </w:pPr>
      <w:r w:rsidRPr="0000750B">
        <w:t>67.</w:t>
      </w:r>
      <w:r w:rsidRPr="0000750B">
        <w:tab/>
        <w:t>Комитет отмечает, что в соответствии со статьей 89 Закона об иностра</w:t>
      </w:r>
      <w:r w:rsidRPr="0000750B">
        <w:t>н</w:t>
      </w:r>
      <w:r w:rsidRPr="0000750B">
        <w:t>цах и международной защите лица, обращающиеся за международной защитой, и члены их семей могут получить начальное и среднее образование в госуда</w:t>
      </w:r>
      <w:r w:rsidRPr="0000750B">
        <w:t>р</w:t>
      </w:r>
      <w:r w:rsidRPr="0000750B">
        <w:t>стве-участнике. Комитет приветствует тот факт, что сирийские дети, которые размещаются в государственных лагерях, имеют полный доступ к базовому о</w:t>
      </w:r>
      <w:r w:rsidRPr="0000750B">
        <w:t>б</w:t>
      </w:r>
      <w:r w:rsidR="00E33652">
        <w:t xml:space="preserve">разованию на арабском языке </w:t>
      </w:r>
      <w:r w:rsidRPr="0000750B">
        <w:t>в соответствии с сирийской программой обуч</w:t>
      </w:r>
      <w:r w:rsidRPr="0000750B">
        <w:t>е</w:t>
      </w:r>
      <w:r w:rsidRPr="0000750B">
        <w:t>ния и что в трех провинциях организованы курсы турецкого языка для ин</w:t>
      </w:r>
      <w:r w:rsidRPr="0000750B">
        <w:t>о</w:t>
      </w:r>
      <w:r w:rsidRPr="0000750B">
        <w:t>странцев. В то же время Комитет обеспокоен тем,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Конституция государства-участника предусматривает, что начал</w:t>
      </w:r>
      <w:r w:rsidRPr="0000750B">
        <w:t>ь</w:t>
      </w:r>
      <w:r w:rsidRPr="0000750B">
        <w:t>ное образование является обязательным только для турецких граждан;</w:t>
      </w:r>
    </w:p>
    <w:p w:rsidR="00CA752A" w:rsidRPr="0000750B" w:rsidRDefault="00CA752A" w:rsidP="00CA752A">
      <w:pPr>
        <w:pStyle w:val="SingleTxtGR"/>
      </w:pPr>
      <w:r w:rsidRPr="0000750B">
        <w:tab/>
        <w:t>b)</w:t>
      </w:r>
      <w:r w:rsidRPr="0000750B">
        <w:tab/>
        <w:t>дети незарегистрированных трудящихся-мигрантов не зачисляются в школы из-за отсутствия личного номера иностранца;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показатели охвата школьным образованием в государстве-участнике резко снижаются среди сирийских детей старше восьми лет;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трудящиеся-мигранты недостаточно осведомлены о праве их детей посещать местные государственные школ;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в государственной школьной системе образования государства-участника отсутствует какая-либо формализованная или систематическая по</w:t>
      </w:r>
      <w:r w:rsidRPr="0000750B">
        <w:t>д</w:t>
      </w:r>
      <w:r w:rsidRPr="0000750B">
        <w:t>держка учащихся, не говорящих на турецком языке;</w:t>
      </w:r>
    </w:p>
    <w:p w:rsidR="00CA752A" w:rsidRPr="0000750B" w:rsidRDefault="00CA752A" w:rsidP="00CA752A">
      <w:pPr>
        <w:pStyle w:val="SingleTxtGR"/>
      </w:pPr>
      <w:r w:rsidRPr="0000750B">
        <w:tab/>
        <w:t>f)</w:t>
      </w:r>
      <w:r w:rsidRPr="0000750B">
        <w:tab/>
        <w:t>некоторые трудящиеся-мигранты не могут оформить своих детей в школу, несмотря на выполнение всех необходимых условий;</w:t>
      </w:r>
    </w:p>
    <w:p w:rsidR="00CA752A" w:rsidRPr="0000750B" w:rsidRDefault="00CA752A" w:rsidP="00CA752A">
      <w:pPr>
        <w:pStyle w:val="SingleTxtGR"/>
      </w:pPr>
      <w:r w:rsidRPr="0000750B">
        <w:tab/>
        <w:t>g)</w:t>
      </w:r>
      <w:r w:rsidRPr="0000750B">
        <w:tab/>
        <w:t>дети трудящихся-мигрантов сталкиваются с трудностями при пол</w:t>
      </w:r>
      <w:r w:rsidRPr="0000750B">
        <w:t>у</w:t>
      </w:r>
      <w:r w:rsidRPr="0000750B">
        <w:t>чении доступа к системе образования государства-участника, поскольку не м</w:t>
      </w:r>
      <w:r w:rsidRPr="0000750B">
        <w:t>о</w:t>
      </w:r>
      <w:r w:rsidRPr="0000750B">
        <w:t>гут получить общую поддержку, которая предоставляется малоимущим уч</w:t>
      </w:r>
      <w:r w:rsidRPr="0000750B">
        <w:t>а</w:t>
      </w:r>
      <w:r w:rsidRPr="0000750B">
        <w:t>щимся и учащимся из числа меньшинств;</w:t>
      </w:r>
    </w:p>
    <w:p w:rsidR="00CA752A" w:rsidRPr="0000750B" w:rsidRDefault="00CA752A" w:rsidP="00CA752A">
      <w:pPr>
        <w:pStyle w:val="SingleTxtGR"/>
      </w:pPr>
      <w:r w:rsidRPr="0000750B">
        <w:tab/>
        <w:t>h)</w:t>
      </w:r>
      <w:r w:rsidRPr="0000750B">
        <w:tab/>
        <w:t>государство-участник не предприняло достаточных усилий для осуществления межкультурного образования в школах.</w:t>
      </w:r>
    </w:p>
    <w:p w:rsidR="00CA752A" w:rsidRPr="0000750B" w:rsidRDefault="00CA752A" w:rsidP="00CA752A">
      <w:pPr>
        <w:pStyle w:val="SingleTxtGR"/>
      </w:pPr>
      <w:r w:rsidRPr="0000750B">
        <w:t>68.</w:t>
      </w:r>
      <w:r w:rsidRPr="0000750B">
        <w:tab/>
      </w:r>
      <w:r w:rsidRPr="0000750B">
        <w:rPr>
          <w:b/>
        </w:rPr>
        <w:t>Комитет рекомендует государству-участнику в соответствии со стат</w:t>
      </w:r>
      <w:r w:rsidRPr="0000750B">
        <w:rPr>
          <w:b/>
        </w:rPr>
        <w:t>ь</w:t>
      </w:r>
      <w:r w:rsidRPr="0000750B">
        <w:rPr>
          <w:b/>
        </w:rPr>
        <w:t>ей 30 Конвенции принять конкретные и эффективные меры для обеспеч</w:t>
      </w:r>
      <w:r w:rsidRPr="0000750B">
        <w:rPr>
          <w:b/>
        </w:rPr>
        <w:t>е</w:t>
      </w:r>
      <w:r w:rsidRPr="0000750B">
        <w:rPr>
          <w:b/>
        </w:rPr>
        <w:t>ния доступа к образованию детей трудящихся-мигрантов, независимо от миграционного статуса их родителей, в том числе посредством введения обязательного образования для всех детей на территории государства-участника, информирования родителей об этой обязанности и праве, устранения языковых барьеров, снижения уровня отсева и поощрения межкультурного образования.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Право на информацию и распространение информации</w:t>
      </w:r>
    </w:p>
    <w:p w:rsidR="00CA752A" w:rsidRPr="0000750B" w:rsidRDefault="00CA752A" w:rsidP="00CA752A">
      <w:pPr>
        <w:pStyle w:val="SingleTxtGR"/>
      </w:pPr>
      <w:r w:rsidRPr="0000750B">
        <w:t>69.</w:t>
      </w:r>
      <w:r w:rsidRPr="0000750B">
        <w:tab/>
        <w:t>Комитет принимает к сведению информацию государства-участника об издании информационных брошюр и буклетов для мигрантов, переводе Закона об иностранцах и международной защите на десять языков, а также размещ</w:t>
      </w:r>
      <w:r w:rsidRPr="0000750B">
        <w:t>е</w:t>
      </w:r>
      <w:r w:rsidRPr="0000750B">
        <w:t>нии информации на веб-сайте Главного управления по вопросам миграции на четырех языках и ее тестовом переводе на другие языки. Вместе с тем Комитет выражает обеспокоенность по поводу отсутствия мер, принимаемых госуда</w:t>
      </w:r>
      <w:r w:rsidRPr="0000750B">
        <w:t>р</w:t>
      </w:r>
      <w:r w:rsidRPr="0000750B">
        <w:t>ством-участником для активного распространения информации среди покид</w:t>
      </w:r>
      <w:r w:rsidRPr="0000750B">
        <w:t>а</w:t>
      </w:r>
      <w:r w:rsidRPr="0000750B">
        <w:t>ющих страну турецких трудящихся-мигрантов и иностранных трудящихся-мигрантов, прибывающих на работу в государство-участник, об условиях при</w:t>
      </w:r>
      <w:r w:rsidRPr="0000750B">
        <w:t>е</w:t>
      </w:r>
      <w:r w:rsidRPr="0000750B">
        <w:t>ма и трудоустройства трудящихся-мигрантов, а также об их правах и обязанн</w:t>
      </w:r>
      <w:r w:rsidRPr="0000750B">
        <w:t>о</w:t>
      </w:r>
      <w:r w:rsidRPr="0000750B">
        <w:t>стях.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70.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принять меры для активного распространения информации среди выезжающих из страны турецких трудящихся-мигрантов и приб</w:t>
      </w:r>
      <w:r w:rsidRPr="0000750B">
        <w:rPr>
          <w:b/>
        </w:rPr>
        <w:t>ы</w:t>
      </w:r>
      <w:r w:rsidRPr="0000750B">
        <w:rPr>
          <w:b/>
        </w:rPr>
        <w:t>вающих на работу в государство-участник иностранных трудящихся-мигрантов, об условиях приема и трудоустройства трудящихся-мигрантов, а также об их правах и обязанностях;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разработать адресные программы по подготовке к отъезду за границу и информационные программы, в том числе в консультации с профильными неправительственными организациями, трудящимися-мигрантами и их семьями, а также с признанными и надежными агентствами по трудоустройству</w:t>
      </w:r>
      <w:r w:rsidR="007617BD" w:rsidRPr="00616306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4.</w:t>
      </w:r>
      <w:r w:rsidRPr="001D0FC4">
        <w:tab/>
        <w:t>Другие права зарегистрированных или легальных трудящи</w:t>
      </w:r>
      <w:r w:rsidR="00042C19">
        <w:t>хся-мигрантов и членов их семей</w:t>
      </w:r>
      <w:r w:rsidRPr="001D0FC4">
        <w:t xml:space="preserve"> (статьи 36–56)</w:t>
      </w:r>
    </w:p>
    <w:p w:rsidR="00CA752A" w:rsidRPr="001D0FC4" w:rsidRDefault="00CA752A" w:rsidP="001D0FC4">
      <w:pPr>
        <w:pStyle w:val="H23GR"/>
      </w:pPr>
      <w:r w:rsidRPr="001D0FC4">
        <w:tab/>
      </w:r>
      <w:r w:rsidRPr="001D0FC4">
        <w:tab/>
        <w:t>Право создавать профессиональные союзы</w:t>
      </w:r>
    </w:p>
    <w:p w:rsidR="00CA752A" w:rsidRPr="0000750B" w:rsidRDefault="00CA752A" w:rsidP="00CA752A">
      <w:pPr>
        <w:pStyle w:val="SingleTxtGR"/>
      </w:pPr>
      <w:r w:rsidRPr="0000750B">
        <w:t>71.</w:t>
      </w:r>
      <w:r w:rsidRPr="0000750B">
        <w:tab/>
        <w:t>Комитет приветствует тот факт, что Закон о профсоюзах и коллективных трудовых договорах 2012 года предусматривает, что иностранные трудящиеся-мигранты могут создавать ассоциации и профессиональные союзы. Вместе с тем Комитет обеспокоен тем, что государство-участник не сняло свою оговорку к статье 40 Конвенции.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72.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снять свою оговорку к статье 40 Конвенции, так как делегация в ходе диалога с Комитетом сообщила о таком намерении, учитывая отм</w:t>
      </w:r>
      <w:r w:rsidRPr="0000750B">
        <w:rPr>
          <w:b/>
        </w:rPr>
        <w:t>е</w:t>
      </w:r>
      <w:r w:rsidRPr="0000750B">
        <w:rPr>
          <w:b/>
        </w:rPr>
        <w:t>ну Закона о профсоюзах, который дает право на создание профсоюзов в государс</w:t>
      </w:r>
      <w:r w:rsidR="007617BD">
        <w:rPr>
          <w:b/>
        </w:rPr>
        <w:t>тве-участнике только гражданам;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</w:r>
      <w:proofErr w:type="gramStart"/>
      <w:r w:rsidRPr="0000750B">
        <w:rPr>
          <w:b/>
        </w:rPr>
        <w:t>b)</w:t>
      </w:r>
      <w:r w:rsidRPr="0000750B">
        <w:rPr>
          <w:b/>
        </w:rPr>
        <w:tab/>
        <w:t>принять необходимые меры</w:t>
      </w:r>
      <w:r w:rsidR="00042C19">
        <w:rPr>
          <w:b/>
        </w:rPr>
        <w:t>,</w:t>
      </w:r>
      <w:r w:rsidRPr="0000750B">
        <w:rPr>
          <w:b/>
        </w:rPr>
        <w:t xml:space="preserve"> для</w:t>
      </w:r>
      <w:r w:rsidR="00042C19">
        <w:rPr>
          <w:b/>
        </w:rPr>
        <w:t xml:space="preserve"> того</w:t>
      </w:r>
      <w:r w:rsidRPr="0000750B">
        <w:rPr>
          <w:b/>
        </w:rPr>
        <w:t xml:space="preserve"> чтобы в законодательном порядке и на практике гарантировать трудящимся-мигрантам и членам их семей право на создание и участие в работе исполнительных органов асс</w:t>
      </w:r>
      <w:r w:rsidRPr="0000750B">
        <w:rPr>
          <w:b/>
        </w:rPr>
        <w:t>о</w:t>
      </w:r>
      <w:r w:rsidRPr="0000750B">
        <w:rPr>
          <w:b/>
        </w:rPr>
        <w:t>циаций и профсоюзов с целью обеспечения и защиты их экономических, социальных, культурных и иных интересов в соответствии со статьей 40 Конвенции, а также с Конвенцией Международной организации труда о свободе ассоциации и</w:t>
      </w:r>
      <w:proofErr w:type="gramEnd"/>
      <w:r w:rsidRPr="0000750B">
        <w:rPr>
          <w:b/>
        </w:rPr>
        <w:t xml:space="preserve"> защите права на организацию 1948 года (№ 87)</w:t>
      </w:r>
      <w:r w:rsidRPr="00616306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Право на перевод заработанных средств и сбережений</w:t>
      </w:r>
    </w:p>
    <w:p w:rsidR="00CA752A" w:rsidRPr="0000750B" w:rsidRDefault="00CA752A" w:rsidP="00CA752A">
      <w:pPr>
        <w:pStyle w:val="SingleTxtGR"/>
      </w:pPr>
      <w:r w:rsidRPr="0000750B">
        <w:t>73.</w:t>
      </w:r>
      <w:r w:rsidRPr="0000750B">
        <w:tab/>
        <w:t xml:space="preserve">Комитет выражает сожаление в связи </w:t>
      </w:r>
      <w:r w:rsidR="00042C19">
        <w:t>с отменой в 2014 году Центральны</w:t>
      </w:r>
      <w:r w:rsidRPr="0000750B">
        <w:t>м банком государства-участника более высокой процентной ставки для турецких трудящихся-мигрантов и отсутствием поддержки</w:t>
      </w:r>
      <w:r w:rsidR="0000750B" w:rsidRPr="0000750B">
        <w:t xml:space="preserve"> </w:t>
      </w:r>
      <w:r w:rsidRPr="0000750B">
        <w:t>инвестиционных партнерств турецких трудящихся-мигрантов с конца 1970-х годов.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74.</w:t>
      </w:r>
      <w:r w:rsidRPr="0000750B">
        <w:tab/>
      </w:r>
      <w:r w:rsidRPr="0000750B">
        <w:rPr>
          <w:b/>
        </w:rPr>
        <w:t>Комитет рекомендует государству-участнику принять меры по сн</w:t>
      </w:r>
      <w:r w:rsidRPr="0000750B">
        <w:rPr>
          <w:b/>
        </w:rPr>
        <w:t>и</w:t>
      </w:r>
      <w:r w:rsidRPr="0000750B">
        <w:rPr>
          <w:b/>
        </w:rPr>
        <w:t>жению расходов на перевод и получение денежных средств в соответствии с целью 10.с в области устойчивого развития и для облегчения продуктивн</w:t>
      </w:r>
      <w:r w:rsidRPr="0000750B">
        <w:rPr>
          <w:b/>
        </w:rPr>
        <w:t>о</w:t>
      </w:r>
      <w:r w:rsidRPr="0000750B">
        <w:rPr>
          <w:b/>
        </w:rPr>
        <w:t>го использования денежных переводов.</w:t>
      </w:r>
    </w:p>
    <w:p w:rsidR="00CA752A" w:rsidRPr="001D0FC4" w:rsidRDefault="00CA752A" w:rsidP="001D0FC4">
      <w:pPr>
        <w:pStyle w:val="H23GR"/>
      </w:pPr>
      <w:r w:rsidRPr="001D0FC4">
        <w:tab/>
      </w:r>
      <w:r w:rsidRPr="001D0FC4">
        <w:tab/>
        <w:t>Разрешения на работу</w:t>
      </w:r>
    </w:p>
    <w:p w:rsidR="00CA752A" w:rsidRPr="0000750B" w:rsidRDefault="00CA752A" w:rsidP="00CA752A">
      <w:pPr>
        <w:pStyle w:val="SingleTxtGR"/>
      </w:pPr>
      <w:r w:rsidRPr="0000750B">
        <w:t>75.</w:t>
      </w:r>
      <w:r w:rsidRPr="0000750B">
        <w:tab/>
        <w:t>Комитет обеспокоен сообщениями о том, что трудящиеся-мигранты, имеющие срочные разрешения на работу для конкретных профессий и работ</w:t>
      </w:r>
      <w:r w:rsidRPr="0000750B">
        <w:t>о</w:t>
      </w:r>
      <w:r w:rsidRPr="0000750B">
        <w:t>дателей в соответствии со статьей 5 Закона № 4817, неохотно сообщают о зл</w:t>
      </w:r>
      <w:r w:rsidRPr="0000750B">
        <w:t>о</w:t>
      </w:r>
      <w:r w:rsidRPr="0000750B">
        <w:t>употреблениях и незаконных условиях труда из-за страха потерять работу, п</w:t>
      </w:r>
      <w:r w:rsidRPr="0000750B">
        <w:t>о</w:t>
      </w:r>
      <w:r w:rsidRPr="0000750B">
        <w:t>скольку их иммиграционный статус зависит от их работодателя.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76.</w:t>
      </w:r>
      <w:r w:rsidRPr="0000750B">
        <w:tab/>
      </w:r>
      <w:r w:rsidRPr="0000750B">
        <w:rPr>
          <w:b/>
        </w:rPr>
        <w:t xml:space="preserve">Комитет рекомендует государству-участнику пересмотреть систему выдачи разрешений на работу на определенный срок, с </w:t>
      </w:r>
      <w:proofErr w:type="gramStart"/>
      <w:r w:rsidRPr="0000750B">
        <w:rPr>
          <w:b/>
        </w:rPr>
        <w:t>тем</w:t>
      </w:r>
      <w:proofErr w:type="gramEnd"/>
      <w:r w:rsidRPr="0000750B">
        <w:rPr>
          <w:b/>
        </w:rPr>
        <w:t xml:space="preserve"> чтобы предо</w:t>
      </w:r>
      <w:r w:rsidRPr="0000750B">
        <w:rPr>
          <w:b/>
        </w:rPr>
        <w:t>т</w:t>
      </w:r>
      <w:r w:rsidRPr="0000750B">
        <w:rPr>
          <w:b/>
        </w:rPr>
        <w:t>вратить злоупотребления в отношении условий труда и эксплуатацию</w:t>
      </w:r>
      <w:r w:rsidR="007617BD" w:rsidRPr="00616306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5.</w:t>
      </w:r>
      <w:r w:rsidRPr="001D0FC4">
        <w:tab/>
        <w:t>Положения, применимые к конкретным категориям трудящихся-мигрант</w:t>
      </w:r>
      <w:r w:rsidR="00042C19">
        <w:t>ов и членам их семей (статьи 57–</w:t>
      </w:r>
      <w:r w:rsidRPr="001D0FC4">
        <w:t>63)</w:t>
      </w:r>
    </w:p>
    <w:p w:rsidR="00CA752A" w:rsidRPr="001D0FC4" w:rsidRDefault="00CA752A" w:rsidP="001D0FC4">
      <w:pPr>
        <w:pStyle w:val="H23GR"/>
      </w:pPr>
      <w:r w:rsidRPr="001D0FC4">
        <w:tab/>
      </w:r>
      <w:r w:rsidRPr="001D0FC4">
        <w:tab/>
        <w:t>Сезонные работники</w:t>
      </w:r>
    </w:p>
    <w:p w:rsidR="00CA752A" w:rsidRPr="0000750B" w:rsidRDefault="00CA752A" w:rsidP="00CA752A">
      <w:pPr>
        <w:pStyle w:val="SingleTxtGR"/>
      </w:pPr>
      <w:r w:rsidRPr="0000750B">
        <w:t>77.</w:t>
      </w:r>
      <w:r w:rsidRPr="0000750B">
        <w:tab/>
        <w:t>Комитет обеспокоен тем, что незарегистрированные сезонные сельскох</w:t>
      </w:r>
      <w:r w:rsidRPr="0000750B">
        <w:t>о</w:t>
      </w:r>
      <w:r w:rsidRPr="0000750B">
        <w:t>зяйственные работники из таких стран, как Сирийская Арабская Республика, Грузия и Азербайджан, сталкиваются с трудностями при получении доступа к медицинским услугам из-за их нелегального статуса.</w:t>
      </w:r>
    </w:p>
    <w:p w:rsidR="00CA752A" w:rsidRPr="00042C19" w:rsidRDefault="00CA752A" w:rsidP="00CA752A">
      <w:pPr>
        <w:pStyle w:val="SingleTxtGR"/>
        <w:rPr>
          <w:b/>
        </w:rPr>
      </w:pPr>
      <w:r w:rsidRPr="0000750B">
        <w:t>78.</w:t>
      </w:r>
      <w:r w:rsidRPr="0000750B">
        <w:tab/>
      </w:r>
      <w:r w:rsidRPr="00042C19">
        <w:rPr>
          <w:b/>
        </w:rPr>
        <w:t>Комитет предлагает государству-участнику представить в своем вт</w:t>
      </w:r>
      <w:r w:rsidRPr="00042C19">
        <w:rPr>
          <w:b/>
        </w:rPr>
        <w:t>о</w:t>
      </w:r>
      <w:r w:rsidRPr="00042C19">
        <w:rPr>
          <w:b/>
        </w:rPr>
        <w:t>ром периодическом докладе информацию о принятых мерах по предоста</w:t>
      </w:r>
      <w:r w:rsidRPr="00042C19">
        <w:rPr>
          <w:b/>
        </w:rPr>
        <w:t>в</w:t>
      </w:r>
      <w:r w:rsidRPr="00042C19">
        <w:rPr>
          <w:b/>
        </w:rPr>
        <w:t>лению сезонным рабочим возможности осуществлять свои права, имеющ</w:t>
      </w:r>
      <w:r w:rsidRPr="00042C19">
        <w:rPr>
          <w:b/>
        </w:rPr>
        <w:t>и</w:t>
      </w:r>
      <w:r w:rsidRPr="00042C19">
        <w:rPr>
          <w:b/>
        </w:rPr>
        <w:t>еся у них в силу их пребывания и работы на территории государства-участника</w:t>
      </w:r>
      <w:r w:rsidR="00E33652">
        <w:rPr>
          <w:b/>
        </w:rPr>
        <w:t>,</w:t>
      </w:r>
      <w:r w:rsidRPr="00042C19">
        <w:rPr>
          <w:b/>
        </w:rPr>
        <w:t xml:space="preserve"> в соотве</w:t>
      </w:r>
      <w:r w:rsidRPr="00042C19">
        <w:rPr>
          <w:b/>
        </w:rPr>
        <w:t>т</w:t>
      </w:r>
      <w:r w:rsidRPr="00042C19">
        <w:rPr>
          <w:b/>
        </w:rPr>
        <w:t>ствии со статьей 57 Конвенции.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6.</w:t>
      </w:r>
      <w:r w:rsidRPr="001D0FC4">
        <w:tab/>
        <w:t>Содействие созданию нормальных, справедливых, гуманных и законных условий в связи с международной м</w:t>
      </w:r>
      <w:r w:rsidR="003F0AD5">
        <w:t>играцией трудящихся и членов их</w:t>
      </w:r>
      <w:r w:rsidR="003F0AD5">
        <w:rPr>
          <w:lang w:val="en-US"/>
        </w:rPr>
        <w:t> </w:t>
      </w:r>
      <w:r w:rsidRPr="001D0FC4">
        <w:t>семей (статьи 64–71)</w:t>
      </w:r>
    </w:p>
    <w:p w:rsidR="00CA752A" w:rsidRPr="001D0FC4" w:rsidRDefault="00CA752A" w:rsidP="001D0FC4">
      <w:pPr>
        <w:pStyle w:val="H23GR"/>
      </w:pPr>
      <w:r w:rsidRPr="001D0FC4">
        <w:tab/>
      </w:r>
      <w:r w:rsidRPr="001D0FC4">
        <w:tab/>
        <w:t>Агентства по найму</w:t>
      </w:r>
    </w:p>
    <w:p w:rsidR="00CA752A" w:rsidRPr="0000750B" w:rsidRDefault="00CA752A" w:rsidP="00CA752A">
      <w:pPr>
        <w:pStyle w:val="SingleTxtGR"/>
      </w:pPr>
      <w:r w:rsidRPr="0000750B">
        <w:t>79.</w:t>
      </w:r>
      <w:r w:rsidRPr="0000750B">
        <w:tab/>
        <w:t>Приветствуя принятие в 2013 году Правил частных агентств по труд</w:t>
      </w:r>
      <w:r w:rsidRPr="0000750B">
        <w:t>о</w:t>
      </w:r>
      <w:r w:rsidRPr="0000750B">
        <w:t>устройству, Комитет выражает обеспокоенность в связи с отсутствием инфо</w:t>
      </w:r>
      <w:r w:rsidRPr="0000750B">
        <w:t>р</w:t>
      </w:r>
      <w:r w:rsidRPr="0000750B">
        <w:t>мации о санкциях в отношении частных агентств по трудоустройству, наним</w:t>
      </w:r>
      <w:r w:rsidRPr="0000750B">
        <w:t>а</w:t>
      </w:r>
      <w:r w:rsidRPr="0000750B">
        <w:t>ющих не имеющих разрешения на работу трудящихся-мигрантов,</w:t>
      </w:r>
      <w:r w:rsidR="003C0EA2">
        <w:t xml:space="preserve"> </w:t>
      </w:r>
      <w:r w:rsidRPr="0000750B">
        <w:t>с тем чтобы избежать выплаты взносов в фонд социального страхования.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80.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 xml:space="preserve">укрепить режим регулирования деятельности частных агентств по трудоустройству, включая систему лицензирования, </w:t>
      </w:r>
      <w:proofErr w:type="gramStart"/>
      <w:r w:rsidRPr="0000750B">
        <w:rPr>
          <w:b/>
        </w:rPr>
        <w:t>контроль за</w:t>
      </w:r>
      <w:proofErr w:type="gramEnd"/>
      <w:r w:rsidRPr="0000750B">
        <w:rPr>
          <w:b/>
        </w:rPr>
        <w:t xml:space="preserve"> набором, инспекции и санкции для предотвращения найма частными агентствами по трудоустройству не имеющих разрешений на работу тр</w:t>
      </w:r>
      <w:r w:rsidRPr="0000750B">
        <w:rPr>
          <w:b/>
        </w:rPr>
        <w:t>у</w:t>
      </w:r>
      <w:r w:rsidRPr="0000750B">
        <w:rPr>
          <w:b/>
        </w:rPr>
        <w:t>дящихся-мигрантов</w:t>
      </w:r>
      <w:r w:rsidR="00042C19">
        <w:rPr>
          <w:b/>
        </w:rPr>
        <w:t>,</w:t>
      </w:r>
      <w:r w:rsidRPr="0000750B">
        <w:rPr>
          <w:b/>
        </w:rPr>
        <w:t xml:space="preserve"> уклонения от выплаты взносов</w:t>
      </w:r>
      <w:r w:rsidR="00042C19">
        <w:rPr>
          <w:b/>
        </w:rPr>
        <w:t xml:space="preserve"> в фонд социального страхования</w:t>
      </w:r>
      <w:r w:rsidRPr="0000750B">
        <w:rPr>
          <w:b/>
        </w:rPr>
        <w:t xml:space="preserve"> и другой неэтичной практики;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обеспечить предоставление частными агентствами по труд</w:t>
      </w:r>
      <w:r w:rsidRPr="0000750B">
        <w:rPr>
          <w:b/>
        </w:rPr>
        <w:t>о</w:t>
      </w:r>
      <w:r w:rsidRPr="0000750B">
        <w:rPr>
          <w:b/>
        </w:rPr>
        <w:t>устройству исчерпывающей информации желающим найти работу за гр</w:t>
      </w:r>
      <w:r w:rsidRPr="0000750B">
        <w:rPr>
          <w:b/>
        </w:rPr>
        <w:t>а</w:t>
      </w:r>
      <w:r w:rsidRPr="0000750B">
        <w:rPr>
          <w:b/>
        </w:rPr>
        <w:t>ницей и гарантий реального получения всех оговоренных при оформлении на работу выплат</w:t>
      </w:r>
      <w:r w:rsidR="007617BD">
        <w:rPr>
          <w:b/>
        </w:rPr>
        <w:t>, в частности заработной платы;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 xml:space="preserve">рассмотреть вопрос о принятии политики </w:t>
      </w:r>
      <w:r w:rsidR="0000750B" w:rsidRPr="0000750B">
        <w:rPr>
          <w:b/>
        </w:rPr>
        <w:t>«</w:t>
      </w:r>
      <w:r w:rsidRPr="0000750B">
        <w:rPr>
          <w:b/>
        </w:rPr>
        <w:t>бесплатного труд</w:t>
      </w:r>
      <w:r w:rsidRPr="0000750B">
        <w:rPr>
          <w:b/>
        </w:rPr>
        <w:t>о</w:t>
      </w:r>
      <w:r w:rsidRPr="0000750B">
        <w:rPr>
          <w:b/>
        </w:rPr>
        <w:t>устройства</w:t>
      </w:r>
      <w:r w:rsidR="0000750B" w:rsidRPr="0000750B">
        <w:rPr>
          <w:b/>
        </w:rPr>
        <w:t>»</w:t>
      </w:r>
      <w:r w:rsidRPr="0000750B">
        <w:rPr>
          <w:b/>
        </w:rPr>
        <w:t xml:space="preserve"> для лиц, намеревающихся выехать на работу за рубеж</w:t>
      </w:r>
      <w:r w:rsidRPr="00616306">
        <w:rPr>
          <w:b/>
        </w:rPr>
        <w:t>.</w:t>
      </w:r>
    </w:p>
    <w:p w:rsidR="00CA752A" w:rsidRPr="0000750B" w:rsidRDefault="00CA752A" w:rsidP="001D0FC4">
      <w:pPr>
        <w:pStyle w:val="H23GR"/>
        <w:rPr>
          <w:b w:val="0"/>
        </w:rPr>
      </w:pPr>
      <w:r w:rsidRPr="0000750B">
        <w:rPr>
          <w:b w:val="0"/>
        </w:rPr>
        <w:tab/>
      </w:r>
      <w:r w:rsidRPr="0000750B">
        <w:rPr>
          <w:b w:val="0"/>
        </w:rPr>
        <w:tab/>
      </w:r>
      <w:r w:rsidRPr="001D0FC4">
        <w:t>Возвращение и реинтеграция</w:t>
      </w:r>
    </w:p>
    <w:p w:rsidR="00CA752A" w:rsidRPr="0000750B" w:rsidRDefault="00CA752A" w:rsidP="00CA752A">
      <w:pPr>
        <w:pStyle w:val="SingleTxtGR"/>
      </w:pPr>
      <w:r w:rsidRPr="0000750B">
        <w:t>81.</w:t>
      </w:r>
      <w:r w:rsidRPr="0000750B">
        <w:tab/>
        <w:t>Комитет приветствует различные меры, которые государство-участник приняло для облегчения упорядоченного возвращения турецких трудящихся-мигрантов и членов их семей и их реинтеграции в экономическую и социал</w:t>
      </w:r>
      <w:r w:rsidRPr="0000750B">
        <w:t>ь</w:t>
      </w:r>
      <w:r w:rsidRPr="0000750B">
        <w:t>ную жизнь страны. Комитет отмечает, что государство-участник заключило с</w:t>
      </w:r>
      <w:r w:rsidRPr="0000750B">
        <w:t>о</w:t>
      </w:r>
      <w:r w:rsidRPr="0000750B">
        <w:t>глашения о реадм</w:t>
      </w:r>
      <w:r w:rsidR="00042C19">
        <w:t>иссии с Европейским союзом и еще</w:t>
      </w:r>
      <w:r w:rsidRPr="0000750B">
        <w:t xml:space="preserve"> 12 странами. Вместе с тем он выражает обеспокоенность по поводу отсутствия информации о том, включают ли эти соглашения процедурные гарантии, касающиеся мигран</w:t>
      </w:r>
      <w:r w:rsidR="00042C19">
        <w:t>тов, о кот</w:t>
      </w:r>
      <w:r w:rsidR="00042C19">
        <w:t>о</w:t>
      </w:r>
      <w:r w:rsidR="00042C19">
        <w:t>рых в них идет речь.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82.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принять меры к тому, чтобы в нынешних и будущих соглаш</w:t>
      </w:r>
      <w:r w:rsidRPr="0000750B">
        <w:rPr>
          <w:b/>
        </w:rPr>
        <w:t>е</w:t>
      </w:r>
      <w:r w:rsidRPr="0000750B">
        <w:rPr>
          <w:b/>
        </w:rPr>
        <w:t xml:space="preserve">ниях о </w:t>
      </w:r>
      <w:proofErr w:type="spellStart"/>
      <w:r w:rsidRPr="0000750B">
        <w:rPr>
          <w:b/>
        </w:rPr>
        <w:t>реадмиссии</w:t>
      </w:r>
      <w:proofErr w:type="spellEnd"/>
      <w:r w:rsidRPr="0000750B">
        <w:rPr>
          <w:b/>
        </w:rPr>
        <w:t>, заключенных между государством-участником и пр</w:t>
      </w:r>
      <w:r w:rsidRPr="0000750B">
        <w:rPr>
          <w:b/>
        </w:rPr>
        <w:t>и</w:t>
      </w:r>
      <w:r w:rsidRPr="0000750B">
        <w:rPr>
          <w:b/>
        </w:rPr>
        <w:t>нимающими странами, были закреплены долговременные гарантии эк</w:t>
      </w:r>
      <w:r w:rsidRPr="0000750B">
        <w:rPr>
          <w:b/>
        </w:rPr>
        <w:t>о</w:t>
      </w:r>
      <w:r w:rsidRPr="0000750B">
        <w:rPr>
          <w:b/>
        </w:rPr>
        <w:t xml:space="preserve">номической, социальной и культурной </w:t>
      </w:r>
      <w:proofErr w:type="spellStart"/>
      <w:r w:rsidRPr="0000750B">
        <w:rPr>
          <w:b/>
        </w:rPr>
        <w:t>реинтеграции</w:t>
      </w:r>
      <w:proofErr w:type="spellEnd"/>
      <w:r w:rsidRPr="0000750B">
        <w:rPr>
          <w:b/>
        </w:rPr>
        <w:t xml:space="preserve"> трудящихся-мигрантов, возвратившихся </w:t>
      </w:r>
      <w:proofErr w:type="gramStart"/>
      <w:r w:rsidRPr="0000750B">
        <w:rPr>
          <w:b/>
        </w:rPr>
        <w:t>в</w:t>
      </w:r>
      <w:proofErr w:type="gramEnd"/>
      <w:r w:rsidRPr="0000750B">
        <w:rPr>
          <w:b/>
        </w:rPr>
        <w:t xml:space="preserve"> </w:t>
      </w:r>
      <w:proofErr w:type="gramStart"/>
      <w:r w:rsidRPr="0000750B">
        <w:rPr>
          <w:b/>
        </w:rPr>
        <w:t>государство-участник</w:t>
      </w:r>
      <w:proofErr w:type="gramEnd"/>
      <w:r w:rsidRPr="0000750B">
        <w:rPr>
          <w:b/>
        </w:rPr>
        <w:t>, предусмотрены пр</w:t>
      </w:r>
      <w:r w:rsidRPr="0000750B">
        <w:rPr>
          <w:b/>
        </w:rPr>
        <w:t>о</w:t>
      </w:r>
      <w:r w:rsidRPr="0000750B">
        <w:rPr>
          <w:b/>
        </w:rPr>
        <w:t>цессуальные гарантии для трудящих</w:t>
      </w:r>
      <w:r w:rsidR="00042C19">
        <w:rPr>
          <w:b/>
        </w:rPr>
        <w:t>ся-мигрантов и членов их семей,</w:t>
      </w:r>
      <w:r w:rsidR="00042C19">
        <w:rPr>
          <w:b/>
        </w:rPr>
        <w:br/>
      </w:r>
      <w:r w:rsidRPr="0000750B">
        <w:rPr>
          <w:b/>
        </w:rPr>
        <w:t>а также защита от жестокого обращения в случае высылки;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b)</w:t>
      </w:r>
      <w:r w:rsidRPr="0000750B">
        <w:rPr>
          <w:b/>
        </w:rPr>
        <w:tab/>
        <w:t>вести сбор дезагрегированных статистических данных о м</w:t>
      </w:r>
      <w:r w:rsidRPr="0000750B">
        <w:rPr>
          <w:b/>
        </w:rPr>
        <w:t>и</w:t>
      </w:r>
      <w:r w:rsidRPr="0000750B">
        <w:rPr>
          <w:b/>
        </w:rPr>
        <w:t>грантах, возвращенных в соответств</w:t>
      </w:r>
      <w:r w:rsidR="00042C19">
        <w:rPr>
          <w:b/>
        </w:rPr>
        <w:t xml:space="preserve">ии с соглашениями о </w:t>
      </w:r>
      <w:proofErr w:type="spellStart"/>
      <w:r w:rsidR="00042C19">
        <w:rPr>
          <w:b/>
        </w:rPr>
        <w:t>реадмиссии</w:t>
      </w:r>
      <w:proofErr w:type="spellEnd"/>
      <w:r w:rsidR="00042C19">
        <w:rPr>
          <w:b/>
        </w:rPr>
        <w:t>,</w:t>
      </w:r>
      <w:r w:rsidR="00042C19">
        <w:rPr>
          <w:b/>
        </w:rPr>
        <w:br/>
      </w:r>
      <w:r w:rsidRPr="0000750B">
        <w:rPr>
          <w:b/>
        </w:rPr>
        <w:t>в том числе об их гражданстве</w:t>
      </w:r>
      <w:r w:rsidRPr="00616306">
        <w:rPr>
          <w:b/>
        </w:rPr>
        <w:t>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Незаконная или нелегальная перевозка и наем на работу трудящихся-мигрантов с неурегулированным статусом</w:t>
      </w:r>
    </w:p>
    <w:p w:rsidR="00CA752A" w:rsidRPr="0000750B" w:rsidRDefault="00CA752A" w:rsidP="00CA752A">
      <w:pPr>
        <w:pStyle w:val="SingleTxtGR"/>
      </w:pPr>
      <w:r w:rsidRPr="0000750B">
        <w:t>83.</w:t>
      </w:r>
      <w:r w:rsidRPr="0000750B">
        <w:tab/>
        <w:t>Комитет приветствует недавно принятые государством-участником но</w:t>
      </w:r>
      <w:r w:rsidRPr="0000750B">
        <w:t>р</w:t>
      </w:r>
      <w:r w:rsidR="00042C19">
        <w:t>мы по борьбе с торговлей людьми</w:t>
      </w:r>
      <w:r w:rsidRPr="0000750B">
        <w:t xml:space="preserve"> и создание Департамента по защите жертв торговли людьми в рамках Генерального управления по вопросам миграции. Комитет также приветствует тот факт, что Закон об иностранцах и междунаро</w:t>
      </w:r>
      <w:r w:rsidRPr="0000750B">
        <w:t>д</w:t>
      </w:r>
      <w:r w:rsidRPr="0000750B">
        <w:t>ной защите предусматривает создание центров и приютов для жертв торговли людьми и гарантии их невыдворения. В то же время Комитет обеспокоен тем, что:</w:t>
      </w:r>
    </w:p>
    <w:p w:rsidR="00CA752A" w:rsidRPr="0000750B" w:rsidRDefault="00CA752A" w:rsidP="00CA752A">
      <w:pPr>
        <w:pStyle w:val="SingleTxtGR"/>
      </w:pPr>
      <w:r w:rsidRPr="0000750B">
        <w:tab/>
        <w:t>a)</w:t>
      </w:r>
      <w:r w:rsidRPr="0000750B">
        <w:tab/>
        <w:t>государство-участник до сих пор не приняло всеобъемлющий зак</w:t>
      </w:r>
      <w:r w:rsidR="007617BD">
        <w:t>он о борьбе с торговлей людьми;</w:t>
      </w:r>
    </w:p>
    <w:p w:rsidR="00CA752A" w:rsidRPr="0000750B" w:rsidRDefault="003F0AD5" w:rsidP="00CA752A">
      <w:pPr>
        <w:pStyle w:val="SingleTxtGR"/>
      </w:pPr>
      <w:r w:rsidRPr="00B66661">
        <w:tab/>
      </w:r>
      <w:r w:rsidR="00CA752A" w:rsidRPr="0000750B">
        <w:t>b)</w:t>
      </w:r>
      <w:r w:rsidR="00CA752A" w:rsidRPr="0000750B">
        <w:tab/>
        <w:t>возможности и межведомственная координация усилий по борьбе с торговлей людьми, особенно на местах, ограничены;</w:t>
      </w:r>
    </w:p>
    <w:p w:rsidR="00CA752A" w:rsidRPr="0000750B" w:rsidRDefault="00CA752A" w:rsidP="00CA752A">
      <w:pPr>
        <w:pStyle w:val="SingleTxtGR"/>
      </w:pPr>
      <w:r w:rsidRPr="0000750B">
        <w:tab/>
        <w:t>с)</w:t>
      </w:r>
      <w:r w:rsidRPr="0000750B">
        <w:tab/>
        <w:t>усилия по выявлению</w:t>
      </w:r>
      <w:r w:rsidR="00042C19">
        <w:t xml:space="preserve"> и защите жертв торговли людьми</w:t>
      </w:r>
      <w:r w:rsidRPr="0000750B">
        <w:t xml:space="preserve"> являются недостаточными;</w:t>
      </w:r>
    </w:p>
    <w:p w:rsidR="00CA752A" w:rsidRPr="0000750B" w:rsidRDefault="00CA752A" w:rsidP="00CA752A">
      <w:pPr>
        <w:pStyle w:val="SingleTxtGR"/>
      </w:pPr>
      <w:r w:rsidRPr="0000750B">
        <w:tab/>
        <w:t>d)</w:t>
      </w:r>
      <w:r w:rsidRPr="0000750B">
        <w:tab/>
        <w:t>приюты для жертв торговли людьми в государстве-участнике нах</w:t>
      </w:r>
      <w:r w:rsidRPr="0000750B">
        <w:t>о</w:t>
      </w:r>
      <w:r w:rsidRPr="0000750B">
        <w:t>дятся в ведении неправительственных организаций и в настоящее время зав</w:t>
      </w:r>
      <w:r w:rsidRPr="0000750B">
        <w:t>и</w:t>
      </w:r>
      <w:r w:rsidRPr="0000750B">
        <w:t>сят от финансирования со стороны международных организаций;</w:t>
      </w:r>
    </w:p>
    <w:p w:rsidR="00CA752A" w:rsidRPr="0000750B" w:rsidRDefault="00CA752A" w:rsidP="00CA752A">
      <w:pPr>
        <w:pStyle w:val="SingleTxtGR"/>
      </w:pPr>
      <w:r w:rsidRPr="0000750B">
        <w:tab/>
        <w:t>e)</w:t>
      </w:r>
      <w:r w:rsidRPr="0000750B">
        <w:tab/>
        <w:t>жертвы торговли людьми могут быть не защищены от преследов</w:t>
      </w:r>
      <w:r w:rsidRPr="0000750B">
        <w:t>а</w:t>
      </w:r>
      <w:r w:rsidRPr="0000750B">
        <w:t>ния, задержания или наказания за незаконный въезд или проживание в госуда</w:t>
      </w:r>
      <w:r w:rsidRPr="0000750B">
        <w:t>р</w:t>
      </w:r>
      <w:r w:rsidRPr="0000750B">
        <w:t xml:space="preserve">стве-участнике, или наказания за осуществляемую ими </w:t>
      </w:r>
      <w:r w:rsidR="003C0EA2">
        <w:t>деятельность, которая является</w:t>
      </w:r>
      <w:r w:rsidRPr="0000750B">
        <w:t xml:space="preserve"> прямым следствием того, что они стали жертвами торговли людьми;</w:t>
      </w:r>
    </w:p>
    <w:p w:rsidR="00CA752A" w:rsidRPr="0000750B" w:rsidRDefault="00CA752A" w:rsidP="00CA752A">
      <w:pPr>
        <w:pStyle w:val="SingleTxtGR"/>
      </w:pPr>
      <w:r w:rsidRPr="0000750B">
        <w:tab/>
        <w:t>f)</w:t>
      </w:r>
      <w:r w:rsidRPr="0000750B">
        <w:tab/>
        <w:t>отсутствуют данные о масштабах торговли людьми в государстве-участнике, в частности о числе случаев торговли женщинами и детьми.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84.</w:t>
      </w:r>
      <w:r w:rsidRPr="0000750B">
        <w:tab/>
      </w:r>
      <w:r w:rsidRPr="0000750B">
        <w:rPr>
          <w:b/>
        </w:rPr>
        <w:t>Комитет рекомендует государству-участнику: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a)</w:t>
      </w:r>
      <w:r w:rsidRPr="0000750B">
        <w:rPr>
          <w:b/>
        </w:rPr>
        <w:tab/>
        <w:t>принять всеобъемлющий закон о борьбе с торговлей людьми;</w:t>
      </w:r>
    </w:p>
    <w:p w:rsidR="00CA752A" w:rsidRPr="0000750B" w:rsidRDefault="003F0AD5" w:rsidP="00CA752A">
      <w:pPr>
        <w:pStyle w:val="SingleTxtGR"/>
        <w:rPr>
          <w:b/>
        </w:rPr>
      </w:pPr>
      <w:r w:rsidRPr="00B66661">
        <w:rPr>
          <w:b/>
        </w:rPr>
        <w:tab/>
      </w:r>
      <w:r w:rsidR="00CA752A" w:rsidRPr="0000750B">
        <w:rPr>
          <w:b/>
        </w:rPr>
        <w:t>b)</w:t>
      </w:r>
      <w:r w:rsidR="00CA752A" w:rsidRPr="0000750B">
        <w:rPr>
          <w:b/>
        </w:rPr>
        <w:tab/>
        <w:t>продолжать прилагать усилия в целях профилактики, предо</w:t>
      </w:r>
      <w:r w:rsidR="00CA752A" w:rsidRPr="0000750B">
        <w:rPr>
          <w:b/>
        </w:rPr>
        <w:t>т</w:t>
      </w:r>
      <w:r w:rsidR="00CA752A" w:rsidRPr="0000750B">
        <w:rPr>
          <w:b/>
        </w:rPr>
        <w:t>вращения пресечения торговли людьми, в том числе на региональном уровне и в сотрудничестве с соседними странами, а также посредством а</w:t>
      </w:r>
      <w:r w:rsidR="00CA752A" w:rsidRPr="0000750B">
        <w:rPr>
          <w:b/>
        </w:rPr>
        <w:t>к</w:t>
      </w:r>
      <w:r w:rsidR="00CA752A" w:rsidRPr="0000750B">
        <w:rPr>
          <w:b/>
        </w:rPr>
        <w:t>тивизации межучережденческого сотрудничества по борьбе с торговлей людьми, в соответствии с целью 5.2 в области устойчивого развития;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с)</w:t>
      </w:r>
      <w:r w:rsidRPr="0000750B">
        <w:rPr>
          <w:b/>
        </w:rPr>
        <w:tab/>
        <w:t>активизировать усилия по выявлению жертв и обеспечить з</w:t>
      </w:r>
      <w:r w:rsidRPr="0000750B">
        <w:rPr>
          <w:b/>
        </w:rPr>
        <w:t>а</w:t>
      </w:r>
      <w:r w:rsidRPr="0000750B">
        <w:rPr>
          <w:b/>
        </w:rPr>
        <w:t>щиту и помощь всем жертвам торговли людьми, в частности путем пред</w:t>
      </w:r>
      <w:r w:rsidRPr="0000750B">
        <w:rPr>
          <w:b/>
        </w:rPr>
        <w:t>о</w:t>
      </w:r>
      <w:r w:rsidRPr="0000750B">
        <w:rPr>
          <w:b/>
        </w:rPr>
        <w:t>ставления им убежища, медицинской помощи, психосоциальной и другой помощи для содейст</w:t>
      </w:r>
      <w:r w:rsidR="007617BD">
        <w:rPr>
          <w:b/>
        </w:rPr>
        <w:t xml:space="preserve">вия их </w:t>
      </w:r>
      <w:proofErr w:type="spellStart"/>
      <w:r w:rsidR="007617BD">
        <w:rPr>
          <w:b/>
        </w:rPr>
        <w:t>реинтеграции</w:t>
      </w:r>
      <w:proofErr w:type="spellEnd"/>
      <w:r w:rsidR="007617BD">
        <w:rPr>
          <w:b/>
        </w:rPr>
        <w:t xml:space="preserve"> в общество;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d)</w:t>
      </w:r>
      <w:r w:rsidRPr="0000750B">
        <w:rPr>
          <w:b/>
        </w:rPr>
        <w:tab/>
        <w:t>принять меры для защиты жертв торговли людьми от пресл</w:t>
      </w:r>
      <w:r w:rsidRPr="0000750B">
        <w:rPr>
          <w:b/>
        </w:rPr>
        <w:t>е</w:t>
      </w:r>
      <w:r w:rsidRPr="0000750B">
        <w:rPr>
          <w:b/>
        </w:rPr>
        <w:t>дования, задержания или наказания за осуществляемую ими деятельность, которая является прямым следствием того, что они стали жертвами то</w:t>
      </w:r>
      <w:r w:rsidRPr="0000750B">
        <w:rPr>
          <w:b/>
        </w:rPr>
        <w:t>р</w:t>
      </w:r>
      <w:r w:rsidRPr="0000750B">
        <w:rPr>
          <w:b/>
        </w:rPr>
        <w:t>говли людьми;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e)</w:t>
      </w:r>
      <w:r w:rsidRPr="0000750B">
        <w:rPr>
          <w:b/>
        </w:rPr>
        <w:tab/>
        <w:t>оценить масштабы торговли людьми и наладить систематич</w:t>
      </w:r>
      <w:r w:rsidRPr="0000750B">
        <w:rPr>
          <w:b/>
        </w:rPr>
        <w:t>е</w:t>
      </w:r>
      <w:r w:rsidRPr="0000750B">
        <w:rPr>
          <w:b/>
        </w:rPr>
        <w:t>ский сбор дезагрегированных данных в целях повышения эффективности борьбы с торговлей людьми, особенно женщинами и детьми, а также пр</w:t>
      </w:r>
      <w:r w:rsidRPr="0000750B">
        <w:rPr>
          <w:b/>
        </w:rPr>
        <w:t>и</w:t>
      </w:r>
      <w:r w:rsidRPr="0000750B">
        <w:rPr>
          <w:b/>
        </w:rPr>
        <w:t>влекать виновных к ответственности;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rPr>
          <w:b/>
        </w:rPr>
        <w:tab/>
        <w:t>f)</w:t>
      </w:r>
      <w:r w:rsidRPr="0000750B">
        <w:rPr>
          <w:b/>
        </w:rPr>
        <w:tab/>
        <w:t>усилить подготовку сотрудников правоохранительных органов, судей, прокуроров, инспекторов труда, преподавателей, медицинских р</w:t>
      </w:r>
      <w:r w:rsidRPr="0000750B">
        <w:rPr>
          <w:b/>
        </w:rPr>
        <w:t>а</w:t>
      </w:r>
      <w:r w:rsidRPr="0000750B">
        <w:rPr>
          <w:b/>
        </w:rPr>
        <w:t>ботников и сотрудников посольств и консульств и обеспечить широкое распространение информации о торговле людьми и оказании помощи жертвам</w:t>
      </w:r>
      <w:r w:rsidRPr="00616306">
        <w:rPr>
          <w:b/>
        </w:rPr>
        <w:t>.</w:t>
      </w:r>
    </w:p>
    <w:p w:rsidR="00CA752A" w:rsidRPr="0000750B" w:rsidRDefault="00CA752A" w:rsidP="008F5204">
      <w:pPr>
        <w:pStyle w:val="H23GR"/>
      </w:pPr>
      <w:r w:rsidRPr="0000750B">
        <w:tab/>
      </w:r>
      <w:r w:rsidRPr="0000750B">
        <w:tab/>
        <w:t>Меры по решению проблем трудящихся-мигрантов с неурегулированным статусом</w:t>
      </w:r>
    </w:p>
    <w:p w:rsidR="00CA752A" w:rsidRPr="0000750B" w:rsidRDefault="00CA752A" w:rsidP="00CA752A">
      <w:pPr>
        <w:pStyle w:val="SingleTxtGR"/>
      </w:pPr>
      <w:r w:rsidRPr="0000750B">
        <w:t>85.</w:t>
      </w:r>
      <w:r w:rsidRPr="0000750B">
        <w:tab/>
        <w:t>Комитет обеспокоен широким распространением в государстве-участнике неформального сектора, в основном в компаниях с низким уровнем производ</w:t>
      </w:r>
      <w:r w:rsidRPr="0000750B">
        <w:t>и</w:t>
      </w:r>
      <w:r w:rsidRPr="0000750B">
        <w:t>тельности, что создает благоприятную среду для незарегистрированной занят</w:t>
      </w:r>
      <w:r w:rsidRPr="0000750B">
        <w:t>о</w:t>
      </w:r>
      <w:r w:rsidRPr="0000750B">
        <w:t>сти трудящихся-мигрантов на нескольких уровнях, нехваткой возможностей для легализации трудящихся-мигрантов, не имеющих постоянного статуса, в гос</w:t>
      </w:r>
      <w:r w:rsidRPr="0000750B">
        <w:t>у</w:t>
      </w:r>
      <w:r w:rsidRPr="0000750B">
        <w:t>дарстве-участнике.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86.</w:t>
      </w:r>
      <w:r w:rsidRPr="0000750B">
        <w:tab/>
      </w:r>
      <w:r w:rsidRPr="0000750B">
        <w:rPr>
          <w:b/>
        </w:rPr>
        <w:t>Комитет рекомендует государству-участнику принять соответству</w:t>
      </w:r>
      <w:r w:rsidRPr="0000750B">
        <w:rPr>
          <w:b/>
        </w:rPr>
        <w:t>ю</w:t>
      </w:r>
      <w:r w:rsidRPr="0000750B">
        <w:rPr>
          <w:b/>
        </w:rPr>
        <w:t>щие меры к тому, чтобы предусмотреть создание процедур для упорядоч</w:t>
      </w:r>
      <w:r w:rsidRPr="0000750B">
        <w:rPr>
          <w:b/>
        </w:rPr>
        <w:t>е</w:t>
      </w:r>
      <w:r w:rsidRPr="0000750B">
        <w:rPr>
          <w:b/>
        </w:rPr>
        <w:t>ния ситуации трудящихся-мигрантов с неурегулированным статусом на основе применения принципа недискриминации, с тем чтобы не увеков</w:t>
      </w:r>
      <w:r w:rsidRPr="0000750B">
        <w:rPr>
          <w:b/>
        </w:rPr>
        <w:t>е</w:t>
      </w:r>
      <w:r w:rsidRPr="0000750B">
        <w:rPr>
          <w:b/>
        </w:rPr>
        <w:t>чивать такую ситуацию и информировать трудящиеся-мигранты с неур</w:t>
      </w:r>
      <w:r w:rsidRPr="0000750B">
        <w:rPr>
          <w:b/>
        </w:rPr>
        <w:t>е</w:t>
      </w:r>
      <w:r w:rsidRPr="0000750B">
        <w:rPr>
          <w:b/>
        </w:rPr>
        <w:t>гулированным статусом о таких процедурах.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7.</w:t>
      </w:r>
      <w:r w:rsidRPr="001D0FC4">
        <w:tab/>
        <w:t>Последующие меры и распространение информации</w:t>
      </w:r>
    </w:p>
    <w:p w:rsidR="00CA752A" w:rsidRPr="001D0FC4" w:rsidRDefault="00CA752A" w:rsidP="001D0FC4">
      <w:pPr>
        <w:pStyle w:val="H23GR"/>
      </w:pPr>
      <w:r w:rsidRPr="001D0FC4">
        <w:tab/>
      </w:r>
      <w:r w:rsidRPr="001D0FC4">
        <w:tab/>
        <w:t>Последующие меры</w:t>
      </w:r>
    </w:p>
    <w:p w:rsidR="00CA752A" w:rsidRPr="0000750B" w:rsidRDefault="00CA752A" w:rsidP="00CA752A">
      <w:pPr>
        <w:pStyle w:val="SingleTxtGR"/>
        <w:rPr>
          <w:b/>
          <w:bCs/>
        </w:rPr>
      </w:pPr>
      <w:r w:rsidRPr="0000750B">
        <w:t>87.</w:t>
      </w:r>
      <w:r w:rsidRPr="0000750B">
        <w:tab/>
      </w:r>
      <w:r w:rsidRPr="0000750B">
        <w:rPr>
          <w:b/>
        </w:rPr>
        <w:t>Комитет просит государство-участник включить в его следующий периодический доклад подробную информацию о принятых мерах по в</w:t>
      </w:r>
      <w:r w:rsidRPr="0000750B">
        <w:rPr>
          <w:b/>
        </w:rPr>
        <w:t>ы</w:t>
      </w:r>
      <w:r w:rsidRPr="0000750B">
        <w:rPr>
          <w:b/>
        </w:rPr>
        <w:t>полнению рекомендаций, изложенных в настоящих заключительных зам</w:t>
      </w:r>
      <w:r w:rsidRPr="0000750B">
        <w:rPr>
          <w:b/>
        </w:rPr>
        <w:t>е</w:t>
      </w:r>
      <w:r w:rsidRPr="0000750B">
        <w:rPr>
          <w:b/>
        </w:rPr>
        <w:t>чаниях. Комитет рекомендует государству-участнику принять все надл</w:t>
      </w:r>
      <w:r w:rsidRPr="0000750B">
        <w:rPr>
          <w:b/>
        </w:rPr>
        <w:t>е</w:t>
      </w:r>
      <w:r w:rsidRPr="0000750B">
        <w:rPr>
          <w:b/>
        </w:rPr>
        <w:t>жащие меры для обеспечения выполнения этих рекомендаций, в том числе посредством их препровождения для рассмотрения и принятия мер членам правительства и парламента, судебным органам и местным властям.</w:t>
      </w:r>
    </w:p>
    <w:p w:rsidR="00CA752A" w:rsidRPr="0000750B" w:rsidRDefault="00CA752A" w:rsidP="00CA752A">
      <w:pPr>
        <w:pStyle w:val="SingleTxtGR"/>
        <w:rPr>
          <w:b/>
        </w:rPr>
      </w:pPr>
      <w:r w:rsidRPr="008F5204">
        <w:t>88.</w:t>
      </w:r>
      <w:r w:rsidRPr="0000750B">
        <w:rPr>
          <w:b/>
        </w:rPr>
        <w:tab/>
        <w:t>Комитет просит государство-участник привлечь организации гра</w:t>
      </w:r>
      <w:r w:rsidRPr="0000750B">
        <w:rPr>
          <w:b/>
        </w:rPr>
        <w:t>ж</w:t>
      </w:r>
      <w:r w:rsidRPr="0000750B">
        <w:rPr>
          <w:b/>
        </w:rPr>
        <w:t>данского общества к выполнению рекомендаций, содержащихся в насто</w:t>
      </w:r>
      <w:r w:rsidRPr="0000750B">
        <w:rPr>
          <w:b/>
        </w:rPr>
        <w:t>я</w:t>
      </w:r>
      <w:r w:rsidRPr="0000750B">
        <w:rPr>
          <w:b/>
        </w:rPr>
        <w:t>щих заключительных замечаниях.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Доклад о принятии последующих мер</w:t>
      </w:r>
    </w:p>
    <w:p w:rsidR="00CA752A" w:rsidRPr="0000750B" w:rsidRDefault="00CA752A" w:rsidP="00CA752A">
      <w:pPr>
        <w:pStyle w:val="SingleTxtGR"/>
        <w:rPr>
          <w:b/>
          <w:bCs/>
        </w:rPr>
      </w:pPr>
      <w:r w:rsidRPr="008F5204">
        <w:t>89.</w:t>
      </w:r>
      <w:r w:rsidRPr="0000750B">
        <w:rPr>
          <w:b/>
        </w:rPr>
        <w:tab/>
        <w:t>Комитет просит государство-участник представить в течение двух лет, т.е. к 1 мая 2018 года, письменную информацию о выполнении рек</w:t>
      </w:r>
      <w:r w:rsidRPr="0000750B">
        <w:rPr>
          <w:b/>
        </w:rPr>
        <w:t>о</w:t>
      </w:r>
      <w:r w:rsidRPr="0000750B">
        <w:rPr>
          <w:b/>
        </w:rPr>
        <w:t>мендаций, содержащихся в пунктах 18, 48, 52 и 54 выше.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ab/>
        <w:t>Распространение информации</w:t>
      </w:r>
    </w:p>
    <w:p w:rsidR="00CA752A" w:rsidRPr="0000750B" w:rsidRDefault="00CA752A" w:rsidP="00CA752A">
      <w:pPr>
        <w:pStyle w:val="SingleTxtGR"/>
        <w:rPr>
          <w:b/>
          <w:bCs/>
        </w:rPr>
      </w:pPr>
      <w:r w:rsidRPr="008F5204">
        <w:t>90.</w:t>
      </w:r>
      <w:r w:rsidRPr="0000750B">
        <w:rPr>
          <w:b/>
        </w:rPr>
        <w:tab/>
        <w:t>Комитет также просит государство-участник широко распространить информацию о настоящих заключительных замечаниях, в том числе среди государственных учреждений, законодательных и судебных органов, соо</w:t>
      </w:r>
      <w:r w:rsidRPr="0000750B">
        <w:rPr>
          <w:b/>
        </w:rPr>
        <w:t>т</w:t>
      </w:r>
      <w:r w:rsidRPr="0000750B">
        <w:rPr>
          <w:b/>
        </w:rPr>
        <w:t>ветствующих местных властей, неправительственных организаций, других членов гражданского общества и населения в целом, в целях повышени</w:t>
      </w:r>
      <w:r w:rsidR="007617BD">
        <w:rPr>
          <w:b/>
        </w:rPr>
        <w:t>я уровня осведомленности о них.</w:t>
      </w:r>
    </w:p>
    <w:p w:rsidR="00CA752A" w:rsidRPr="001D0FC4" w:rsidRDefault="00CA752A" w:rsidP="001D0FC4">
      <w:pPr>
        <w:pStyle w:val="H23GR"/>
      </w:pPr>
      <w:r w:rsidRPr="001D0FC4">
        <w:tab/>
        <w:t>8.</w:t>
      </w:r>
      <w:r w:rsidRPr="001D0FC4">
        <w:tab/>
        <w:t>Техническая помощь</w:t>
      </w:r>
    </w:p>
    <w:p w:rsidR="00CA752A" w:rsidRPr="0000750B" w:rsidRDefault="00CA752A" w:rsidP="00CA752A">
      <w:pPr>
        <w:pStyle w:val="SingleTxtGR"/>
        <w:rPr>
          <w:b/>
        </w:rPr>
      </w:pPr>
      <w:r w:rsidRPr="008F5204">
        <w:t>91.</w:t>
      </w:r>
      <w:r w:rsidRPr="0000750B">
        <w:rPr>
          <w:b/>
        </w:rPr>
        <w:tab/>
        <w:t>Комитет рекомендует государству-участнику воспользоваться межд</w:t>
      </w:r>
      <w:r w:rsidRPr="0000750B">
        <w:rPr>
          <w:b/>
        </w:rPr>
        <w:t>у</w:t>
      </w:r>
      <w:r w:rsidRPr="0000750B">
        <w:rPr>
          <w:b/>
        </w:rPr>
        <w:t>народной помощью, включая техническую поддержку, для разработки комплексной программы, направленной на выполнение вышеуказанных рекомендаций и осуществление Конвенции в целом. Комитет также приз</w:t>
      </w:r>
      <w:r w:rsidRPr="0000750B">
        <w:rPr>
          <w:b/>
        </w:rPr>
        <w:t>ы</w:t>
      </w:r>
      <w:r w:rsidRPr="0000750B">
        <w:rPr>
          <w:b/>
        </w:rPr>
        <w:t>вает государство-участник продолжать сотрудничество со специализир</w:t>
      </w:r>
      <w:r w:rsidRPr="0000750B">
        <w:rPr>
          <w:b/>
        </w:rPr>
        <w:t>о</w:t>
      </w:r>
      <w:r w:rsidRPr="0000750B">
        <w:rPr>
          <w:b/>
        </w:rPr>
        <w:t>ванными учреждениями и программами системы Организации Объед</w:t>
      </w:r>
      <w:r w:rsidRPr="0000750B">
        <w:rPr>
          <w:b/>
        </w:rPr>
        <w:t>и</w:t>
      </w:r>
      <w:r w:rsidRPr="0000750B">
        <w:rPr>
          <w:b/>
        </w:rPr>
        <w:t>ненных Наций, в том числе с УВКПЧ, по вопросам технической помощи и наращивания потенц</w:t>
      </w:r>
      <w:r w:rsidR="007617BD">
        <w:rPr>
          <w:b/>
        </w:rPr>
        <w:t>иала по представлению докладов.</w:t>
      </w:r>
    </w:p>
    <w:p w:rsidR="00CA752A" w:rsidRPr="001D0FC4" w:rsidRDefault="00CA752A" w:rsidP="001D0FC4">
      <w:pPr>
        <w:pStyle w:val="H23GR"/>
      </w:pPr>
      <w:r w:rsidRPr="0000750B">
        <w:rPr>
          <w:b w:val="0"/>
        </w:rPr>
        <w:tab/>
      </w:r>
      <w:r w:rsidRPr="001D0FC4">
        <w:t>9.</w:t>
      </w:r>
      <w:r w:rsidRPr="001D0FC4">
        <w:tab/>
        <w:t>Следующий периодический доклад</w:t>
      </w:r>
    </w:p>
    <w:p w:rsidR="00CA752A" w:rsidRPr="0000750B" w:rsidRDefault="00CA752A" w:rsidP="00CA752A">
      <w:pPr>
        <w:pStyle w:val="SingleTxtGR"/>
      </w:pPr>
      <w:r w:rsidRPr="008F5204">
        <w:t>92.</w:t>
      </w:r>
      <w:r w:rsidRPr="0000750B">
        <w:rPr>
          <w:b/>
        </w:rPr>
        <w:tab/>
        <w:t>Комитет просит государство-участник представить свой второй п</w:t>
      </w:r>
      <w:r w:rsidRPr="0000750B">
        <w:rPr>
          <w:b/>
        </w:rPr>
        <w:t>е</w:t>
      </w:r>
      <w:r w:rsidRPr="0000750B">
        <w:rPr>
          <w:b/>
        </w:rPr>
        <w:t>риодический доклад не позднее 1 мая 2021 года и включить в него инфо</w:t>
      </w:r>
      <w:r w:rsidRPr="0000750B">
        <w:rPr>
          <w:b/>
        </w:rPr>
        <w:t>р</w:t>
      </w:r>
      <w:r w:rsidRPr="0000750B">
        <w:rPr>
          <w:b/>
        </w:rPr>
        <w:t>мацию об осуществлении настоящих заключительных замечаний. Госуда</w:t>
      </w:r>
      <w:r w:rsidRPr="0000750B">
        <w:rPr>
          <w:b/>
        </w:rPr>
        <w:t>р</w:t>
      </w:r>
      <w:r w:rsidRPr="0000750B">
        <w:rPr>
          <w:b/>
        </w:rPr>
        <w:t>ство-участник может воспользоваться другой, упрощенной процедурой о</w:t>
      </w:r>
      <w:r w:rsidRPr="0000750B">
        <w:rPr>
          <w:b/>
        </w:rPr>
        <w:t>т</w:t>
      </w:r>
      <w:r w:rsidRPr="0000750B">
        <w:rPr>
          <w:b/>
        </w:rPr>
        <w:t>четности, в соответствии с которой Комитет составляет и принимает пер</w:t>
      </w:r>
      <w:r w:rsidRPr="0000750B">
        <w:rPr>
          <w:b/>
        </w:rPr>
        <w:t>е</w:t>
      </w:r>
      <w:r w:rsidRPr="0000750B">
        <w:rPr>
          <w:b/>
        </w:rPr>
        <w:t>чень вопросов, препровождаемый государству-участнику до представления его следующего доклада. Ответы государства-участника на такой перечень вопросов будут представлять собой его доклад в соответствии со статьей 73 Конвенции.</w:t>
      </w:r>
    </w:p>
    <w:p w:rsidR="00CA752A" w:rsidRPr="0000750B" w:rsidRDefault="00CA752A" w:rsidP="00CA752A">
      <w:pPr>
        <w:pStyle w:val="SingleTxtGR"/>
        <w:rPr>
          <w:b/>
        </w:rPr>
      </w:pPr>
      <w:r w:rsidRPr="0000750B">
        <w:t>93.</w:t>
      </w:r>
      <w:r w:rsidRPr="0000750B">
        <w:tab/>
      </w:r>
      <w:r w:rsidRPr="0000750B">
        <w:rPr>
          <w:b/>
        </w:rPr>
        <w:t>Комитет обращает внимание государства-участника на свои соглас</w:t>
      </w:r>
      <w:r w:rsidRPr="0000750B">
        <w:rPr>
          <w:b/>
        </w:rPr>
        <w:t>о</w:t>
      </w:r>
      <w:r w:rsidRPr="0000750B">
        <w:rPr>
          <w:b/>
        </w:rPr>
        <w:t>ванные руководящие принципы представления докладов по конкретным договорам (CMW/C/2008/1) и напоминает, что такие доклады должны соо</w:t>
      </w:r>
      <w:r w:rsidRPr="0000750B">
        <w:rPr>
          <w:b/>
        </w:rPr>
        <w:t>т</w:t>
      </w:r>
      <w:r w:rsidRPr="0000750B">
        <w:rPr>
          <w:b/>
        </w:rPr>
        <w:t>ветствовать руководящим принци</w:t>
      </w:r>
      <w:r w:rsidR="008F5204">
        <w:rPr>
          <w:b/>
        </w:rPr>
        <w:t>пам и по объему не превышать 21</w:t>
      </w:r>
      <w:r w:rsidR="008F5204">
        <w:rPr>
          <w:b/>
          <w:lang w:val="en-US"/>
        </w:rPr>
        <w:t> </w:t>
      </w:r>
      <w:r w:rsidRPr="0000750B">
        <w:rPr>
          <w:b/>
        </w:rPr>
        <w:t>200</w:t>
      </w:r>
      <w:r w:rsidR="008F5204">
        <w:rPr>
          <w:b/>
          <w:lang w:val="en-US"/>
        </w:rPr>
        <w:t> </w:t>
      </w:r>
      <w:r w:rsidRPr="0000750B">
        <w:rPr>
          <w:b/>
        </w:rPr>
        <w:t>слов (резолюция 68/268 Генеральной Ассамблеи). В</w:t>
      </w:r>
      <w:r w:rsidR="0000750B" w:rsidRPr="0000750B">
        <w:rPr>
          <w:b/>
        </w:rPr>
        <w:t xml:space="preserve"> </w:t>
      </w:r>
      <w:r w:rsidRPr="0000750B">
        <w:rPr>
          <w:b/>
        </w:rPr>
        <w:t>случае предста</w:t>
      </w:r>
      <w:r w:rsidRPr="0000750B">
        <w:rPr>
          <w:b/>
        </w:rPr>
        <w:t>в</w:t>
      </w:r>
      <w:r w:rsidRPr="0000750B">
        <w:rPr>
          <w:b/>
        </w:rPr>
        <w:t>ления доклада, превышающего установленный объем, государству-участнику будет предложено сократить доклад в соответствии с вышеуп</w:t>
      </w:r>
      <w:r w:rsidRPr="0000750B">
        <w:rPr>
          <w:b/>
        </w:rPr>
        <w:t>о</w:t>
      </w:r>
      <w:r w:rsidRPr="0000750B">
        <w:rPr>
          <w:b/>
        </w:rPr>
        <w:t>мянутыми руководящими принципами. Если государство-участник не сможет сократить доклад и представить его вновь, то нельзя будет гара</w:t>
      </w:r>
      <w:r w:rsidRPr="0000750B">
        <w:rPr>
          <w:b/>
        </w:rPr>
        <w:t>н</w:t>
      </w:r>
      <w:r w:rsidRPr="0000750B">
        <w:rPr>
          <w:b/>
        </w:rPr>
        <w:t>тировать перевод доклада для целей рассмотрения договорным органом.</w:t>
      </w:r>
    </w:p>
    <w:p w:rsidR="00CA752A" w:rsidRPr="0000750B" w:rsidRDefault="00CA752A" w:rsidP="00CA752A">
      <w:pPr>
        <w:pStyle w:val="SingleTxtGR"/>
        <w:rPr>
          <w:b/>
        </w:rPr>
      </w:pPr>
      <w:r w:rsidRPr="008F5204">
        <w:t>94.</w:t>
      </w:r>
      <w:r w:rsidRPr="0000750B">
        <w:rPr>
          <w:b/>
        </w:rPr>
        <w:tab/>
        <w:t>Комитет просит государство-участник обеспечить широкое участие всех министерств и государственных органов в подготовке его следующего периодического доклада (или ответов на перечень вопросов, в случае пр</w:t>
      </w:r>
      <w:r w:rsidRPr="0000750B">
        <w:rPr>
          <w:b/>
        </w:rPr>
        <w:t>и</w:t>
      </w:r>
      <w:r w:rsidRPr="0000750B">
        <w:rPr>
          <w:b/>
        </w:rPr>
        <w:t>менения упрощенной процедуры представления докладов) и в то же время провести широкие консультации со всеми соответствующими заинтерес</w:t>
      </w:r>
      <w:r w:rsidRPr="0000750B">
        <w:rPr>
          <w:b/>
        </w:rPr>
        <w:t>о</w:t>
      </w:r>
      <w:r w:rsidRPr="0000750B">
        <w:rPr>
          <w:b/>
        </w:rPr>
        <w:t>ванными сторонами, включая гражданское общество, трудящихся-мигрантов и правозащитные организации.</w:t>
      </w:r>
    </w:p>
    <w:p w:rsidR="00CA752A" w:rsidRPr="0000750B" w:rsidRDefault="00CA752A" w:rsidP="00CA752A">
      <w:pPr>
        <w:pStyle w:val="SingleTxtGR"/>
        <w:rPr>
          <w:b/>
        </w:rPr>
      </w:pPr>
      <w:r w:rsidRPr="008F5204">
        <w:t>95.</w:t>
      </w:r>
      <w:r w:rsidRPr="0000750B">
        <w:rPr>
          <w:b/>
        </w:rPr>
        <w:tab/>
      </w:r>
      <w:proofErr w:type="gramStart"/>
      <w:r w:rsidRPr="0000750B">
        <w:rPr>
          <w:b/>
        </w:rPr>
        <w:t>Комитет также предлагает го</w:t>
      </w:r>
      <w:r w:rsidR="00042C19">
        <w:rPr>
          <w:b/>
        </w:rPr>
        <w:t>сударству-участнику представить</w:t>
      </w:r>
      <w:r w:rsidR="00042C19">
        <w:rPr>
          <w:b/>
        </w:rPr>
        <w:br/>
      </w:r>
      <w:r w:rsidRPr="0000750B">
        <w:rPr>
          <w:b/>
        </w:rPr>
        <w:t>обно</w:t>
      </w:r>
      <w:r w:rsidRPr="0000750B">
        <w:rPr>
          <w:b/>
        </w:rPr>
        <w:t>в</w:t>
      </w:r>
      <w:r w:rsidRPr="0000750B">
        <w:rPr>
          <w:b/>
        </w:rPr>
        <w:t>ленный общий базовый док</w:t>
      </w:r>
      <w:r w:rsidR="00042C19">
        <w:rPr>
          <w:b/>
        </w:rPr>
        <w:t>умент, не превышающий по объему</w:t>
      </w:r>
      <w:r w:rsidR="00042C19">
        <w:rPr>
          <w:b/>
        </w:rPr>
        <w:br/>
      </w:r>
      <w:r w:rsidRPr="0000750B">
        <w:rPr>
          <w:b/>
        </w:rPr>
        <w:t>42 400 слов, подготовленный в соответствии с требованиями согласова</w:t>
      </w:r>
      <w:r w:rsidRPr="0000750B">
        <w:rPr>
          <w:b/>
        </w:rPr>
        <w:t>н</w:t>
      </w:r>
      <w:r w:rsidRPr="0000750B">
        <w:rPr>
          <w:b/>
        </w:rPr>
        <w:t>ных рук</w:t>
      </w:r>
      <w:r w:rsidRPr="0000750B">
        <w:rPr>
          <w:b/>
        </w:rPr>
        <w:t>о</w:t>
      </w:r>
      <w:r w:rsidRPr="0000750B">
        <w:rPr>
          <w:b/>
        </w:rPr>
        <w:t>водящих принципов представления докладов по международным догов</w:t>
      </w:r>
      <w:r w:rsidRPr="0000750B">
        <w:rPr>
          <w:b/>
        </w:rPr>
        <w:t>о</w:t>
      </w:r>
      <w:r w:rsidRPr="0000750B">
        <w:rPr>
          <w:b/>
        </w:rPr>
        <w:t>рам о правах человека, включая руководящие принципы подготовки общего базового документа и документов по конкретным договорам, кот</w:t>
      </w:r>
      <w:r w:rsidRPr="0000750B">
        <w:rPr>
          <w:b/>
        </w:rPr>
        <w:t>о</w:t>
      </w:r>
      <w:r w:rsidRPr="0000750B">
        <w:rPr>
          <w:b/>
        </w:rPr>
        <w:t>рые были утверждены на пятом межкомитетском совещании договорных органов по правам человека в июне 2006 года</w:t>
      </w:r>
      <w:proofErr w:type="gramEnd"/>
      <w:r w:rsidRPr="0000750B">
        <w:rPr>
          <w:b/>
        </w:rPr>
        <w:t xml:space="preserve"> (HRI/MC/2006/3 и Corr.1).</w:t>
      </w:r>
    </w:p>
    <w:p w:rsidR="0000750B" w:rsidRPr="000B2256" w:rsidRDefault="000B2256" w:rsidP="000B22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06F2" w:rsidRPr="000B2256" w:rsidRDefault="002106F2" w:rsidP="000B2256">
      <w:pPr>
        <w:spacing w:before="240"/>
        <w:jc w:val="center"/>
        <w:rPr>
          <w:u w:val="single"/>
        </w:rPr>
      </w:pPr>
    </w:p>
    <w:sectPr w:rsidR="002106F2" w:rsidRPr="000B2256" w:rsidSect="002106F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61" w:rsidRDefault="00B66661" w:rsidP="00B471C5">
      <w:r>
        <w:separator/>
      </w:r>
    </w:p>
  </w:endnote>
  <w:endnote w:type="continuationSeparator" w:id="0">
    <w:p w:rsidR="00B66661" w:rsidRDefault="00B6666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1" w:rsidRPr="009A6F4A" w:rsidRDefault="00B66661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62119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6-</w:t>
    </w:r>
    <w:r w:rsidRPr="008A3F9F">
      <w:rPr>
        <w:lang w:val="en-US"/>
      </w:rPr>
      <w:t>08086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1" w:rsidRPr="009A6F4A" w:rsidRDefault="00B66661">
    <w:pPr>
      <w:pStyle w:val="a7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6-</w:t>
    </w:r>
    <w:r w:rsidRPr="008A3F9F">
      <w:rPr>
        <w:lang w:val="en-US"/>
      </w:rPr>
      <w:t>08086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62119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66661" w:rsidRPr="00797A78" w:rsidTr="00CA752A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66661" w:rsidRPr="008A3F9F" w:rsidRDefault="00B66661" w:rsidP="00CA752A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Pr="008A3F9F">
            <w:rPr>
              <w:lang w:val="en-US"/>
            </w:rPr>
            <w:t>08086</w:t>
          </w:r>
          <w:r w:rsidRPr="001C3ABC">
            <w:rPr>
              <w:lang w:val="en-US"/>
            </w:rPr>
            <w:t xml:space="preserve"> (R)</w:t>
          </w:r>
          <w:r>
            <w:t xml:space="preserve">  180716  </w:t>
          </w:r>
          <w:r>
            <w:rPr>
              <w:lang w:val="en-US"/>
            </w:rPr>
            <w:t>19</w:t>
          </w:r>
          <w:r>
            <w:t>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66661" w:rsidRDefault="00B66661" w:rsidP="00CA752A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27EF69F" wp14:editId="4BC811E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66661" w:rsidRDefault="00B66661" w:rsidP="00CA752A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CMW/C/TUR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MW/C/TUR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661" w:rsidRPr="00797A78" w:rsidTr="00CA752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66661" w:rsidRPr="008A3F9F" w:rsidRDefault="00B66661" w:rsidP="00CA752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A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66661" w:rsidRDefault="00B66661" w:rsidP="00CA752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66661" w:rsidRDefault="00B66661" w:rsidP="00CA752A"/>
      </w:tc>
    </w:tr>
  </w:tbl>
  <w:p w:rsidR="00B66661" w:rsidRDefault="00B66661" w:rsidP="00CA752A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61" w:rsidRPr="009141DC" w:rsidRDefault="00B6666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66661" w:rsidRPr="00D1261C" w:rsidRDefault="00B6666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66661" w:rsidRPr="00CA752A" w:rsidRDefault="00B66661">
      <w:pPr>
        <w:pStyle w:val="aa"/>
        <w:rPr>
          <w:lang w:val="ru-RU"/>
        </w:rPr>
      </w:pPr>
      <w:r>
        <w:tab/>
      </w:r>
      <w:r w:rsidRPr="00CA752A">
        <w:rPr>
          <w:rStyle w:val="a6"/>
          <w:vertAlign w:val="baseline"/>
          <w:lang w:val="ru-RU"/>
        </w:rPr>
        <w:t>*</w:t>
      </w:r>
      <w:r w:rsidRPr="00CA752A">
        <w:rPr>
          <w:lang w:val="ru-RU"/>
        </w:rPr>
        <w:t xml:space="preserve"> </w:t>
      </w:r>
      <w:r w:rsidRPr="00CA752A">
        <w:rPr>
          <w:lang w:val="ru-RU"/>
        </w:rPr>
        <w:tab/>
        <w:t>Приняты Комитетом на его двадцать четвертой сессии (11–22 апреля 2016 года).</w:t>
      </w:r>
    </w:p>
  </w:footnote>
  <w:footnote w:id="2">
    <w:p w:rsidR="00B66661" w:rsidRPr="00756C3C" w:rsidRDefault="00B66661" w:rsidP="00F15C33">
      <w:pPr>
        <w:pStyle w:val="aa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Повестка дня в области устойчивого развития на период до 2030 года была принята Генеральной Ассамблеей 25 сентября 2015 года в ее резолюции 70/1. Она включает 17</w:t>
      </w:r>
      <w:r>
        <w:rPr>
          <w:lang w:val="en-US"/>
        </w:rPr>
        <w:t> </w:t>
      </w:r>
      <w:r>
        <w:rPr>
          <w:lang w:val="ru-RU"/>
        </w:rPr>
        <w:t>целей в области устойчивого развития, которые в свою очередь разбиты на целевые показатели.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1" w:rsidRPr="008A3F9F" w:rsidRDefault="00B66661">
    <w:pPr>
      <w:pStyle w:val="a3"/>
      <w:rPr>
        <w:lang w:val="en-US"/>
      </w:rPr>
    </w:pPr>
    <w:r w:rsidRPr="008A3F9F">
      <w:rPr>
        <w:lang w:val="en-US"/>
      </w:rPr>
      <w:t>CMW/C/TUR/CO/1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1" w:rsidRPr="008A3F9F" w:rsidRDefault="00B66661">
    <w:pPr>
      <w:pStyle w:val="a3"/>
      <w:rPr>
        <w:lang w:val="en-US"/>
      </w:rPr>
    </w:pPr>
    <w:r>
      <w:rPr>
        <w:lang w:val="en-US"/>
      </w:rPr>
      <w:tab/>
    </w:r>
    <w:r w:rsidRPr="008A3F9F">
      <w:rPr>
        <w:lang w:val="en-US"/>
      </w:rPr>
      <w:t>CMW/C/TUR/CO/1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C9"/>
    <w:multiLevelType w:val="hybridMultilevel"/>
    <w:tmpl w:val="C032E86A"/>
    <w:lvl w:ilvl="0" w:tplc="2750A90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D513FC"/>
    <w:multiLevelType w:val="hybridMultilevel"/>
    <w:tmpl w:val="29A4C9AC"/>
    <w:lvl w:ilvl="0" w:tplc="5F14E1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47380"/>
    <w:multiLevelType w:val="hybridMultilevel"/>
    <w:tmpl w:val="A30C79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8A1F0B"/>
    <w:multiLevelType w:val="hybridMultilevel"/>
    <w:tmpl w:val="6C1E1E02"/>
    <w:lvl w:ilvl="0" w:tplc="0ADAAF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1342F05"/>
    <w:multiLevelType w:val="hybridMultilevel"/>
    <w:tmpl w:val="E5269A46"/>
    <w:lvl w:ilvl="0" w:tplc="21F2B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FF72C3"/>
    <w:multiLevelType w:val="hybridMultilevel"/>
    <w:tmpl w:val="32BE1EBE"/>
    <w:lvl w:ilvl="0" w:tplc="3F7021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E969E0"/>
    <w:multiLevelType w:val="hybridMultilevel"/>
    <w:tmpl w:val="B61AAC4C"/>
    <w:lvl w:ilvl="0" w:tplc="A784DE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06C0D56"/>
    <w:multiLevelType w:val="hybridMultilevel"/>
    <w:tmpl w:val="A712EA0E"/>
    <w:lvl w:ilvl="0" w:tplc="8E3069A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17630E7"/>
    <w:multiLevelType w:val="hybridMultilevel"/>
    <w:tmpl w:val="B4D62BDE"/>
    <w:lvl w:ilvl="0" w:tplc="B5285B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B01BCB"/>
    <w:multiLevelType w:val="hybridMultilevel"/>
    <w:tmpl w:val="F69C4182"/>
    <w:lvl w:ilvl="0" w:tplc="750A7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25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AF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5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C5A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0FE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D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C9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63263"/>
    <w:multiLevelType w:val="hybridMultilevel"/>
    <w:tmpl w:val="C0064714"/>
    <w:lvl w:ilvl="0" w:tplc="2DAECED8">
      <w:start w:val="1"/>
      <w:numFmt w:val="lowerLetter"/>
      <w:lvlText w:val="%1)"/>
      <w:lvlJc w:val="left"/>
      <w:pPr>
        <w:ind w:left="149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CD2777B"/>
    <w:multiLevelType w:val="hybridMultilevel"/>
    <w:tmpl w:val="80DACE06"/>
    <w:lvl w:ilvl="0" w:tplc="0AD4A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004085"/>
    <w:multiLevelType w:val="hybridMultilevel"/>
    <w:tmpl w:val="7494E792"/>
    <w:lvl w:ilvl="0" w:tplc="EAE6373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3E6B5333"/>
    <w:multiLevelType w:val="hybridMultilevel"/>
    <w:tmpl w:val="E1B445EE"/>
    <w:lvl w:ilvl="0" w:tplc="257C79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8724BA"/>
    <w:multiLevelType w:val="hybridMultilevel"/>
    <w:tmpl w:val="01741CA8"/>
    <w:lvl w:ilvl="0" w:tplc="B268B5E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1DB254C"/>
    <w:multiLevelType w:val="hybridMultilevel"/>
    <w:tmpl w:val="49D62794"/>
    <w:lvl w:ilvl="0" w:tplc="901C07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337C1"/>
    <w:multiLevelType w:val="hybridMultilevel"/>
    <w:tmpl w:val="A37411DA"/>
    <w:lvl w:ilvl="0" w:tplc="343EBE9E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D117A4"/>
    <w:multiLevelType w:val="hybridMultilevel"/>
    <w:tmpl w:val="497EB4F4"/>
    <w:lvl w:ilvl="0" w:tplc="D4763B7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F11A2F"/>
    <w:multiLevelType w:val="hybridMultilevel"/>
    <w:tmpl w:val="C60C70FC"/>
    <w:lvl w:ilvl="0" w:tplc="A142FB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C00BCB"/>
    <w:multiLevelType w:val="hybridMultilevel"/>
    <w:tmpl w:val="8466C494"/>
    <w:lvl w:ilvl="0" w:tplc="B54CCD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3F80C9D"/>
    <w:multiLevelType w:val="hybridMultilevel"/>
    <w:tmpl w:val="D26AD148"/>
    <w:lvl w:ilvl="0" w:tplc="5A025E02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4574989"/>
    <w:multiLevelType w:val="hybridMultilevel"/>
    <w:tmpl w:val="4B24FDAA"/>
    <w:lvl w:ilvl="0" w:tplc="1ED2A0EE">
      <w:start w:val="3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4644608"/>
    <w:multiLevelType w:val="hybridMultilevel"/>
    <w:tmpl w:val="6B54E906"/>
    <w:lvl w:ilvl="0" w:tplc="060C3E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0A1B47"/>
    <w:multiLevelType w:val="hybridMultilevel"/>
    <w:tmpl w:val="C24201E6"/>
    <w:lvl w:ilvl="0" w:tplc="12A248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5FD248A"/>
    <w:multiLevelType w:val="hybridMultilevel"/>
    <w:tmpl w:val="4880D092"/>
    <w:lvl w:ilvl="0" w:tplc="FF0860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8893A86"/>
    <w:multiLevelType w:val="hybridMultilevel"/>
    <w:tmpl w:val="D416D628"/>
    <w:lvl w:ilvl="0" w:tplc="7DC6A99A">
      <w:start w:val="1"/>
      <w:numFmt w:val="lowerLetter"/>
      <w:lvlText w:val="%1)"/>
      <w:lvlJc w:val="left"/>
      <w:pPr>
        <w:ind w:left="15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8">
    <w:nsid w:val="5A6D4E61"/>
    <w:multiLevelType w:val="hybridMultilevel"/>
    <w:tmpl w:val="FC54D8B6"/>
    <w:lvl w:ilvl="0" w:tplc="9ED870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34793"/>
    <w:multiLevelType w:val="hybridMultilevel"/>
    <w:tmpl w:val="0944C17C"/>
    <w:lvl w:ilvl="0" w:tplc="57246E1A">
      <w:start w:val="1"/>
      <w:numFmt w:val="lowerLetter"/>
      <w:lvlText w:val="%1)"/>
      <w:lvlJc w:val="left"/>
      <w:pPr>
        <w:ind w:left="1689" w:hanging="555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0612C2B"/>
    <w:multiLevelType w:val="hybridMultilevel"/>
    <w:tmpl w:val="40C8C770"/>
    <w:lvl w:ilvl="0" w:tplc="6CDC8E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0E45C91"/>
    <w:multiLevelType w:val="hybridMultilevel"/>
    <w:tmpl w:val="176CE7F6"/>
    <w:lvl w:ilvl="0" w:tplc="E5AA55EE">
      <w:start w:val="1"/>
      <w:numFmt w:val="lowerLetter"/>
      <w:lvlText w:val="%1)"/>
      <w:lvlJc w:val="left"/>
      <w:pPr>
        <w:ind w:left="2259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3">
    <w:nsid w:val="61901EAD"/>
    <w:multiLevelType w:val="hybridMultilevel"/>
    <w:tmpl w:val="066CACFA"/>
    <w:lvl w:ilvl="0" w:tplc="7FA69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85A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C5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D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219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CE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23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65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83C38"/>
    <w:multiLevelType w:val="hybridMultilevel"/>
    <w:tmpl w:val="2BB06D20"/>
    <w:lvl w:ilvl="0" w:tplc="31167E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D01AE"/>
    <w:multiLevelType w:val="hybridMultilevel"/>
    <w:tmpl w:val="21C85E3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713D0F00"/>
    <w:multiLevelType w:val="hybridMultilevel"/>
    <w:tmpl w:val="68AAAD06"/>
    <w:lvl w:ilvl="0" w:tplc="AB7C2980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AE74389"/>
    <w:multiLevelType w:val="hybridMultilevel"/>
    <w:tmpl w:val="38E4D60A"/>
    <w:lvl w:ilvl="0" w:tplc="4C98ED4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D97615B"/>
    <w:multiLevelType w:val="hybridMultilevel"/>
    <w:tmpl w:val="9EC6A01A"/>
    <w:lvl w:ilvl="0" w:tplc="680067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5"/>
  </w:num>
  <w:num w:numId="2">
    <w:abstractNumId w:val="17"/>
  </w:num>
  <w:num w:numId="3">
    <w:abstractNumId w:val="29"/>
  </w:num>
  <w:num w:numId="4">
    <w:abstractNumId w:val="2"/>
  </w:num>
  <w:num w:numId="5">
    <w:abstractNumId w:val="36"/>
  </w:num>
  <w:num w:numId="6">
    <w:abstractNumId w:val="5"/>
  </w:num>
  <w:num w:numId="7">
    <w:abstractNumId w:val="28"/>
  </w:num>
  <w:num w:numId="8">
    <w:abstractNumId w:val="20"/>
  </w:num>
  <w:num w:numId="9">
    <w:abstractNumId w:val="39"/>
  </w:num>
  <w:num w:numId="10">
    <w:abstractNumId w:val="27"/>
  </w:num>
  <w:num w:numId="11">
    <w:abstractNumId w:val="34"/>
  </w:num>
  <w:num w:numId="12">
    <w:abstractNumId w:val="21"/>
  </w:num>
  <w:num w:numId="13">
    <w:abstractNumId w:val="14"/>
  </w:num>
  <w:num w:numId="14">
    <w:abstractNumId w:val="6"/>
  </w:num>
  <w:num w:numId="15">
    <w:abstractNumId w:val="40"/>
  </w:num>
  <w:num w:numId="16">
    <w:abstractNumId w:val="24"/>
  </w:num>
  <w:num w:numId="17">
    <w:abstractNumId w:val="25"/>
  </w:num>
  <w:num w:numId="18">
    <w:abstractNumId w:val="10"/>
  </w:num>
  <w:num w:numId="19">
    <w:abstractNumId w:val="33"/>
  </w:num>
  <w:num w:numId="20">
    <w:abstractNumId w:val="8"/>
  </w:num>
  <w:num w:numId="21">
    <w:abstractNumId w:val="15"/>
  </w:num>
  <w:num w:numId="22">
    <w:abstractNumId w:val="38"/>
  </w:num>
  <w:num w:numId="23">
    <w:abstractNumId w:val="1"/>
  </w:num>
  <w:num w:numId="24">
    <w:abstractNumId w:val="26"/>
  </w:num>
  <w:num w:numId="25">
    <w:abstractNumId w:val="4"/>
  </w:num>
  <w:num w:numId="26">
    <w:abstractNumId w:val="19"/>
  </w:num>
  <w:num w:numId="27">
    <w:abstractNumId w:val="12"/>
  </w:num>
  <w:num w:numId="28">
    <w:abstractNumId w:val="30"/>
  </w:num>
  <w:num w:numId="29">
    <w:abstractNumId w:val="7"/>
  </w:num>
  <w:num w:numId="30">
    <w:abstractNumId w:val="16"/>
  </w:num>
  <w:num w:numId="31">
    <w:abstractNumId w:val="13"/>
  </w:num>
  <w:num w:numId="32">
    <w:abstractNumId w:val="31"/>
  </w:num>
  <w:num w:numId="33">
    <w:abstractNumId w:val="37"/>
  </w:num>
  <w:num w:numId="34">
    <w:abstractNumId w:val="32"/>
  </w:num>
  <w:num w:numId="35">
    <w:abstractNumId w:val="0"/>
  </w:num>
  <w:num w:numId="36">
    <w:abstractNumId w:val="22"/>
  </w:num>
  <w:num w:numId="37">
    <w:abstractNumId w:val="23"/>
  </w:num>
  <w:num w:numId="38">
    <w:abstractNumId w:val="9"/>
  </w:num>
  <w:num w:numId="39">
    <w:abstractNumId w:val="11"/>
  </w:num>
  <w:num w:numId="40">
    <w:abstractNumId w:val="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5"/>
    <w:rsid w:val="0000750B"/>
    <w:rsid w:val="00042C19"/>
    <w:rsid w:val="000450D1"/>
    <w:rsid w:val="000B2256"/>
    <w:rsid w:val="000B5DE2"/>
    <w:rsid w:val="000F2A4F"/>
    <w:rsid w:val="001465C9"/>
    <w:rsid w:val="001D0FC4"/>
    <w:rsid w:val="001D5856"/>
    <w:rsid w:val="001E60CE"/>
    <w:rsid w:val="00203F84"/>
    <w:rsid w:val="002106F2"/>
    <w:rsid w:val="00275188"/>
    <w:rsid w:val="0028687D"/>
    <w:rsid w:val="002B091C"/>
    <w:rsid w:val="002D0CCB"/>
    <w:rsid w:val="00345C79"/>
    <w:rsid w:val="00366A39"/>
    <w:rsid w:val="0036720F"/>
    <w:rsid w:val="003C0EA2"/>
    <w:rsid w:val="003F0AD5"/>
    <w:rsid w:val="00400993"/>
    <w:rsid w:val="004518B0"/>
    <w:rsid w:val="00456FC3"/>
    <w:rsid w:val="0048005C"/>
    <w:rsid w:val="004E242B"/>
    <w:rsid w:val="00544379"/>
    <w:rsid w:val="00566944"/>
    <w:rsid w:val="005915E8"/>
    <w:rsid w:val="005D56BF"/>
    <w:rsid w:val="00616306"/>
    <w:rsid w:val="00665D8D"/>
    <w:rsid w:val="006A7A3B"/>
    <w:rsid w:val="006B6B57"/>
    <w:rsid w:val="00705394"/>
    <w:rsid w:val="00743F62"/>
    <w:rsid w:val="00760D3A"/>
    <w:rsid w:val="007617BD"/>
    <w:rsid w:val="007A1F42"/>
    <w:rsid w:val="007D76DD"/>
    <w:rsid w:val="00862119"/>
    <w:rsid w:val="008717E8"/>
    <w:rsid w:val="008A3F9F"/>
    <w:rsid w:val="008D01AE"/>
    <w:rsid w:val="008D3AA6"/>
    <w:rsid w:val="008E0423"/>
    <w:rsid w:val="008F5204"/>
    <w:rsid w:val="008F67F3"/>
    <w:rsid w:val="009141DC"/>
    <w:rsid w:val="009174A1"/>
    <w:rsid w:val="0098674D"/>
    <w:rsid w:val="00997ACA"/>
    <w:rsid w:val="009E02CF"/>
    <w:rsid w:val="00A03FB7"/>
    <w:rsid w:val="00A75A11"/>
    <w:rsid w:val="00AD7EAD"/>
    <w:rsid w:val="00AE2A54"/>
    <w:rsid w:val="00B35A32"/>
    <w:rsid w:val="00B432C6"/>
    <w:rsid w:val="00B471C5"/>
    <w:rsid w:val="00B6474A"/>
    <w:rsid w:val="00B66661"/>
    <w:rsid w:val="00BE1742"/>
    <w:rsid w:val="00CA27A5"/>
    <w:rsid w:val="00CA752A"/>
    <w:rsid w:val="00D1261C"/>
    <w:rsid w:val="00D75DCE"/>
    <w:rsid w:val="00D929E2"/>
    <w:rsid w:val="00DD35AC"/>
    <w:rsid w:val="00DD479F"/>
    <w:rsid w:val="00E15E48"/>
    <w:rsid w:val="00E33652"/>
    <w:rsid w:val="00EA1445"/>
    <w:rsid w:val="00EB0723"/>
    <w:rsid w:val="00EE6F37"/>
    <w:rsid w:val="00F1599F"/>
    <w:rsid w:val="00F15C33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6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752A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CA752A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CA752A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CA752A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CA752A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CA752A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CA752A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CA752A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CA752A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CA75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">
    <w:name w:val="Hyperlink"/>
    <w:semiHidden/>
    <w:rsid w:val="00CA752A"/>
    <w:rPr>
      <w:color w:val="auto"/>
      <w:u w:val="none"/>
    </w:rPr>
  </w:style>
  <w:style w:type="paragraph" w:customStyle="1" w:styleId="SMG">
    <w:name w:val="__S_M_G"/>
    <w:basedOn w:val="a"/>
    <w:next w:val="a"/>
    <w:rsid w:val="00CA75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CA752A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CA752A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CA75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CA752A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CA752A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rsid w:val="00CA75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CA752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link w:val="H23GChar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H23GChar">
    <w:name w:val="_ H_2/3_G Char"/>
    <w:link w:val="H23G"/>
    <w:rsid w:val="00CA752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List Paragraph"/>
    <w:basedOn w:val="a"/>
    <w:uiPriority w:val="34"/>
    <w:qFormat/>
    <w:rsid w:val="00CA752A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af1">
    <w:name w:val="Balloon Text"/>
    <w:basedOn w:val="a"/>
    <w:link w:val="af2"/>
    <w:rsid w:val="00CA752A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2">
    <w:name w:val="Текст выноски Знак"/>
    <w:basedOn w:val="a0"/>
    <w:link w:val="af1"/>
    <w:rsid w:val="00CA752A"/>
    <w:rPr>
      <w:rFonts w:ascii="Tahoma" w:eastAsia="Times New Roman" w:hAnsi="Tahoma" w:cs="Tahoma"/>
      <w:sz w:val="16"/>
      <w:szCs w:val="16"/>
      <w:lang w:val="en-GB"/>
    </w:rPr>
  </w:style>
  <w:style w:type="character" w:styleId="af3">
    <w:name w:val="annotation reference"/>
    <w:rsid w:val="00CA752A"/>
    <w:rPr>
      <w:sz w:val="16"/>
      <w:szCs w:val="16"/>
    </w:rPr>
  </w:style>
  <w:style w:type="paragraph" w:styleId="af4">
    <w:name w:val="annotation text"/>
    <w:basedOn w:val="a"/>
    <w:link w:val="af5"/>
    <w:rsid w:val="00CA752A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5">
    <w:name w:val="Текст примечания Знак"/>
    <w:basedOn w:val="a0"/>
    <w:link w:val="af4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rsid w:val="00CA752A"/>
    <w:rPr>
      <w:b/>
      <w:bCs/>
    </w:rPr>
  </w:style>
  <w:style w:type="character" w:customStyle="1" w:styleId="af7">
    <w:name w:val="Тема примечания Знак"/>
    <w:basedOn w:val="af5"/>
    <w:link w:val="af6"/>
    <w:rsid w:val="00CA75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CA752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StandardCMW">
    <w:name w:val="Standard CMW"/>
    <w:basedOn w:val="a"/>
    <w:qFormat/>
    <w:rsid w:val="00CA752A"/>
    <w:pPr>
      <w:spacing w:after="80" w:line="240" w:lineRule="auto"/>
      <w:jc w:val="both"/>
    </w:pPr>
    <w:rPr>
      <w:rFonts w:eastAsia="SimSun" w:cs="Arial"/>
      <w:spacing w:val="0"/>
      <w:w w:val="100"/>
      <w:kern w:val="0"/>
      <w:sz w:val="24"/>
      <w:szCs w:val="22"/>
      <w:lang w:val="de-DE" w:eastAsia="de-DE"/>
    </w:rPr>
  </w:style>
  <w:style w:type="character" w:customStyle="1" w:styleId="admitted">
    <w:name w:val="admitted"/>
    <w:basedOn w:val="a0"/>
    <w:rsid w:val="00CA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6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752A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CA752A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CA752A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CA752A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CA752A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CA752A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CA752A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CA752A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CA752A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CA75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">
    <w:name w:val="Hyperlink"/>
    <w:semiHidden/>
    <w:rsid w:val="00CA752A"/>
    <w:rPr>
      <w:color w:val="auto"/>
      <w:u w:val="none"/>
    </w:rPr>
  </w:style>
  <w:style w:type="paragraph" w:customStyle="1" w:styleId="SMG">
    <w:name w:val="__S_M_G"/>
    <w:basedOn w:val="a"/>
    <w:next w:val="a"/>
    <w:rsid w:val="00CA75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CA752A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CA752A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CA75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CA752A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CA752A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rsid w:val="00CA75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CA752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link w:val="H23GChar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H23GChar">
    <w:name w:val="_ H_2/3_G Char"/>
    <w:link w:val="H23G"/>
    <w:rsid w:val="00CA752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CA75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List Paragraph"/>
    <w:basedOn w:val="a"/>
    <w:uiPriority w:val="34"/>
    <w:qFormat/>
    <w:rsid w:val="00CA752A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af1">
    <w:name w:val="Balloon Text"/>
    <w:basedOn w:val="a"/>
    <w:link w:val="af2"/>
    <w:rsid w:val="00CA752A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2">
    <w:name w:val="Текст выноски Знак"/>
    <w:basedOn w:val="a0"/>
    <w:link w:val="af1"/>
    <w:rsid w:val="00CA752A"/>
    <w:rPr>
      <w:rFonts w:ascii="Tahoma" w:eastAsia="Times New Roman" w:hAnsi="Tahoma" w:cs="Tahoma"/>
      <w:sz w:val="16"/>
      <w:szCs w:val="16"/>
      <w:lang w:val="en-GB"/>
    </w:rPr>
  </w:style>
  <w:style w:type="character" w:styleId="af3">
    <w:name w:val="annotation reference"/>
    <w:rsid w:val="00CA752A"/>
    <w:rPr>
      <w:sz w:val="16"/>
      <w:szCs w:val="16"/>
    </w:rPr>
  </w:style>
  <w:style w:type="paragraph" w:styleId="af4">
    <w:name w:val="annotation text"/>
    <w:basedOn w:val="a"/>
    <w:link w:val="af5"/>
    <w:rsid w:val="00CA752A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5">
    <w:name w:val="Текст примечания Знак"/>
    <w:basedOn w:val="a0"/>
    <w:link w:val="af4"/>
    <w:rsid w:val="00CA7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rsid w:val="00CA752A"/>
    <w:rPr>
      <w:b/>
      <w:bCs/>
    </w:rPr>
  </w:style>
  <w:style w:type="character" w:customStyle="1" w:styleId="af7">
    <w:name w:val="Тема примечания Знак"/>
    <w:basedOn w:val="af5"/>
    <w:link w:val="af6"/>
    <w:rsid w:val="00CA75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CA752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StandardCMW">
    <w:name w:val="Standard CMW"/>
    <w:basedOn w:val="a"/>
    <w:qFormat/>
    <w:rsid w:val="00CA752A"/>
    <w:pPr>
      <w:spacing w:after="80" w:line="240" w:lineRule="auto"/>
      <w:jc w:val="both"/>
    </w:pPr>
    <w:rPr>
      <w:rFonts w:eastAsia="SimSun" w:cs="Arial"/>
      <w:spacing w:val="0"/>
      <w:w w:val="100"/>
      <w:kern w:val="0"/>
      <w:sz w:val="24"/>
      <w:szCs w:val="22"/>
      <w:lang w:val="de-DE" w:eastAsia="de-DE"/>
    </w:rPr>
  </w:style>
  <w:style w:type="character" w:customStyle="1" w:styleId="admitted">
    <w:name w:val="admitted"/>
    <w:basedOn w:val="a0"/>
    <w:rsid w:val="00CA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MW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E2F6-9EEE-4796-B347-26A33B7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5</TotalTime>
  <Pages>26</Pages>
  <Words>8440</Words>
  <Characters>59398</Characters>
  <Application>Microsoft Office Word</Application>
  <DocSecurity>0</DocSecurity>
  <Lines>1144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Kisseleva</cp:lastModifiedBy>
  <cp:revision>3</cp:revision>
  <cp:lastPrinted>2016-07-19T14:57:00Z</cp:lastPrinted>
  <dcterms:created xsi:type="dcterms:W3CDTF">2016-07-19T14:57:00Z</dcterms:created>
  <dcterms:modified xsi:type="dcterms:W3CDTF">2016-07-19T15:01:00Z</dcterms:modified>
</cp:coreProperties>
</file>