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437AC6" w:rsidRDefault="00437AC6" w:rsidP="00437AC6">
            <w:pPr>
              <w:spacing w:line="20" w:lineRule="exact"/>
              <w:rPr>
                <w:sz w:val="2"/>
              </w:rPr>
            </w:pPr>
            <w:r>
              <w:rPr>
                <w:rStyle w:val="CommentReference"/>
                <w:rFonts w:ascii="Calibri" w:eastAsia="Calibri" w:hAnsi="Calibri" w:cs="Arial"/>
              </w:rPr>
              <w:commentReference w:id="0"/>
            </w:r>
            <w:bookmarkStart w:id="1" w:name="_GoBack"/>
            <w:bookmarkEnd w:id="1"/>
          </w:p>
          <w:p w:rsidR="00437AC6" w:rsidRDefault="00437AC6"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64B0B" w:rsidP="00964B0B">
            <w:pPr>
              <w:jc w:val="right"/>
            </w:pPr>
            <w:r w:rsidRPr="00964B0B">
              <w:rPr>
                <w:sz w:val="40"/>
              </w:rPr>
              <w:t>CCPR</w:t>
            </w:r>
            <w:r>
              <w:t>/C</w:t>
            </w:r>
            <w:r w:rsidR="00D25BB3">
              <w:t>/</w:t>
            </w:r>
            <w:r>
              <w:t>MKD/CO/3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37AC6" w:rsidP="00B6553F">
            <w:pPr>
              <w:spacing w:before="120"/>
            </w:pPr>
            <w:r>
              <w:rPr>
                <w:noProof/>
                <w:lang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64B0B" w:rsidP="00964B0B">
            <w:pPr>
              <w:spacing w:before="240" w:line="240" w:lineRule="exact"/>
            </w:pPr>
            <w:r>
              <w:t>Distr.: General</w:t>
            </w:r>
          </w:p>
          <w:p w:rsidR="00964B0B" w:rsidRDefault="002343E0" w:rsidP="0041595E">
            <w:pPr>
              <w:spacing w:line="240" w:lineRule="exact"/>
            </w:pPr>
            <w:r w:rsidRPr="002343E0">
              <w:t xml:space="preserve">17 </w:t>
            </w:r>
            <w:r w:rsidR="007B6801" w:rsidRPr="002343E0">
              <w:t>August</w:t>
            </w:r>
            <w:r w:rsidR="00964B0B">
              <w:t xml:space="preserve"> 2015</w:t>
            </w:r>
          </w:p>
          <w:p w:rsidR="00964B0B" w:rsidRDefault="00964B0B" w:rsidP="00964B0B">
            <w:pPr>
              <w:spacing w:line="240" w:lineRule="exact"/>
            </w:pPr>
          </w:p>
          <w:p w:rsidR="00964B0B" w:rsidRDefault="00964B0B" w:rsidP="00964B0B">
            <w:pPr>
              <w:spacing w:line="240" w:lineRule="exact"/>
            </w:pPr>
            <w:r>
              <w:t>Original: English</w:t>
            </w:r>
          </w:p>
          <w:p w:rsidR="00964B0B" w:rsidRDefault="00964B0B" w:rsidP="00964B0B">
            <w:pPr>
              <w:spacing w:line="240" w:lineRule="exact"/>
            </w:pPr>
          </w:p>
        </w:tc>
      </w:tr>
    </w:tbl>
    <w:p w:rsidR="00964B0B" w:rsidRDefault="00964B0B" w:rsidP="00964B0B">
      <w:pPr>
        <w:spacing w:before="120"/>
      </w:pPr>
      <w:r>
        <w:rPr>
          <w:b/>
          <w:sz w:val="24"/>
        </w:rPr>
        <w:t>Human Rights Committee</w:t>
      </w:r>
    </w:p>
    <w:p w:rsidR="00964B0B" w:rsidRPr="00964B0B" w:rsidRDefault="00964B0B" w:rsidP="0057597F">
      <w:pPr>
        <w:pStyle w:val="HChG"/>
      </w:pPr>
      <w:r>
        <w:tab/>
      </w:r>
      <w:r w:rsidR="004E2F30">
        <w:tab/>
      </w:r>
      <w:r>
        <w:t>Concluding observations on the third</w:t>
      </w:r>
      <w:r w:rsidRPr="003D6E36">
        <w:t xml:space="preserve"> periodic report of </w:t>
      </w:r>
      <w:r w:rsidR="00D7438A" w:rsidRPr="003C7A31">
        <w:t>the former Yugoslav Republic of</w:t>
      </w:r>
      <w:r w:rsidR="00D7438A">
        <w:t xml:space="preserve"> </w:t>
      </w:r>
      <w:r>
        <w:t>Macedonia</w:t>
      </w:r>
      <w:r w:rsidRPr="0057597F">
        <w:rPr>
          <w:rStyle w:val="FootnoteReference"/>
          <w:bCs/>
          <w:sz w:val="20"/>
          <w:vertAlign w:val="baseline"/>
        </w:rPr>
        <w:footnoteReference w:customMarkFollows="1" w:id="2"/>
        <w:t>*</w:t>
      </w:r>
      <w:r>
        <w:t xml:space="preserve"> </w:t>
      </w:r>
    </w:p>
    <w:p w:rsidR="00964B0B" w:rsidRPr="00592BF2" w:rsidRDefault="00964B0B" w:rsidP="0057597F">
      <w:pPr>
        <w:pStyle w:val="SingleTxtG"/>
        <w:numPr>
          <w:ilvl w:val="0"/>
          <w:numId w:val="4"/>
        </w:numPr>
        <w:ind w:left="1134" w:firstLine="0"/>
      </w:pPr>
      <w:r w:rsidRPr="00592BF2">
        <w:t>The Human Rights Committee considered the third periodic report submitted by the former Yugoslav Republic of Macedonia (CCPR/C/MKD/3) at its 3170th and 3171th meetings (CCPR/C/SR.3170 and 3171), held on 2 and 3 July 2015. At its 3191th meeting, held on 20 July 2015, the Committee adopted the following concluding observations.</w:t>
      </w:r>
    </w:p>
    <w:p w:rsidR="00964B0B" w:rsidRPr="008F47EC" w:rsidRDefault="00964B0B" w:rsidP="00964B0B">
      <w:pPr>
        <w:pStyle w:val="H1G"/>
      </w:pPr>
      <w:r w:rsidRPr="008F47EC">
        <w:tab/>
      </w:r>
      <w:r w:rsidR="009613BB">
        <w:t>A.</w:t>
      </w:r>
      <w:r w:rsidRPr="008F47EC">
        <w:tab/>
        <w:t>Introduction</w:t>
      </w:r>
    </w:p>
    <w:p w:rsidR="00964B0B" w:rsidRPr="00592BF2" w:rsidRDefault="00964B0B" w:rsidP="0057597F">
      <w:pPr>
        <w:pStyle w:val="SingleTxtG"/>
        <w:numPr>
          <w:ilvl w:val="0"/>
          <w:numId w:val="4"/>
        </w:numPr>
        <w:ind w:left="1134" w:firstLine="0"/>
      </w:pPr>
      <w:r w:rsidRPr="00592BF2">
        <w:t xml:space="preserve">The Committee welcomes the submission of the third periodic report of the </w:t>
      </w:r>
      <w:r w:rsidR="00FC7652" w:rsidRPr="00592BF2">
        <w:t>Former</w:t>
      </w:r>
      <w:r w:rsidRPr="00592BF2">
        <w:t xml:space="preserve"> Yugoslav Republic of Macedonia. It expresses appreciation for the information contained therein and for the opportunity to renew its constructive dialogue with the State party’s high-level interministerial delegation on the measures that the State party has taken during the reporting period to implement the provisions of the </w:t>
      </w:r>
      <w:r w:rsidR="007B6801">
        <w:t xml:space="preserve">International </w:t>
      </w:r>
      <w:r w:rsidRPr="00592BF2">
        <w:t>Covenant</w:t>
      </w:r>
      <w:r w:rsidR="007B6801">
        <w:t xml:space="preserve"> on Civil and Political Rights</w:t>
      </w:r>
      <w:r w:rsidRPr="00592BF2">
        <w:t>. The Committee appreciates the State party’s written replies (CCPR/C/MKD/Q/3/Add.1) to the list of issues (CCPR/C/MKD/Q/3), which were supplemented by the oral and written responses provided by the delegation.</w:t>
      </w:r>
    </w:p>
    <w:p w:rsidR="00964B0B" w:rsidRPr="008F47EC" w:rsidRDefault="00964B0B" w:rsidP="0057597F">
      <w:pPr>
        <w:pStyle w:val="H1G"/>
      </w:pPr>
      <w:r>
        <w:tab/>
      </w:r>
      <w:r w:rsidR="009613BB">
        <w:t>B.</w:t>
      </w:r>
      <w:r>
        <w:tab/>
      </w:r>
      <w:r w:rsidRPr="007B6801">
        <w:t>Positive aspects</w:t>
      </w:r>
    </w:p>
    <w:p w:rsidR="00964B0B" w:rsidRPr="00592BF2" w:rsidRDefault="00964B0B" w:rsidP="0057597F">
      <w:pPr>
        <w:pStyle w:val="SingleTxtG"/>
        <w:numPr>
          <w:ilvl w:val="0"/>
          <w:numId w:val="4"/>
        </w:numPr>
        <w:ind w:left="1134" w:firstLine="0"/>
      </w:pPr>
      <w:r w:rsidRPr="00592BF2">
        <w:t xml:space="preserve">The Committee welcomes the </w:t>
      </w:r>
      <w:r w:rsidR="007B6801">
        <w:t>adoption</w:t>
      </w:r>
      <w:r w:rsidRPr="00592BF2">
        <w:t xml:space="preserve"> by the State party</w:t>
      </w:r>
      <w:r w:rsidR="007B6801">
        <w:t xml:space="preserve"> of the following</w:t>
      </w:r>
      <w:r w:rsidRPr="00592BF2">
        <w:t>:</w:t>
      </w:r>
    </w:p>
    <w:p w:rsidR="00964B0B" w:rsidRPr="00592BF2" w:rsidRDefault="00964B0B">
      <w:pPr>
        <w:pStyle w:val="SingleTxtG"/>
      </w:pPr>
      <w:r>
        <w:tab/>
      </w:r>
      <w:r w:rsidRPr="00592BF2">
        <w:t>(a)</w:t>
      </w:r>
      <w:r w:rsidRPr="00592BF2">
        <w:tab/>
        <w:t xml:space="preserve">The Law on Equal Opportunities for Women and Men, in 2012; </w:t>
      </w:r>
    </w:p>
    <w:p w:rsidR="00964B0B" w:rsidRPr="00592BF2" w:rsidRDefault="00964B0B" w:rsidP="00964B0B">
      <w:pPr>
        <w:pStyle w:val="SingleTxtG"/>
      </w:pPr>
      <w:r>
        <w:tab/>
      </w:r>
      <w:r w:rsidRPr="00592BF2">
        <w:t>(b)</w:t>
      </w:r>
      <w:r w:rsidRPr="00592BF2">
        <w:tab/>
        <w:t>The Law on the Prevention of and Protection against Domestic Violence, in 2014.</w:t>
      </w:r>
    </w:p>
    <w:p w:rsidR="00964B0B" w:rsidRPr="00592BF2" w:rsidRDefault="00964B0B" w:rsidP="0057597F">
      <w:pPr>
        <w:pStyle w:val="SingleTxtG"/>
        <w:numPr>
          <w:ilvl w:val="0"/>
          <w:numId w:val="4"/>
        </w:numPr>
        <w:ind w:left="1134" w:firstLine="0"/>
      </w:pPr>
      <w:r w:rsidRPr="00592BF2">
        <w:t xml:space="preserve">The Committee welcomes the ratification of, or accession to, the following international instruments by the State party: </w:t>
      </w:r>
    </w:p>
    <w:p w:rsidR="00964B0B" w:rsidRPr="00592BF2" w:rsidRDefault="00964B0B">
      <w:pPr>
        <w:pStyle w:val="SingleTxtG"/>
      </w:pPr>
      <w:r>
        <w:tab/>
      </w:r>
      <w:r w:rsidRPr="00592BF2">
        <w:t>(a)</w:t>
      </w:r>
      <w:r w:rsidRPr="00592BF2">
        <w:tab/>
        <w:t xml:space="preserve">The Optional Protocol to the Convention against Torture and Other Cruel, Inhuman or Degrading Treatment or Punishment, in 2009; </w:t>
      </w:r>
    </w:p>
    <w:p w:rsidR="00964B0B" w:rsidRPr="00592BF2" w:rsidRDefault="00964B0B" w:rsidP="00964B0B">
      <w:pPr>
        <w:pStyle w:val="SingleTxtG"/>
      </w:pPr>
      <w:r>
        <w:tab/>
      </w:r>
      <w:r w:rsidRPr="00592BF2">
        <w:t>(b)</w:t>
      </w:r>
      <w:r w:rsidRPr="00592BF2">
        <w:tab/>
        <w:t>The Convention on the Rights of Persons with Disabilities and its Optional Protocol</w:t>
      </w:r>
      <w:r w:rsidR="007B6801">
        <w:t>,</w:t>
      </w:r>
      <w:r w:rsidRPr="00592BF2">
        <w:t xml:space="preserve"> in 2011.</w:t>
      </w:r>
      <w:r>
        <w:t xml:space="preserve"> </w:t>
      </w:r>
    </w:p>
    <w:p w:rsidR="00964B0B" w:rsidRPr="00B6172D" w:rsidRDefault="00B6172D" w:rsidP="0057597F">
      <w:pPr>
        <w:pStyle w:val="H1G"/>
      </w:pPr>
      <w:r>
        <w:lastRenderedPageBreak/>
        <w:tab/>
      </w:r>
      <w:r w:rsidR="009613BB">
        <w:t>C.</w:t>
      </w:r>
      <w:r>
        <w:tab/>
      </w:r>
      <w:r w:rsidR="00964B0B" w:rsidRPr="00B6277B">
        <w:t>Principal subjects of concern and recommendations</w:t>
      </w:r>
    </w:p>
    <w:p w:rsidR="00964B0B" w:rsidRPr="000C33CD" w:rsidRDefault="00964B0B" w:rsidP="00E5492E">
      <w:pPr>
        <w:pStyle w:val="H23G"/>
      </w:pPr>
      <w:r>
        <w:tab/>
      </w:r>
      <w:r>
        <w:tab/>
      </w:r>
      <w:r w:rsidRPr="00384FF3">
        <w:t>Office of the Ombudsman</w:t>
      </w:r>
      <w:r>
        <w:t xml:space="preserve"> </w:t>
      </w:r>
    </w:p>
    <w:p w:rsidR="00964B0B" w:rsidRPr="00592BF2" w:rsidRDefault="00964B0B" w:rsidP="0057597F">
      <w:pPr>
        <w:pStyle w:val="SingleTxtG"/>
        <w:numPr>
          <w:ilvl w:val="0"/>
          <w:numId w:val="4"/>
        </w:numPr>
        <w:ind w:left="1134" w:firstLine="0"/>
      </w:pPr>
      <w:r w:rsidRPr="00592BF2">
        <w:t xml:space="preserve">The Committee is concerned that the draft amendments to the Law on the Ombudsman do not fully comply with the </w:t>
      </w:r>
      <w:r w:rsidR="007B6801" w:rsidRPr="0057597F">
        <w:t>principles</w:t>
      </w:r>
      <w:r w:rsidR="007B6801" w:rsidRPr="007B6801">
        <w:t xml:space="preserve"> relating to the status of national institutions for the promotion and protection of human rights </w:t>
      </w:r>
      <w:r w:rsidR="007B6801">
        <w:t>(</w:t>
      </w:r>
      <w:r w:rsidRPr="00592BF2">
        <w:t>Paris Principles</w:t>
      </w:r>
      <w:r w:rsidR="007B6801">
        <w:t>)</w:t>
      </w:r>
      <w:r w:rsidRPr="00592BF2">
        <w:t xml:space="preserve"> and that the Ombudsman lacks the human and financial resources </w:t>
      </w:r>
      <w:r w:rsidR="007B6801" w:rsidRPr="00592BF2">
        <w:t xml:space="preserve">necessary </w:t>
      </w:r>
      <w:r w:rsidRPr="00592BF2">
        <w:t xml:space="preserve">to carry out its mandate. The Committee is </w:t>
      </w:r>
      <w:r w:rsidR="007B6801">
        <w:t>also</w:t>
      </w:r>
      <w:r w:rsidR="007B6801" w:rsidRPr="00592BF2">
        <w:t xml:space="preserve"> </w:t>
      </w:r>
      <w:r w:rsidRPr="00592BF2">
        <w:t xml:space="preserve">concerned about the limited follow-up to and implementation of the Ombudsman’s recommendations by the State party </w:t>
      </w:r>
      <w:r w:rsidR="00E5492E" w:rsidRPr="003A1E2E">
        <w:t>(art. 2)</w:t>
      </w:r>
      <w:r w:rsidR="0053166D">
        <w:t>.</w:t>
      </w:r>
    </w:p>
    <w:p w:rsidR="00964B0B" w:rsidRPr="00592BF2" w:rsidRDefault="00964B0B">
      <w:pPr>
        <w:pStyle w:val="SingleTxtG"/>
        <w:rPr>
          <w:b/>
        </w:rPr>
      </w:pPr>
      <w:r w:rsidRPr="00592BF2">
        <w:rPr>
          <w:b/>
        </w:rPr>
        <w:t xml:space="preserve">The State party should ensure that the draft amendments to the Law on the Ombudsman are in line with the Paris Principles (General Assembly resolution 48/134, annex). It should also provide the Office of the Ombudsman with the human and financial resources </w:t>
      </w:r>
      <w:r w:rsidR="007B6801" w:rsidRPr="00592BF2">
        <w:rPr>
          <w:b/>
        </w:rPr>
        <w:t xml:space="preserve">necessary </w:t>
      </w:r>
      <w:r w:rsidRPr="00592BF2">
        <w:rPr>
          <w:b/>
        </w:rPr>
        <w:t>to ensure that it can effectively and independently implement its mandate. The State party should intensify its efforts in responding diligently and promptly to the Ombudsman’s recommendations.</w:t>
      </w:r>
    </w:p>
    <w:p w:rsidR="00964B0B" w:rsidRPr="009B44A9" w:rsidRDefault="00964B0B">
      <w:pPr>
        <w:pStyle w:val="H23G"/>
      </w:pPr>
      <w:r>
        <w:tab/>
      </w:r>
      <w:r>
        <w:tab/>
        <w:t xml:space="preserve">Absence of complaints under the Optional Protocol to </w:t>
      </w:r>
      <w:r w:rsidR="00642BBC">
        <w:t>the</w:t>
      </w:r>
      <w:r w:rsidR="00D37307">
        <w:t xml:space="preserve"> </w:t>
      </w:r>
      <w:r w:rsidR="00D37307" w:rsidRPr="00592BF2">
        <w:t>Covenant</w:t>
      </w:r>
      <w:r w:rsidR="00D37307">
        <w:t xml:space="preserve"> </w:t>
      </w:r>
    </w:p>
    <w:p w:rsidR="00964B0B" w:rsidRPr="008F47EC" w:rsidRDefault="00964B0B" w:rsidP="0057597F">
      <w:pPr>
        <w:pStyle w:val="SingleTxtG"/>
        <w:numPr>
          <w:ilvl w:val="0"/>
          <w:numId w:val="4"/>
        </w:numPr>
        <w:ind w:left="1134" w:firstLine="0"/>
        <w:rPr>
          <w:noProof/>
        </w:rPr>
      </w:pPr>
      <w:r w:rsidRPr="008F47EC">
        <w:t xml:space="preserve">While noting that the State party ratified the Optional Protocol to </w:t>
      </w:r>
      <w:r>
        <w:t xml:space="preserve">the </w:t>
      </w:r>
      <w:r w:rsidR="0081562D" w:rsidRPr="00592BF2">
        <w:t>Covenant</w:t>
      </w:r>
      <w:r w:rsidR="0081562D">
        <w:t xml:space="preserve"> </w:t>
      </w:r>
      <w:r w:rsidRPr="008F47EC">
        <w:t xml:space="preserve">in 1994, </w:t>
      </w:r>
      <w:r w:rsidRPr="008F47EC">
        <w:rPr>
          <w:noProof/>
        </w:rPr>
        <w:t>the Committee</w:t>
      </w:r>
      <w:r w:rsidR="003E2A46">
        <w:rPr>
          <w:noProof/>
        </w:rPr>
        <w:t xml:space="preserve"> </w:t>
      </w:r>
      <w:r>
        <w:rPr>
          <w:noProof/>
        </w:rPr>
        <w:t>is concerned that</w:t>
      </w:r>
      <w:r w:rsidRPr="008F47EC">
        <w:rPr>
          <w:noProof/>
        </w:rPr>
        <w:t xml:space="preserve"> the absence </w:t>
      </w:r>
      <w:r>
        <w:rPr>
          <w:noProof/>
        </w:rPr>
        <w:t xml:space="preserve">so far </w:t>
      </w:r>
      <w:r w:rsidRPr="008F47EC">
        <w:rPr>
          <w:noProof/>
        </w:rPr>
        <w:t xml:space="preserve">of </w:t>
      </w:r>
      <w:r>
        <w:rPr>
          <w:noProof/>
        </w:rPr>
        <w:t xml:space="preserve">any </w:t>
      </w:r>
      <w:r w:rsidRPr="008F47EC">
        <w:rPr>
          <w:noProof/>
        </w:rPr>
        <w:t xml:space="preserve">complaints </w:t>
      </w:r>
      <w:r>
        <w:rPr>
          <w:noProof/>
        </w:rPr>
        <w:t>registered under this procedure may indicate a lack of awar</w:t>
      </w:r>
      <w:r w:rsidR="00E36DC0">
        <w:rPr>
          <w:noProof/>
        </w:rPr>
        <w:t>e</w:t>
      </w:r>
      <w:r>
        <w:rPr>
          <w:noProof/>
        </w:rPr>
        <w:t>ness of</w:t>
      </w:r>
      <w:r w:rsidR="00E36DC0">
        <w:rPr>
          <w:noProof/>
        </w:rPr>
        <w:t xml:space="preserve"> </w:t>
      </w:r>
      <w:r w:rsidR="0081562D">
        <w:rPr>
          <w:noProof/>
        </w:rPr>
        <w:t>it</w:t>
      </w:r>
      <w:r w:rsidR="00E5492E">
        <w:rPr>
          <w:noProof/>
        </w:rPr>
        <w:t xml:space="preserve"> (art. 2)</w:t>
      </w:r>
      <w:r w:rsidR="0053166D">
        <w:rPr>
          <w:noProof/>
        </w:rPr>
        <w:t>.</w:t>
      </w:r>
    </w:p>
    <w:p w:rsidR="00964B0B" w:rsidRPr="0057597F" w:rsidRDefault="00964B0B" w:rsidP="0057597F">
      <w:pPr>
        <w:pStyle w:val="SingleTxtG"/>
        <w:rPr>
          <w:b/>
          <w:bCs/>
          <w:noProof/>
        </w:rPr>
      </w:pPr>
      <w:r w:rsidRPr="0057597F">
        <w:rPr>
          <w:b/>
          <w:bCs/>
          <w:noProof/>
        </w:rPr>
        <w:t xml:space="preserve">The State party should take the measures </w:t>
      </w:r>
      <w:r w:rsidR="0081562D" w:rsidRPr="00C936EA">
        <w:rPr>
          <w:b/>
          <w:bCs/>
          <w:noProof/>
        </w:rPr>
        <w:t xml:space="preserve">necessary </w:t>
      </w:r>
      <w:r w:rsidRPr="0057597F">
        <w:rPr>
          <w:b/>
          <w:bCs/>
          <w:noProof/>
        </w:rPr>
        <w:t>to raise awareness of the complaints procedure under the Optional Protocol. It should also establish mechanisms to facilitate the implementation of the Committee’s future Views, so as to guarantee the right to an effective remedy</w:t>
      </w:r>
      <w:r w:rsidR="006A7910" w:rsidRPr="0057597F">
        <w:rPr>
          <w:b/>
          <w:bCs/>
          <w:noProof/>
        </w:rPr>
        <w:t>,</w:t>
      </w:r>
      <w:r w:rsidRPr="0057597F">
        <w:rPr>
          <w:b/>
          <w:bCs/>
          <w:noProof/>
        </w:rPr>
        <w:t xml:space="preserve"> as established in article 2 </w:t>
      </w:r>
      <w:r w:rsidR="0081562D">
        <w:rPr>
          <w:b/>
          <w:bCs/>
          <w:noProof/>
        </w:rPr>
        <w:t>(</w:t>
      </w:r>
      <w:r w:rsidRPr="0057597F">
        <w:rPr>
          <w:b/>
          <w:bCs/>
          <w:noProof/>
        </w:rPr>
        <w:t>3</w:t>
      </w:r>
      <w:r w:rsidR="0081562D">
        <w:rPr>
          <w:b/>
          <w:bCs/>
          <w:noProof/>
        </w:rPr>
        <w:t>)</w:t>
      </w:r>
      <w:r w:rsidRPr="0057597F">
        <w:rPr>
          <w:b/>
          <w:bCs/>
          <w:noProof/>
        </w:rPr>
        <w:t xml:space="preserve"> of the Cov</w:t>
      </w:r>
      <w:r w:rsidR="0081562D">
        <w:rPr>
          <w:b/>
          <w:bCs/>
          <w:noProof/>
        </w:rPr>
        <w:t>e</w:t>
      </w:r>
      <w:r w:rsidRPr="0057597F">
        <w:rPr>
          <w:b/>
          <w:bCs/>
          <w:noProof/>
        </w:rPr>
        <w:t>nant.</w:t>
      </w:r>
    </w:p>
    <w:p w:rsidR="00964B0B" w:rsidRDefault="00964B0B">
      <w:pPr>
        <w:pStyle w:val="H23G"/>
      </w:pPr>
      <w:r>
        <w:tab/>
      </w:r>
      <w:r>
        <w:tab/>
        <w:t xml:space="preserve">Sexual </w:t>
      </w:r>
      <w:r w:rsidR="001247CC">
        <w:t>o</w:t>
      </w:r>
      <w:r>
        <w:t xml:space="preserve">rientation and </w:t>
      </w:r>
      <w:r w:rsidR="001247CC">
        <w:t>g</w:t>
      </w:r>
      <w:r>
        <w:t xml:space="preserve">ender </w:t>
      </w:r>
      <w:r w:rsidR="001247CC">
        <w:t>i</w:t>
      </w:r>
      <w:r>
        <w:t xml:space="preserve">dentity </w:t>
      </w:r>
    </w:p>
    <w:p w:rsidR="00964B0B" w:rsidRDefault="00964B0B" w:rsidP="0057597F">
      <w:pPr>
        <w:pStyle w:val="SingleTxtG"/>
        <w:numPr>
          <w:ilvl w:val="0"/>
          <w:numId w:val="4"/>
        </w:numPr>
        <w:ind w:left="1134" w:firstLine="0"/>
        <w:rPr>
          <w:color w:val="000000"/>
        </w:rPr>
      </w:pPr>
      <w:r>
        <w:rPr>
          <w:color w:val="000000"/>
        </w:rPr>
        <w:t xml:space="preserve">The Committee is concerned that the Law on the Prevention of and Protection against Discrimination does not explicitly prohibit discrimination on the basis of sexual orientation and gender identity. The Committee is </w:t>
      </w:r>
      <w:r w:rsidR="001247CC">
        <w:rPr>
          <w:color w:val="000000"/>
        </w:rPr>
        <w:t xml:space="preserve">also </w:t>
      </w:r>
      <w:r>
        <w:rPr>
          <w:color w:val="000000"/>
        </w:rPr>
        <w:t xml:space="preserve">concerned about the prevalence of stereotypes and prejudice against </w:t>
      </w:r>
      <w:r w:rsidR="001247CC">
        <w:rPr>
          <w:color w:val="000000"/>
        </w:rPr>
        <w:t>l</w:t>
      </w:r>
      <w:r w:rsidRPr="0018177C">
        <w:rPr>
          <w:color w:val="000000"/>
        </w:rPr>
        <w:t xml:space="preserve">esbian, </w:t>
      </w:r>
      <w:r w:rsidR="001247CC">
        <w:rPr>
          <w:color w:val="000000"/>
        </w:rPr>
        <w:t>g</w:t>
      </w:r>
      <w:r w:rsidRPr="0018177C">
        <w:rPr>
          <w:color w:val="000000"/>
        </w:rPr>
        <w:t xml:space="preserve">ay, </w:t>
      </w:r>
      <w:r w:rsidR="001247CC">
        <w:rPr>
          <w:color w:val="000000"/>
        </w:rPr>
        <w:t>b</w:t>
      </w:r>
      <w:r w:rsidRPr="0018177C">
        <w:rPr>
          <w:color w:val="000000"/>
        </w:rPr>
        <w:t xml:space="preserve">isexual, </w:t>
      </w:r>
      <w:r w:rsidR="001247CC">
        <w:rPr>
          <w:color w:val="000000"/>
        </w:rPr>
        <w:t>t</w:t>
      </w:r>
      <w:r w:rsidRPr="0018177C">
        <w:rPr>
          <w:color w:val="000000"/>
        </w:rPr>
        <w:t xml:space="preserve">ransgender and </w:t>
      </w:r>
      <w:r w:rsidR="001247CC">
        <w:rPr>
          <w:color w:val="000000"/>
        </w:rPr>
        <w:t>i</w:t>
      </w:r>
      <w:r w:rsidRPr="0018177C">
        <w:rPr>
          <w:color w:val="000000"/>
        </w:rPr>
        <w:t>ntersex</w:t>
      </w:r>
      <w:r>
        <w:rPr>
          <w:rStyle w:val="tgc"/>
          <w:rFonts w:ascii="Arial" w:hAnsi="Arial" w:cs="Arial"/>
          <w:color w:val="222222"/>
        </w:rPr>
        <w:t xml:space="preserve"> </w:t>
      </w:r>
      <w:r>
        <w:rPr>
          <w:color w:val="000000"/>
        </w:rPr>
        <w:t xml:space="preserve">persons. In this regard, it is particularly concerned about reports of acts of violence against </w:t>
      </w:r>
      <w:r w:rsidR="001247CC">
        <w:rPr>
          <w:color w:val="000000"/>
        </w:rPr>
        <w:t xml:space="preserve">such </w:t>
      </w:r>
      <w:r>
        <w:rPr>
          <w:color w:val="000000"/>
        </w:rPr>
        <w:t xml:space="preserve">persons and at reports of </w:t>
      </w:r>
      <w:r w:rsidR="006A7910">
        <w:rPr>
          <w:color w:val="000000"/>
        </w:rPr>
        <w:t>a</w:t>
      </w:r>
      <w:r>
        <w:rPr>
          <w:color w:val="000000"/>
        </w:rPr>
        <w:t xml:space="preserve"> lack of effective investigations and prosecutions</w:t>
      </w:r>
      <w:r w:rsidR="00E5492E">
        <w:rPr>
          <w:color w:val="000000"/>
        </w:rPr>
        <w:t xml:space="preserve"> </w:t>
      </w:r>
      <w:r w:rsidR="00E5492E" w:rsidRPr="0057597F">
        <w:rPr>
          <w:color w:val="000000"/>
        </w:rPr>
        <w:t>(arts. 2 and 26)</w:t>
      </w:r>
      <w:r w:rsidR="0053166D">
        <w:rPr>
          <w:color w:val="000000"/>
        </w:rPr>
        <w:t>.</w:t>
      </w:r>
      <w:r>
        <w:rPr>
          <w:color w:val="000000"/>
        </w:rPr>
        <w:t xml:space="preserve"> </w:t>
      </w:r>
    </w:p>
    <w:p w:rsidR="00964B0B" w:rsidRPr="0057597F" w:rsidRDefault="00964B0B" w:rsidP="0057597F">
      <w:pPr>
        <w:pStyle w:val="SingleTxtG"/>
        <w:rPr>
          <w:b/>
          <w:bCs/>
        </w:rPr>
      </w:pPr>
      <w:r w:rsidRPr="0057597F">
        <w:rPr>
          <w:b/>
          <w:bCs/>
        </w:rPr>
        <w:t xml:space="preserve">The State party should amend its Law on the Prevention of and Protection against Discrimination with a view to explicitly prohibiting discrimination on the basis of sexual orientation and gender identity. The State party should intensify its efforts to combat stereotypes and prejudice against </w:t>
      </w:r>
      <w:r w:rsidR="00955D51" w:rsidRPr="0057597F">
        <w:rPr>
          <w:b/>
          <w:bCs/>
          <w:color w:val="000000"/>
        </w:rPr>
        <w:t>lesbian, gay, bisexual, transgender and intersex</w:t>
      </w:r>
      <w:r w:rsidR="00955D51" w:rsidRPr="004B4035" w:rsidDel="00955D51">
        <w:rPr>
          <w:b/>
          <w:bCs/>
        </w:rPr>
        <w:t xml:space="preserve"> </w:t>
      </w:r>
      <w:r w:rsidRPr="0057597F">
        <w:rPr>
          <w:b/>
          <w:bCs/>
        </w:rPr>
        <w:t>persons, including by:</w:t>
      </w:r>
    </w:p>
    <w:p w:rsidR="00964B0B" w:rsidRPr="0057597F" w:rsidRDefault="00964B0B" w:rsidP="0057597F">
      <w:pPr>
        <w:pStyle w:val="SingleTxtG"/>
        <w:rPr>
          <w:b/>
          <w:bCs/>
        </w:rPr>
      </w:pPr>
      <w:r w:rsidRPr="0057597F">
        <w:rPr>
          <w:b/>
          <w:bCs/>
        </w:rPr>
        <w:tab/>
      </w:r>
      <w:r w:rsidRPr="00955D51">
        <w:t>(a)</w:t>
      </w:r>
      <w:r w:rsidRPr="0057597F">
        <w:rPr>
          <w:b/>
          <w:bCs/>
        </w:rPr>
        <w:tab/>
        <w:t xml:space="preserve">Organizing </w:t>
      </w:r>
      <w:r w:rsidR="00955D51">
        <w:rPr>
          <w:b/>
          <w:bCs/>
        </w:rPr>
        <w:t>awareness-raising</w:t>
      </w:r>
      <w:r w:rsidR="00955D51" w:rsidRPr="0057597F">
        <w:rPr>
          <w:b/>
          <w:bCs/>
        </w:rPr>
        <w:t xml:space="preserve"> </w:t>
      </w:r>
      <w:r w:rsidRPr="0057597F">
        <w:rPr>
          <w:b/>
          <w:bCs/>
        </w:rPr>
        <w:t xml:space="preserve">campaigns aimed at the general public; </w:t>
      </w:r>
    </w:p>
    <w:p w:rsidR="00964B0B" w:rsidRPr="0057597F" w:rsidRDefault="00964B0B" w:rsidP="0057597F">
      <w:pPr>
        <w:pStyle w:val="SingleTxtG"/>
        <w:rPr>
          <w:b/>
          <w:bCs/>
        </w:rPr>
      </w:pPr>
      <w:r w:rsidRPr="0057597F">
        <w:rPr>
          <w:b/>
          <w:bCs/>
        </w:rPr>
        <w:tab/>
      </w:r>
      <w:r w:rsidRPr="00955D51">
        <w:t>(b)</w:t>
      </w:r>
      <w:r w:rsidRPr="0057597F">
        <w:rPr>
          <w:b/>
          <w:bCs/>
        </w:rPr>
        <w:tab/>
        <w:t xml:space="preserve">Providing appropriate training to public officials so as to put an end to the social stigmatization of </w:t>
      </w:r>
      <w:r w:rsidR="00955D51" w:rsidRPr="00C936EA">
        <w:rPr>
          <w:b/>
          <w:bCs/>
          <w:color w:val="000000"/>
        </w:rPr>
        <w:t>lesbian, gay, bisexual, transgender and intersex</w:t>
      </w:r>
      <w:r w:rsidR="00955D51" w:rsidRPr="004B4035" w:rsidDel="00955D51">
        <w:rPr>
          <w:b/>
          <w:bCs/>
        </w:rPr>
        <w:t xml:space="preserve"> </w:t>
      </w:r>
      <w:r w:rsidRPr="0057597F">
        <w:rPr>
          <w:b/>
          <w:bCs/>
        </w:rPr>
        <w:t>persons;</w:t>
      </w:r>
    </w:p>
    <w:p w:rsidR="00964B0B" w:rsidRPr="0057597F" w:rsidRDefault="00964B0B" w:rsidP="0057597F">
      <w:pPr>
        <w:pStyle w:val="SingleTxtG"/>
        <w:rPr>
          <w:b/>
          <w:bCs/>
        </w:rPr>
      </w:pPr>
      <w:r w:rsidRPr="0057597F">
        <w:rPr>
          <w:b/>
          <w:bCs/>
        </w:rPr>
        <w:tab/>
      </w:r>
      <w:r w:rsidRPr="00955D51">
        <w:t>(c)</w:t>
      </w:r>
      <w:r w:rsidRPr="0057597F">
        <w:rPr>
          <w:b/>
          <w:bCs/>
        </w:rPr>
        <w:tab/>
        <w:t xml:space="preserve">Ensuring that all reports of violence against </w:t>
      </w:r>
      <w:r w:rsidR="00955D51" w:rsidRPr="00C936EA">
        <w:rPr>
          <w:b/>
          <w:bCs/>
          <w:color w:val="000000"/>
        </w:rPr>
        <w:t>lesbian, gay, bisexual, transgender and intersex</w:t>
      </w:r>
      <w:r w:rsidR="00955D51" w:rsidRPr="004B4035" w:rsidDel="00955D51">
        <w:rPr>
          <w:b/>
          <w:bCs/>
        </w:rPr>
        <w:t xml:space="preserve"> </w:t>
      </w:r>
      <w:r w:rsidRPr="0057597F">
        <w:rPr>
          <w:b/>
          <w:bCs/>
        </w:rPr>
        <w:t xml:space="preserve">persons are effectively investigated and that perpetrators of violence on </w:t>
      </w:r>
      <w:r w:rsidR="00955D51">
        <w:rPr>
          <w:b/>
          <w:bCs/>
        </w:rPr>
        <w:t xml:space="preserve">the grounds of </w:t>
      </w:r>
      <w:r w:rsidRPr="0057597F">
        <w:rPr>
          <w:b/>
          <w:bCs/>
        </w:rPr>
        <w:t>sexual orientation are prosecuted and sanctioned.</w:t>
      </w:r>
    </w:p>
    <w:p w:rsidR="00964B0B" w:rsidRPr="009B44A9" w:rsidRDefault="00964B0B">
      <w:pPr>
        <w:pStyle w:val="H23G"/>
      </w:pPr>
      <w:r>
        <w:tab/>
      </w:r>
      <w:r>
        <w:tab/>
      </w:r>
      <w:r w:rsidRPr="009B44A9">
        <w:t>Discrimination against Roma</w:t>
      </w:r>
      <w:r>
        <w:t xml:space="preserve"> </w:t>
      </w:r>
    </w:p>
    <w:p w:rsidR="00964B0B" w:rsidRPr="00384FF3" w:rsidRDefault="00964B0B" w:rsidP="0057597F">
      <w:pPr>
        <w:pStyle w:val="SingleTxtG"/>
        <w:numPr>
          <w:ilvl w:val="0"/>
          <w:numId w:val="4"/>
        </w:numPr>
        <w:ind w:left="1134" w:firstLine="0"/>
      </w:pPr>
      <w:r w:rsidRPr="009B44A9">
        <w:t xml:space="preserve">While welcoming the efforts made by the State party to eliminate discrimination against Roma, including the adoption of a revised </w:t>
      </w:r>
      <w:r w:rsidR="00955D51">
        <w:t>s</w:t>
      </w:r>
      <w:r w:rsidRPr="009B44A9">
        <w:t>trategy for the period 2014–2020,</w:t>
      </w:r>
      <w:r>
        <w:t xml:space="preserve"> t</w:t>
      </w:r>
      <w:r w:rsidRPr="009B44A9">
        <w:t xml:space="preserve">he </w:t>
      </w:r>
      <w:r w:rsidRPr="009B44A9">
        <w:lastRenderedPageBreak/>
        <w:t xml:space="preserve">Committee </w:t>
      </w:r>
      <w:r>
        <w:t xml:space="preserve">remains </w:t>
      </w:r>
      <w:r w:rsidRPr="009B44A9">
        <w:t>concerned about the low participation of Roma individuals in public life and decision-making processes</w:t>
      </w:r>
      <w:r>
        <w:t xml:space="preserve"> </w:t>
      </w:r>
      <w:r w:rsidR="00E5492E">
        <w:t>(arts. 2 and 27)</w:t>
      </w:r>
      <w:r w:rsidR="004B0049">
        <w:t>.</w:t>
      </w:r>
    </w:p>
    <w:p w:rsidR="00964B0B" w:rsidRDefault="00964B0B">
      <w:pPr>
        <w:pStyle w:val="SingleTxtG"/>
      </w:pPr>
      <w:r w:rsidRPr="009B44A9">
        <w:rPr>
          <w:b/>
          <w:bCs/>
          <w:lang w:eastAsia="en-GB"/>
        </w:rPr>
        <w:t xml:space="preserve">The State party should allocate additional resources </w:t>
      </w:r>
      <w:r w:rsidRPr="009B44A9">
        <w:rPr>
          <w:b/>
        </w:rPr>
        <w:t xml:space="preserve">to put into effect all plans </w:t>
      </w:r>
      <w:r>
        <w:rPr>
          <w:b/>
        </w:rPr>
        <w:t xml:space="preserve">designed to remove </w:t>
      </w:r>
      <w:r w:rsidRPr="009B44A9">
        <w:rPr>
          <w:b/>
        </w:rPr>
        <w:t>obstacles to the practical exercise by Roma</w:t>
      </w:r>
      <w:r>
        <w:rPr>
          <w:b/>
        </w:rPr>
        <w:t xml:space="preserve"> of their</w:t>
      </w:r>
      <w:r w:rsidRPr="009B44A9">
        <w:rPr>
          <w:b/>
        </w:rPr>
        <w:t xml:space="preserve"> rights </w:t>
      </w:r>
      <w:r w:rsidRPr="0023718D">
        <w:rPr>
          <w:b/>
          <w:noProof/>
        </w:rPr>
        <w:t>under</w:t>
      </w:r>
      <w:r w:rsidRPr="009B44A9">
        <w:rPr>
          <w:b/>
        </w:rPr>
        <w:t xml:space="preserve"> the </w:t>
      </w:r>
      <w:r w:rsidRPr="0084270E">
        <w:rPr>
          <w:b/>
          <w:color w:val="000000"/>
        </w:rPr>
        <w:t>Covenant</w:t>
      </w:r>
      <w:r w:rsidRPr="009B44A9">
        <w:rPr>
          <w:b/>
          <w:bCs/>
          <w:lang w:eastAsia="en-GB"/>
        </w:rPr>
        <w:t xml:space="preserve">. </w:t>
      </w:r>
      <w:r w:rsidRPr="009B44A9">
        <w:rPr>
          <w:b/>
          <w:bCs/>
        </w:rPr>
        <w:t xml:space="preserve">The State party </w:t>
      </w:r>
      <w:r w:rsidRPr="009B44A9">
        <w:rPr>
          <w:b/>
        </w:rPr>
        <w:t>should also take measures to increase participation of Roma in public life and decision-making processes.</w:t>
      </w:r>
      <w:r>
        <w:t xml:space="preserve"> </w:t>
      </w:r>
    </w:p>
    <w:p w:rsidR="00964B0B" w:rsidRPr="009B44A9" w:rsidRDefault="00B6172D" w:rsidP="0057597F">
      <w:pPr>
        <w:pStyle w:val="H23G"/>
      </w:pPr>
      <w:r>
        <w:tab/>
      </w:r>
      <w:r>
        <w:tab/>
      </w:r>
      <w:r w:rsidR="00964B0B" w:rsidRPr="009B44A9">
        <w:t>Participation of women</w:t>
      </w:r>
      <w:r w:rsidR="00964B0B">
        <w:t xml:space="preserve"> </w:t>
      </w:r>
    </w:p>
    <w:p w:rsidR="00964B0B" w:rsidRPr="009B44A9" w:rsidRDefault="00964B0B" w:rsidP="0057597F">
      <w:pPr>
        <w:pStyle w:val="SingleTxtG"/>
        <w:numPr>
          <w:ilvl w:val="0"/>
          <w:numId w:val="4"/>
        </w:numPr>
        <w:ind w:left="1134" w:firstLine="0"/>
      </w:pPr>
      <w:r w:rsidRPr="009B44A9">
        <w:t xml:space="preserve">While welcoming the measures taken by the State party to enhance the participation of women in the labour market and public life, the Committee remains concerned </w:t>
      </w:r>
      <w:r>
        <w:t>about</w:t>
      </w:r>
      <w:r w:rsidRPr="009B44A9">
        <w:t xml:space="preserve"> the low representation of women in </w:t>
      </w:r>
      <w:r>
        <w:t xml:space="preserve">the </w:t>
      </w:r>
      <w:r w:rsidRPr="009B44A9">
        <w:t xml:space="preserve">political and public sectors, particularly in decision-making positions. It is also concerned </w:t>
      </w:r>
      <w:r>
        <w:t>about</w:t>
      </w:r>
      <w:r w:rsidRPr="009B44A9">
        <w:t xml:space="preserve"> the persistent wage gap between women and men and the prevalence of gender </w:t>
      </w:r>
      <w:r w:rsidRPr="006F6190">
        <w:t xml:space="preserve">biases and stereotypes </w:t>
      </w:r>
      <w:r w:rsidRPr="009B44A9">
        <w:t xml:space="preserve">in the State party </w:t>
      </w:r>
      <w:r w:rsidR="00E5492E" w:rsidRPr="0057597F">
        <w:t>(art. 3)</w:t>
      </w:r>
      <w:r w:rsidR="004B0049">
        <w:t>.</w:t>
      </w:r>
    </w:p>
    <w:p w:rsidR="00964B0B" w:rsidRDefault="00964B0B">
      <w:pPr>
        <w:pStyle w:val="SingleTxtG"/>
        <w:rPr>
          <w:b/>
        </w:rPr>
      </w:pPr>
      <w:r w:rsidRPr="009B44A9">
        <w:rPr>
          <w:b/>
        </w:rPr>
        <w:t xml:space="preserve">The State party should further strengthen its efforts to increase the participation of women in the </w:t>
      </w:r>
      <w:r>
        <w:rPr>
          <w:b/>
        </w:rPr>
        <w:t xml:space="preserve">political and </w:t>
      </w:r>
      <w:r w:rsidRPr="009B44A9">
        <w:rPr>
          <w:b/>
        </w:rPr>
        <w:t>public sectors</w:t>
      </w:r>
      <w:r>
        <w:rPr>
          <w:b/>
        </w:rPr>
        <w:t xml:space="preserve">, </w:t>
      </w:r>
      <w:r w:rsidRPr="00364F2A">
        <w:rPr>
          <w:b/>
        </w:rPr>
        <w:t>particularly in decision-making positions</w:t>
      </w:r>
      <w:r w:rsidRPr="009B44A9">
        <w:rPr>
          <w:b/>
        </w:rPr>
        <w:t xml:space="preserve"> and</w:t>
      </w:r>
      <w:r w:rsidR="00642BBC">
        <w:rPr>
          <w:b/>
        </w:rPr>
        <w:t>,</w:t>
      </w:r>
      <w:r w:rsidRPr="009B44A9">
        <w:rPr>
          <w:b/>
        </w:rPr>
        <w:t xml:space="preserve"> if necessary, through appropriate temporary special measures to give full effect to the provisions of the Covenant. The State party should also take concrete</w:t>
      </w:r>
      <w:r w:rsidRPr="009B44A9">
        <w:rPr>
          <w:b/>
          <w:bCs/>
        </w:rPr>
        <w:t xml:space="preserve"> </w:t>
      </w:r>
      <w:r w:rsidRPr="009B44A9">
        <w:rPr>
          <w:b/>
        </w:rPr>
        <w:t xml:space="preserve">measures to close the wage gap between men and women and eliminate gender </w:t>
      </w:r>
      <w:r w:rsidRPr="008F1742">
        <w:rPr>
          <w:b/>
        </w:rPr>
        <w:t>biases and stereotypes</w:t>
      </w:r>
      <w:r w:rsidRPr="009B44A9">
        <w:rPr>
          <w:b/>
        </w:rPr>
        <w:t xml:space="preserve"> on the role and responsibilities of men and women in the family and society.</w:t>
      </w:r>
      <w:r>
        <w:rPr>
          <w:b/>
        </w:rPr>
        <w:t xml:space="preserve"> </w:t>
      </w:r>
    </w:p>
    <w:p w:rsidR="00964B0B" w:rsidRPr="009B44A9" w:rsidRDefault="00B6172D" w:rsidP="0057597F">
      <w:pPr>
        <w:pStyle w:val="H23G"/>
      </w:pPr>
      <w:r>
        <w:tab/>
      </w:r>
      <w:r>
        <w:tab/>
      </w:r>
      <w:r w:rsidR="00964B0B">
        <w:t xml:space="preserve">Domestic </w:t>
      </w:r>
      <w:r w:rsidR="00642BBC">
        <w:t>v</w:t>
      </w:r>
      <w:r w:rsidR="00964B0B" w:rsidRPr="009B44A9">
        <w:t xml:space="preserve">iolence against women and children </w:t>
      </w:r>
    </w:p>
    <w:p w:rsidR="00964B0B" w:rsidRPr="009B44A9" w:rsidRDefault="00964B0B" w:rsidP="0057597F">
      <w:pPr>
        <w:pStyle w:val="SingleTxtG"/>
        <w:numPr>
          <w:ilvl w:val="0"/>
          <w:numId w:val="4"/>
        </w:numPr>
        <w:ind w:left="1134" w:firstLine="0"/>
      </w:pPr>
      <w:r w:rsidRPr="009B44A9">
        <w:t xml:space="preserve">While </w:t>
      </w:r>
      <w:r>
        <w:t>noti</w:t>
      </w:r>
      <w:r w:rsidRPr="009B44A9">
        <w:t xml:space="preserve">ng the </w:t>
      </w:r>
      <w:r w:rsidRPr="009B44A9">
        <w:rPr>
          <w:bCs/>
        </w:rPr>
        <w:t>measures taken</w:t>
      </w:r>
      <w:r w:rsidRPr="009B44A9">
        <w:t xml:space="preserve"> by the State party to prevent violence against women and children</w:t>
      </w:r>
      <w:r w:rsidRPr="009B44A9">
        <w:rPr>
          <w:bCs/>
        </w:rPr>
        <w:t>, t</w:t>
      </w:r>
      <w:r w:rsidRPr="009B44A9">
        <w:t xml:space="preserve">he Committee </w:t>
      </w:r>
      <w:r>
        <w:t>remains</w:t>
      </w:r>
      <w:r w:rsidRPr="009B44A9">
        <w:t xml:space="preserve"> concerned about the lack of information on sanctions imposed on perpetrators, as well as on remedies provided to</w:t>
      </w:r>
      <w:r>
        <w:t xml:space="preserve"> </w:t>
      </w:r>
      <w:r w:rsidRPr="009B44A9">
        <w:t>victims.</w:t>
      </w:r>
      <w:r>
        <w:t xml:space="preserve"> The Committee is particularly concerned that</w:t>
      </w:r>
      <w:r w:rsidR="006012CB">
        <w:t xml:space="preserve"> unmarried</w:t>
      </w:r>
      <w:r>
        <w:t xml:space="preserve"> mothers </w:t>
      </w:r>
      <w:r w:rsidR="00642BBC">
        <w:t xml:space="preserve">who are </w:t>
      </w:r>
      <w:r>
        <w:t xml:space="preserve">between </w:t>
      </w:r>
      <w:r w:rsidR="00642BBC">
        <w:t xml:space="preserve">16 </w:t>
      </w:r>
      <w:r>
        <w:t xml:space="preserve">and </w:t>
      </w:r>
      <w:r w:rsidR="00642BBC">
        <w:t>18 years old</w:t>
      </w:r>
      <w:r>
        <w:t xml:space="preserve"> </w:t>
      </w:r>
      <w:r w:rsidR="00642BBC">
        <w:t xml:space="preserve">and </w:t>
      </w:r>
      <w:r>
        <w:t xml:space="preserve">who are victims of domestic violence have no right to stay in shelters </w:t>
      </w:r>
      <w:r w:rsidR="00642BBC">
        <w:t xml:space="preserve">owing </w:t>
      </w:r>
      <w:r>
        <w:t>to their status as unaccompanied minors.</w:t>
      </w:r>
      <w:r w:rsidR="00E5492E">
        <w:t xml:space="preserve"> (arts. 7, 23 and 24)</w:t>
      </w:r>
      <w:r w:rsidR="004B0049">
        <w:t>.</w:t>
      </w:r>
      <w:r w:rsidR="00C16205">
        <w:t xml:space="preserve"> </w:t>
      </w:r>
    </w:p>
    <w:p w:rsidR="00964B0B" w:rsidRDefault="00964B0B" w:rsidP="00964B0B">
      <w:pPr>
        <w:pStyle w:val="SingleTxtG"/>
        <w:rPr>
          <w:b/>
        </w:rPr>
      </w:pPr>
      <w:r w:rsidRPr="009B44A9">
        <w:rPr>
          <w:b/>
        </w:rPr>
        <w:t xml:space="preserve">The State party should: </w:t>
      </w:r>
    </w:p>
    <w:p w:rsidR="00964B0B" w:rsidRPr="009B44A9" w:rsidRDefault="00964B0B" w:rsidP="00964B0B">
      <w:pPr>
        <w:pStyle w:val="SingleTxtG"/>
        <w:rPr>
          <w:b/>
          <w:bCs/>
        </w:rPr>
      </w:pPr>
      <w:r>
        <w:rPr>
          <w:b/>
          <w:bCs/>
        </w:rPr>
        <w:tab/>
      </w:r>
      <w:r w:rsidRPr="0057597F">
        <w:t>(a)</w:t>
      </w:r>
      <w:r w:rsidRPr="009B44A9">
        <w:rPr>
          <w:b/>
          <w:bCs/>
        </w:rPr>
        <w:tab/>
      </w:r>
      <w:r w:rsidRPr="002662E6">
        <w:rPr>
          <w:b/>
          <w:bCs/>
        </w:rPr>
        <w:t xml:space="preserve">Ensure that cases of domestic violence are thoroughly investigated, </w:t>
      </w:r>
      <w:r w:rsidR="00642BBC">
        <w:rPr>
          <w:b/>
          <w:bCs/>
        </w:rPr>
        <w:t xml:space="preserve">that </w:t>
      </w:r>
      <w:r w:rsidRPr="002662E6">
        <w:rPr>
          <w:b/>
          <w:bCs/>
        </w:rPr>
        <w:t>perpetrators are</w:t>
      </w:r>
      <w:r w:rsidRPr="009B44A9">
        <w:rPr>
          <w:b/>
          <w:bCs/>
        </w:rPr>
        <w:t xml:space="preserve"> prosecuted and, if convicted, punished with appropriate sanctions, and that victims have access to effective remedies and means of protection, including an adequate number of shelters available in all parts of the country</w:t>
      </w:r>
      <w:r w:rsidR="00642BBC">
        <w:rPr>
          <w:b/>
          <w:bCs/>
        </w:rPr>
        <w:t>;</w:t>
      </w:r>
    </w:p>
    <w:p w:rsidR="00964B0B" w:rsidRDefault="00964B0B">
      <w:pPr>
        <w:pStyle w:val="SingleTxtG"/>
        <w:rPr>
          <w:b/>
          <w:bCs/>
        </w:rPr>
      </w:pPr>
      <w:r>
        <w:rPr>
          <w:b/>
          <w:bCs/>
        </w:rPr>
        <w:tab/>
      </w:r>
      <w:r w:rsidRPr="0057597F">
        <w:t>(b)</w:t>
      </w:r>
      <w:r>
        <w:rPr>
          <w:b/>
          <w:bCs/>
        </w:rPr>
        <w:tab/>
      </w:r>
      <w:r>
        <w:rPr>
          <w:b/>
        </w:rPr>
        <w:t>E</w:t>
      </w:r>
      <w:r w:rsidRPr="009B44A9">
        <w:rPr>
          <w:b/>
        </w:rPr>
        <w:t xml:space="preserve">liminate violence against women and children </w:t>
      </w:r>
      <w:r>
        <w:rPr>
          <w:b/>
          <w:bCs/>
        </w:rPr>
        <w:t>and consider</w:t>
      </w:r>
      <w:r w:rsidRPr="009B44A9">
        <w:rPr>
          <w:b/>
          <w:bCs/>
        </w:rPr>
        <w:t xml:space="preserve"> </w:t>
      </w:r>
      <w:r>
        <w:rPr>
          <w:b/>
          <w:bCs/>
        </w:rPr>
        <w:t>recogni</w:t>
      </w:r>
      <w:r w:rsidR="00642BBC">
        <w:rPr>
          <w:b/>
          <w:bCs/>
        </w:rPr>
        <w:t>z</w:t>
      </w:r>
      <w:r>
        <w:rPr>
          <w:b/>
          <w:bCs/>
        </w:rPr>
        <w:t>ing violence against women and children as a specific criminal act in the Penal Code</w:t>
      </w:r>
      <w:r w:rsidR="00642BBC">
        <w:rPr>
          <w:b/>
          <w:bCs/>
        </w:rPr>
        <w:t>;</w:t>
      </w:r>
    </w:p>
    <w:p w:rsidR="00964B0B" w:rsidRPr="002662E6" w:rsidRDefault="00964B0B" w:rsidP="00642BBC">
      <w:pPr>
        <w:pStyle w:val="SingleTxtG"/>
        <w:rPr>
          <w:b/>
          <w:bCs/>
        </w:rPr>
      </w:pPr>
      <w:r>
        <w:rPr>
          <w:b/>
          <w:bCs/>
        </w:rPr>
        <w:tab/>
      </w:r>
      <w:r w:rsidRPr="0057597F">
        <w:t>(c)</w:t>
      </w:r>
      <w:r w:rsidRPr="002662E6">
        <w:rPr>
          <w:b/>
          <w:bCs/>
        </w:rPr>
        <w:tab/>
      </w:r>
      <w:r>
        <w:rPr>
          <w:b/>
          <w:bCs/>
        </w:rPr>
        <w:t>Take concrete measures to ensure access to specialized assistance to all victims of domestic violence, particularly to</w:t>
      </w:r>
      <w:r w:rsidR="006012CB">
        <w:rPr>
          <w:b/>
          <w:bCs/>
        </w:rPr>
        <w:t xml:space="preserve"> </w:t>
      </w:r>
      <w:r w:rsidR="006012CB" w:rsidRPr="0057597F">
        <w:rPr>
          <w:b/>
          <w:bCs/>
        </w:rPr>
        <w:t>unmarried</w:t>
      </w:r>
      <w:r>
        <w:rPr>
          <w:b/>
          <w:bCs/>
        </w:rPr>
        <w:t xml:space="preserve"> mothers </w:t>
      </w:r>
      <w:r w:rsidR="00642BBC">
        <w:rPr>
          <w:b/>
          <w:bCs/>
        </w:rPr>
        <w:t>who are</w:t>
      </w:r>
      <w:r w:rsidRPr="008F1742">
        <w:rPr>
          <w:b/>
          <w:bCs/>
        </w:rPr>
        <w:t xml:space="preserve"> between</w:t>
      </w:r>
      <w:r>
        <w:rPr>
          <w:b/>
          <w:bCs/>
        </w:rPr>
        <w:t xml:space="preserve"> </w:t>
      </w:r>
      <w:r w:rsidR="00642BBC">
        <w:rPr>
          <w:b/>
          <w:bCs/>
        </w:rPr>
        <w:t xml:space="preserve">16 </w:t>
      </w:r>
      <w:r w:rsidRPr="008F1742">
        <w:rPr>
          <w:b/>
          <w:bCs/>
        </w:rPr>
        <w:t xml:space="preserve">and </w:t>
      </w:r>
      <w:r w:rsidR="00642BBC">
        <w:rPr>
          <w:b/>
          <w:bCs/>
        </w:rPr>
        <w:t>18 years old;</w:t>
      </w:r>
    </w:p>
    <w:p w:rsidR="00964B0B" w:rsidRPr="009B44A9" w:rsidRDefault="00964B0B" w:rsidP="00964B0B">
      <w:pPr>
        <w:pStyle w:val="SingleTxtG"/>
        <w:rPr>
          <w:b/>
          <w:bCs/>
        </w:rPr>
      </w:pPr>
      <w:r>
        <w:rPr>
          <w:b/>
          <w:bCs/>
        </w:rPr>
        <w:tab/>
      </w:r>
      <w:r w:rsidRPr="0057597F">
        <w:t>(d)</w:t>
      </w:r>
      <w:r w:rsidRPr="0057597F">
        <w:tab/>
      </w:r>
      <w:r w:rsidRPr="009B44A9">
        <w:rPr>
          <w:b/>
          <w:bCs/>
        </w:rPr>
        <w:t xml:space="preserve">Continue </w:t>
      </w:r>
      <w:r w:rsidRPr="009B44A9">
        <w:rPr>
          <w:b/>
        </w:rPr>
        <w:t xml:space="preserve">carrying out awareness-raising campaigns to sensitize the population </w:t>
      </w:r>
      <w:r w:rsidRPr="009B44A9">
        <w:rPr>
          <w:b/>
          <w:bCs/>
        </w:rPr>
        <w:t>on</w:t>
      </w:r>
      <w:r w:rsidR="00642BBC">
        <w:rPr>
          <w:b/>
          <w:bCs/>
        </w:rPr>
        <w:t xml:space="preserve"> the</w:t>
      </w:r>
      <w:r w:rsidRPr="009B44A9">
        <w:rPr>
          <w:b/>
          <w:bCs/>
        </w:rPr>
        <w:t xml:space="preserve"> prevention of and protection against domestic violence</w:t>
      </w:r>
      <w:r w:rsidR="00642BBC">
        <w:rPr>
          <w:b/>
        </w:rPr>
        <w:t>;</w:t>
      </w:r>
    </w:p>
    <w:p w:rsidR="00964B0B" w:rsidRDefault="00964B0B">
      <w:pPr>
        <w:pStyle w:val="SingleTxtG"/>
        <w:rPr>
          <w:b/>
          <w:bCs/>
        </w:rPr>
      </w:pPr>
      <w:r>
        <w:rPr>
          <w:b/>
          <w:bCs/>
        </w:rPr>
        <w:tab/>
      </w:r>
      <w:r w:rsidRPr="0057597F">
        <w:t>(e)</w:t>
      </w:r>
      <w:r>
        <w:rPr>
          <w:b/>
          <w:bCs/>
        </w:rPr>
        <w:tab/>
      </w:r>
      <w:r w:rsidRPr="009B44A9">
        <w:rPr>
          <w:b/>
        </w:rPr>
        <w:t xml:space="preserve">Organize </w:t>
      </w:r>
      <w:r w:rsidRPr="0023718D">
        <w:rPr>
          <w:b/>
          <w:noProof/>
        </w:rPr>
        <w:t>training</w:t>
      </w:r>
      <w:r w:rsidR="00642BBC">
        <w:rPr>
          <w:b/>
          <w:noProof/>
        </w:rPr>
        <w:t xml:space="preserve"> sessions</w:t>
      </w:r>
      <w:r w:rsidRPr="009B44A9">
        <w:rPr>
          <w:b/>
        </w:rPr>
        <w:t xml:space="preserve"> for local authorities</w:t>
      </w:r>
      <w:r w:rsidR="006012CB">
        <w:rPr>
          <w:b/>
        </w:rPr>
        <w:t xml:space="preserve"> and</w:t>
      </w:r>
      <w:r w:rsidRPr="009B44A9">
        <w:rPr>
          <w:b/>
        </w:rPr>
        <w:t xml:space="preserve"> law</w:t>
      </w:r>
      <w:r w:rsidR="00642BBC">
        <w:rPr>
          <w:b/>
        </w:rPr>
        <w:t xml:space="preserve"> </w:t>
      </w:r>
      <w:r w:rsidRPr="009B44A9">
        <w:rPr>
          <w:b/>
        </w:rPr>
        <w:t>enforcement officials, as well as social workers and medical personnel</w:t>
      </w:r>
      <w:r w:rsidR="00642BBC">
        <w:rPr>
          <w:b/>
        </w:rPr>
        <w:t>,</w:t>
      </w:r>
      <w:r w:rsidRPr="009B44A9">
        <w:rPr>
          <w:b/>
        </w:rPr>
        <w:t xml:space="preserve"> on how to detect and adequately advise victims of domestic violence.</w:t>
      </w:r>
    </w:p>
    <w:p w:rsidR="00E5492E" w:rsidRDefault="00E5492E" w:rsidP="0057597F">
      <w:pPr>
        <w:pStyle w:val="H23G"/>
        <w:ind w:firstLine="0"/>
      </w:pPr>
      <w:r w:rsidRPr="0057597F">
        <w:t>Voluntary termination of pregnancy</w:t>
      </w:r>
      <w:r w:rsidR="00642BBC">
        <w:t xml:space="preserve"> </w:t>
      </w:r>
    </w:p>
    <w:p w:rsidR="00E5492E" w:rsidRPr="0084270E" w:rsidRDefault="00E5492E" w:rsidP="0057536F">
      <w:pPr>
        <w:pStyle w:val="SingleTxtG"/>
        <w:numPr>
          <w:ilvl w:val="0"/>
          <w:numId w:val="4"/>
        </w:numPr>
        <w:ind w:left="1134" w:firstLine="0"/>
      </w:pPr>
      <w:r w:rsidRPr="0057597F">
        <w:t xml:space="preserve">The Committee is concerned about reports that the State party </w:t>
      </w:r>
      <w:r w:rsidR="00642BBC">
        <w:t xml:space="preserve">has </w:t>
      </w:r>
      <w:r w:rsidRPr="0057597F">
        <w:t>conducted anti-abortion campaigns over a number of years</w:t>
      </w:r>
      <w:r w:rsidR="00642BBC">
        <w:t>,</w:t>
      </w:r>
      <w:r w:rsidRPr="0057597F">
        <w:t xml:space="preserve"> which has had the effect of stigmatizing those who </w:t>
      </w:r>
      <w:r w:rsidR="00AA5AB2">
        <w:t xml:space="preserve">undergo </w:t>
      </w:r>
      <w:r w:rsidRPr="0057597F">
        <w:t>abortion</w:t>
      </w:r>
      <w:r w:rsidR="00AA5AB2">
        <w:t>s</w:t>
      </w:r>
      <w:r w:rsidRPr="0057597F">
        <w:t xml:space="preserve"> and may prompt </w:t>
      </w:r>
      <w:r w:rsidR="00AA5AB2">
        <w:t xml:space="preserve">some </w:t>
      </w:r>
      <w:r w:rsidRPr="0057597F">
        <w:t xml:space="preserve">women to seek </w:t>
      </w:r>
      <w:r w:rsidR="00AA5AB2">
        <w:t xml:space="preserve">to undergo </w:t>
      </w:r>
      <w:r w:rsidRPr="0057597F">
        <w:t xml:space="preserve">clandestine </w:t>
      </w:r>
      <w:r w:rsidRPr="0057597F">
        <w:lastRenderedPageBreak/>
        <w:t xml:space="preserve">abortions that </w:t>
      </w:r>
      <w:r w:rsidR="00AA5AB2">
        <w:t xml:space="preserve">are unsafe, </w:t>
      </w:r>
      <w:r w:rsidRPr="0057597F">
        <w:t>put</w:t>
      </w:r>
      <w:r w:rsidR="00AA5AB2">
        <w:t>ting</w:t>
      </w:r>
      <w:r w:rsidRPr="0057597F">
        <w:t xml:space="preserve"> their lives and health at risk. In this context, the Committee is </w:t>
      </w:r>
      <w:r w:rsidR="00AA5AB2">
        <w:t>also</w:t>
      </w:r>
      <w:r w:rsidRPr="0057597F">
        <w:t xml:space="preserve"> concerned that the cond</w:t>
      </w:r>
      <w:r w:rsidR="005136B9" w:rsidRPr="0041595E">
        <w:t>i</w:t>
      </w:r>
      <w:r w:rsidRPr="0057597F">
        <w:t>tions introduced in the Law on Termination of Pregnancy of 2013 may cumulatively limit access to legal abortion</w:t>
      </w:r>
      <w:r w:rsidR="00AA5AB2">
        <w:t>s</w:t>
      </w:r>
      <w:r w:rsidRPr="0057597F">
        <w:t xml:space="preserve"> (arts. 3, 6, 7</w:t>
      </w:r>
      <w:r w:rsidR="0057536F">
        <w:t xml:space="preserve"> and</w:t>
      </w:r>
      <w:r w:rsidRPr="0057597F">
        <w:t xml:space="preserve"> 17)</w:t>
      </w:r>
      <w:r w:rsidR="004B0049">
        <w:t>.</w:t>
      </w:r>
      <w:r w:rsidRPr="0057597F">
        <w:t xml:space="preserve"> </w:t>
      </w:r>
    </w:p>
    <w:p w:rsidR="00E5492E" w:rsidRPr="0057597F" w:rsidRDefault="00E5492E" w:rsidP="0057597F">
      <w:pPr>
        <w:pStyle w:val="SingleTxtG"/>
        <w:rPr>
          <w:b/>
          <w:bCs/>
        </w:rPr>
      </w:pPr>
      <w:r w:rsidRPr="0057597F">
        <w:rPr>
          <w:b/>
          <w:bCs/>
        </w:rPr>
        <w:t xml:space="preserve">The State party should avoid pursuing any further campaigns used to stigmatize those who </w:t>
      </w:r>
      <w:r w:rsidR="00AA5AB2">
        <w:rPr>
          <w:b/>
          <w:bCs/>
        </w:rPr>
        <w:t xml:space="preserve">undergo </w:t>
      </w:r>
      <w:r w:rsidRPr="0057597F">
        <w:rPr>
          <w:b/>
          <w:bCs/>
        </w:rPr>
        <w:t>abortion</w:t>
      </w:r>
      <w:r w:rsidR="00AA5AB2">
        <w:rPr>
          <w:b/>
          <w:bCs/>
        </w:rPr>
        <w:t>s</w:t>
      </w:r>
      <w:r w:rsidRPr="0057597F">
        <w:rPr>
          <w:b/>
          <w:bCs/>
        </w:rPr>
        <w:t xml:space="preserve">. It should take concrete measures, including amending the Law on Termination of Pregnancy, to eliminate all procedural barriers that </w:t>
      </w:r>
      <w:r w:rsidR="00AA5AB2">
        <w:rPr>
          <w:b/>
          <w:bCs/>
        </w:rPr>
        <w:t>c</w:t>
      </w:r>
      <w:r w:rsidRPr="0057597F">
        <w:rPr>
          <w:b/>
          <w:bCs/>
        </w:rPr>
        <w:t>ould lead women to resort to illegal abortions</w:t>
      </w:r>
      <w:r w:rsidR="00AA5AB2">
        <w:rPr>
          <w:b/>
          <w:bCs/>
        </w:rPr>
        <w:t>,</w:t>
      </w:r>
      <w:r w:rsidRPr="0057597F">
        <w:rPr>
          <w:b/>
          <w:bCs/>
        </w:rPr>
        <w:t xml:space="preserve"> </w:t>
      </w:r>
      <w:r w:rsidR="00AA5AB2">
        <w:rPr>
          <w:b/>
          <w:bCs/>
        </w:rPr>
        <w:t>which</w:t>
      </w:r>
      <w:r w:rsidRPr="0057597F">
        <w:rPr>
          <w:b/>
          <w:bCs/>
        </w:rPr>
        <w:t xml:space="preserve"> could put their lives and health at risk. </w:t>
      </w:r>
    </w:p>
    <w:p w:rsidR="00964B0B" w:rsidRPr="00E3135E" w:rsidRDefault="00964B0B" w:rsidP="0057597F">
      <w:pPr>
        <w:pStyle w:val="H23G"/>
        <w:ind w:firstLine="0"/>
      </w:pPr>
      <w:r w:rsidRPr="00873C13">
        <w:t xml:space="preserve">Torture and </w:t>
      </w:r>
      <w:r>
        <w:t>e</w:t>
      </w:r>
      <w:r w:rsidRPr="00E3135E">
        <w:t xml:space="preserve">xcessive use of force by law enforcement officials </w:t>
      </w:r>
    </w:p>
    <w:p w:rsidR="00964B0B" w:rsidRPr="009B44A9" w:rsidRDefault="00964B0B" w:rsidP="0057597F">
      <w:pPr>
        <w:pStyle w:val="SingleTxtG"/>
        <w:numPr>
          <w:ilvl w:val="0"/>
          <w:numId w:val="4"/>
        </w:numPr>
        <w:ind w:left="1134" w:firstLine="0"/>
      </w:pPr>
      <w:r w:rsidRPr="00E3135E">
        <w:t>The Committee is concerned a</w:t>
      </w:r>
      <w:r>
        <w:t>bout</w:t>
      </w:r>
      <w:r w:rsidRPr="00E3135E">
        <w:t xml:space="preserve"> reports of police brutality and excessive use of force by law enforcement officials, particularly against Roma </w:t>
      </w:r>
      <w:r>
        <w:t xml:space="preserve">and </w:t>
      </w:r>
      <w:r w:rsidR="00AA5AB2">
        <w:t xml:space="preserve">members of </w:t>
      </w:r>
      <w:r>
        <w:t>other minorities</w:t>
      </w:r>
      <w:r w:rsidRPr="00E3135E">
        <w:t>.</w:t>
      </w:r>
      <w:r>
        <w:t xml:space="preserve"> It is also concerned about reports of ill-treatment and torture by prison staff in detention facilities.</w:t>
      </w:r>
      <w:r w:rsidRPr="00E3135E">
        <w:t xml:space="preserve"> The Committee is </w:t>
      </w:r>
      <w:r w:rsidR="00AA5AB2">
        <w:t>also</w:t>
      </w:r>
      <w:r w:rsidR="00AA5AB2" w:rsidRPr="00E3135E">
        <w:t xml:space="preserve"> </w:t>
      </w:r>
      <w:r w:rsidRPr="00E3135E">
        <w:t xml:space="preserve">concerned </w:t>
      </w:r>
      <w:r>
        <w:t>about</w:t>
      </w:r>
      <w:r w:rsidRPr="00E3135E">
        <w:t xml:space="preserve"> the lack of investigation</w:t>
      </w:r>
      <w:r w:rsidRPr="009B44A9">
        <w:t xml:space="preserve"> </w:t>
      </w:r>
      <w:r w:rsidR="00AA5AB2">
        <w:t xml:space="preserve">of </w:t>
      </w:r>
      <w:r w:rsidRPr="009B44A9">
        <w:t xml:space="preserve">and prosecution </w:t>
      </w:r>
      <w:r w:rsidR="00AA5AB2">
        <w:t>for</w:t>
      </w:r>
      <w:r w:rsidR="00AA5AB2" w:rsidRPr="009B44A9">
        <w:t xml:space="preserve"> </w:t>
      </w:r>
      <w:r w:rsidRPr="009B44A9">
        <w:t>crimes committed by law enforcement personnel.</w:t>
      </w:r>
      <w:r w:rsidR="00E5492E">
        <w:t xml:space="preserve"> </w:t>
      </w:r>
      <w:r w:rsidR="00E5492E" w:rsidRPr="0057597F">
        <w:t>(arts. 2, 7 and 9)</w:t>
      </w:r>
      <w:r w:rsidR="004B0049">
        <w:t>.</w:t>
      </w:r>
      <w:r w:rsidR="00C16205">
        <w:t xml:space="preserve"> </w:t>
      </w:r>
    </w:p>
    <w:p w:rsidR="00964B0B" w:rsidRDefault="00964B0B">
      <w:pPr>
        <w:pStyle w:val="SingleTxtG"/>
        <w:rPr>
          <w:b/>
        </w:rPr>
      </w:pPr>
      <w:r w:rsidRPr="009B44A9">
        <w:rPr>
          <w:b/>
        </w:rPr>
        <w:t xml:space="preserve">The State party should strengthen its efforts to eliminate police brutality and the excessive use of force by </w:t>
      </w:r>
      <w:r w:rsidRPr="000555FA">
        <w:rPr>
          <w:b/>
        </w:rPr>
        <w:t>law enforcement officials</w:t>
      </w:r>
      <w:r w:rsidRPr="00BF4E25" w:rsidDel="00180D32">
        <w:rPr>
          <w:b/>
        </w:rPr>
        <w:t xml:space="preserve"> </w:t>
      </w:r>
      <w:r w:rsidRPr="000555FA">
        <w:rPr>
          <w:b/>
        </w:rPr>
        <w:t xml:space="preserve">and ensure that </w:t>
      </w:r>
      <w:r>
        <w:rPr>
          <w:b/>
        </w:rPr>
        <w:t xml:space="preserve">the </w:t>
      </w:r>
      <w:r w:rsidRPr="000555FA">
        <w:rPr>
          <w:b/>
        </w:rPr>
        <w:t>police force receive</w:t>
      </w:r>
      <w:r w:rsidR="003A3F2F">
        <w:rPr>
          <w:b/>
        </w:rPr>
        <w:t>s</w:t>
      </w:r>
      <w:r w:rsidRPr="000555FA">
        <w:rPr>
          <w:b/>
        </w:rPr>
        <w:t xml:space="preserve"> quality professional training </w:t>
      </w:r>
      <w:r w:rsidR="00AA5AB2">
        <w:rPr>
          <w:b/>
        </w:rPr>
        <w:t>that</w:t>
      </w:r>
      <w:r w:rsidR="00AA5AB2" w:rsidRPr="000555FA">
        <w:rPr>
          <w:b/>
        </w:rPr>
        <w:t xml:space="preserve"> </w:t>
      </w:r>
      <w:r w:rsidRPr="000555FA">
        <w:rPr>
          <w:b/>
        </w:rPr>
        <w:t>includes full respect for human rights. The State party should also ensure that cases of</w:t>
      </w:r>
      <w:r>
        <w:rPr>
          <w:b/>
        </w:rPr>
        <w:t xml:space="preserve"> t</w:t>
      </w:r>
      <w:r w:rsidRPr="00364F2A">
        <w:rPr>
          <w:b/>
        </w:rPr>
        <w:t>orture and</w:t>
      </w:r>
      <w:r>
        <w:rPr>
          <w:b/>
        </w:rPr>
        <w:t xml:space="preserve"> </w:t>
      </w:r>
      <w:r w:rsidRPr="000555FA">
        <w:rPr>
          <w:b/>
        </w:rPr>
        <w:t>excessive use of force by law enforcement</w:t>
      </w:r>
      <w:r>
        <w:rPr>
          <w:b/>
        </w:rPr>
        <w:t xml:space="preserve"> officials</w:t>
      </w:r>
      <w:r w:rsidRPr="000555FA">
        <w:rPr>
          <w:b/>
        </w:rPr>
        <w:t xml:space="preserve"> are systematically investigated, that the perpetrators are prosecuted and punished and that appropriate compensation is awarded to the victims.</w:t>
      </w:r>
      <w:r w:rsidR="00C16205">
        <w:rPr>
          <w:b/>
        </w:rPr>
        <w:t xml:space="preserve"> </w:t>
      </w:r>
    </w:p>
    <w:p w:rsidR="00964B0B" w:rsidRPr="009B44A9" w:rsidRDefault="00B6172D" w:rsidP="0057597F">
      <w:pPr>
        <w:pStyle w:val="H23G"/>
      </w:pPr>
      <w:r>
        <w:tab/>
      </w:r>
      <w:r>
        <w:tab/>
      </w:r>
      <w:r w:rsidR="00964B0B">
        <w:t>Conditions of detention</w:t>
      </w:r>
      <w:r w:rsidR="00964B0B" w:rsidRPr="009B44A9">
        <w:t xml:space="preserve"> </w:t>
      </w:r>
    </w:p>
    <w:p w:rsidR="00964B0B" w:rsidRPr="00E5492E" w:rsidRDefault="00964B0B" w:rsidP="0057597F">
      <w:pPr>
        <w:pStyle w:val="SingleTxtG"/>
        <w:numPr>
          <w:ilvl w:val="0"/>
          <w:numId w:val="4"/>
        </w:numPr>
        <w:ind w:left="1134" w:firstLine="0"/>
      </w:pPr>
      <w:r w:rsidRPr="0057597F">
        <w:t>The Committee is concerned about reports of poor living conditions in detention facilities, including a high rate of overcrowding, security concerns</w:t>
      </w:r>
      <w:r w:rsidR="005136B9" w:rsidRPr="00AA5AB2">
        <w:t xml:space="preserve"> and</w:t>
      </w:r>
      <w:r w:rsidRPr="0057597F">
        <w:t xml:space="preserve"> </w:t>
      </w:r>
      <w:r w:rsidR="007E068D" w:rsidRPr="00AA5AB2">
        <w:t xml:space="preserve">poor </w:t>
      </w:r>
      <w:r w:rsidR="006012CB" w:rsidRPr="0057597F">
        <w:t xml:space="preserve">sanitary </w:t>
      </w:r>
      <w:r w:rsidR="00935B53" w:rsidRPr="00AA5AB2">
        <w:t xml:space="preserve">and </w:t>
      </w:r>
      <w:r w:rsidRPr="0057597F">
        <w:t xml:space="preserve">health conditions </w:t>
      </w:r>
      <w:r w:rsidR="00E5492E" w:rsidRPr="0057597F">
        <w:t>(art. 10)</w:t>
      </w:r>
      <w:r w:rsidR="004B0049">
        <w:t>.</w:t>
      </w:r>
    </w:p>
    <w:p w:rsidR="00964B0B" w:rsidRDefault="00964B0B" w:rsidP="00964B0B">
      <w:pPr>
        <w:pStyle w:val="SingleTxtG"/>
        <w:rPr>
          <w:b/>
          <w:lang w:eastAsia="fr-CH"/>
        </w:rPr>
      </w:pPr>
      <w:r w:rsidRPr="009B44A9">
        <w:rPr>
          <w:b/>
        </w:rPr>
        <w:t>The State party should strengthen its efforts to improve the living conditions</w:t>
      </w:r>
      <w:r>
        <w:rPr>
          <w:b/>
        </w:rPr>
        <w:t xml:space="preserve"> in detention facilities</w:t>
      </w:r>
      <w:r w:rsidRPr="009B44A9">
        <w:rPr>
          <w:b/>
        </w:rPr>
        <w:t xml:space="preserve"> on a sustainable basis with regard to</w:t>
      </w:r>
      <w:r>
        <w:rPr>
          <w:b/>
        </w:rPr>
        <w:t xml:space="preserve"> access to</w:t>
      </w:r>
      <w:r w:rsidRPr="009B44A9">
        <w:rPr>
          <w:b/>
        </w:rPr>
        <w:t xml:space="preserve"> adequate health</w:t>
      </w:r>
      <w:r w:rsidR="00AA5AB2">
        <w:rPr>
          <w:b/>
        </w:rPr>
        <w:t>-</w:t>
      </w:r>
      <w:r w:rsidRPr="009B44A9">
        <w:rPr>
          <w:b/>
        </w:rPr>
        <w:t>care services and sanitary conditions, with a view to achieving full compliance with the requirements of article 10</w:t>
      </w:r>
      <w:r w:rsidRPr="001D7DF8">
        <w:rPr>
          <w:b/>
        </w:rPr>
        <w:t xml:space="preserve">. </w:t>
      </w:r>
      <w:r w:rsidRPr="001D7DF8">
        <w:rPr>
          <w:rFonts w:eastAsia="SimSun"/>
          <w:b/>
          <w:lang w:val="en-US" w:eastAsia="zh-CN"/>
        </w:rPr>
        <w:t>It should also take measures to reduce overcrowding, including by using alternatives to detention.</w:t>
      </w:r>
      <w:r>
        <w:rPr>
          <w:b/>
          <w:lang w:eastAsia="fr-CH"/>
        </w:rPr>
        <w:t xml:space="preserve"> </w:t>
      </w:r>
    </w:p>
    <w:p w:rsidR="00964B0B" w:rsidRPr="00DC5C27" w:rsidRDefault="00B6172D" w:rsidP="0057597F">
      <w:pPr>
        <w:pStyle w:val="H23G"/>
        <w:rPr>
          <w:lang w:eastAsia="en-GB"/>
        </w:rPr>
      </w:pPr>
      <w:r>
        <w:rPr>
          <w:lang w:eastAsia="en-GB"/>
        </w:rPr>
        <w:tab/>
      </w:r>
      <w:r>
        <w:rPr>
          <w:lang w:eastAsia="en-GB"/>
        </w:rPr>
        <w:tab/>
      </w:r>
      <w:r w:rsidR="00964B0B" w:rsidRPr="00DC5C27">
        <w:rPr>
          <w:lang w:eastAsia="en-GB"/>
        </w:rPr>
        <w:t>Administration of justice</w:t>
      </w:r>
      <w:r w:rsidR="00964B0B" w:rsidRPr="00DC5C27">
        <w:t xml:space="preserve"> </w:t>
      </w:r>
    </w:p>
    <w:p w:rsidR="00964B0B" w:rsidRPr="00DC5C27" w:rsidRDefault="00964B0B" w:rsidP="0057597F">
      <w:pPr>
        <w:pStyle w:val="SingleTxtG"/>
        <w:numPr>
          <w:ilvl w:val="0"/>
          <w:numId w:val="4"/>
        </w:numPr>
        <w:ind w:left="1134" w:firstLine="0"/>
      </w:pPr>
      <w:r>
        <w:t>T</w:t>
      </w:r>
      <w:r w:rsidRPr="00DC5C27">
        <w:t>he Committee is concerned about</w:t>
      </w:r>
      <w:r w:rsidR="006012CB">
        <w:t xml:space="preserve"> </w:t>
      </w:r>
      <w:r>
        <w:t xml:space="preserve">shortcomings in the independence of the </w:t>
      </w:r>
      <w:r w:rsidRPr="00DC5C27">
        <w:t>judiciary</w:t>
      </w:r>
      <w:r>
        <w:t>, including in the</w:t>
      </w:r>
      <w:r w:rsidRPr="00DC5C27">
        <w:t xml:space="preserve"> procedure </w:t>
      </w:r>
      <w:r>
        <w:t xml:space="preserve">of </w:t>
      </w:r>
      <w:r w:rsidRPr="00DC5C27">
        <w:t>appointment and</w:t>
      </w:r>
      <w:r w:rsidR="006012CB">
        <w:t xml:space="preserve"> </w:t>
      </w:r>
      <w:r>
        <w:t>promotion and discipline</w:t>
      </w:r>
      <w:r>
        <w:softHyphen/>
        <w:t xml:space="preserve"> </w:t>
      </w:r>
      <w:r w:rsidRPr="00DC5C27">
        <w:t>of judges</w:t>
      </w:r>
      <w:r>
        <w:t xml:space="preserve"> and </w:t>
      </w:r>
      <w:r w:rsidRPr="00DC5C27">
        <w:t>allegations of political interference</w:t>
      </w:r>
      <w:r>
        <w:t xml:space="preserve"> over certain court proceedings</w:t>
      </w:r>
      <w:r w:rsidR="005136B9">
        <w:t>.</w:t>
      </w:r>
      <w:r>
        <w:t xml:space="preserve"> It </w:t>
      </w:r>
      <w:r w:rsidRPr="00DC5C27">
        <w:t xml:space="preserve">is also concerned about </w:t>
      </w:r>
      <w:r w:rsidRPr="0023718D">
        <w:rPr>
          <w:noProof/>
        </w:rPr>
        <w:t>undue</w:t>
      </w:r>
      <w:r w:rsidRPr="00DC5C27">
        <w:t xml:space="preserve"> delay</w:t>
      </w:r>
      <w:r w:rsidR="00AA5AB2">
        <w:t>s</w:t>
      </w:r>
      <w:r w:rsidRPr="00DC5C27">
        <w:t xml:space="preserve"> in tr</w:t>
      </w:r>
      <w:r>
        <w:t>ia</w:t>
      </w:r>
      <w:r w:rsidRPr="00DC5C27">
        <w:t xml:space="preserve">l procedures, in particular in </w:t>
      </w:r>
      <w:r>
        <w:rPr>
          <w:noProof/>
        </w:rPr>
        <w:t>f</w:t>
      </w:r>
      <w:r w:rsidRPr="0023718D">
        <w:rPr>
          <w:noProof/>
        </w:rPr>
        <w:t>irst</w:t>
      </w:r>
      <w:r w:rsidRPr="00DC5C27">
        <w:t xml:space="preserve"> instance and </w:t>
      </w:r>
      <w:r>
        <w:t>a</w:t>
      </w:r>
      <w:r w:rsidRPr="00DC5C27">
        <w:t xml:space="preserve">dministrative </w:t>
      </w:r>
      <w:r>
        <w:t>c</w:t>
      </w:r>
      <w:r w:rsidRPr="00DC5C27">
        <w:t>ourts</w:t>
      </w:r>
      <w:r>
        <w:t>, which ha</w:t>
      </w:r>
      <w:r w:rsidR="00AA5AB2">
        <w:t>ve</w:t>
      </w:r>
      <w:r>
        <w:t xml:space="preserve"> resulted in a </w:t>
      </w:r>
      <w:r w:rsidRPr="00DC5C27">
        <w:t>substantial backlog of court cases</w:t>
      </w:r>
      <w:r w:rsidR="00DB5A53">
        <w:t xml:space="preserve"> </w:t>
      </w:r>
      <w:r w:rsidR="00DB5A53" w:rsidRPr="00DC5C27">
        <w:t>(art. 14)</w:t>
      </w:r>
      <w:r w:rsidR="004B0049">
        <w:t>.</w:t>
      </w:r>
    </w:p>
    <w:p w:rsidR="00964B0B" w:rsidRPr="0057597F" w:rsidRDefault="00964B0B" w:rsidP="0057597F">
      <w:pPr>
        <w:pStyle w:val="SingleTxtG"/>
        <w:rPr>
          <w:b/>
          <w:bCs/>
        </w:rPr>
      </w:pPr>
      <w:r w:rsidRPr="0057597F">
        <w:rPr>
          <w:b/>
          <w:bCs/>
        </w:rPr>
        <w:t>The State party should:</w:t>
      </w:r>
    </w:p>
    <w:p w:rsidR="00964B0B" w:rsidRPr="0057597F" w:rsidRDefault="00964B0B" w:rsidP="0057597F">
      <w:pPr>
        <w:pStyle w:val="SingleTxtG"/>
        <w:rPr>
          <w:b/>
          <w:bCs/>
        </w:rPr>
      </w:pPr>
      <w:r w:rsidRPr="0057597F">
        <w:rPr>
          <w:b/>
          <w:bCs/>
        </w:rPr>
        <w:tab/>
      </w:r>
      <w:r w:rsidRPr="0041595E">
        <w:t>(a)</w:t>
      </w:r>
      <w:r w:rsidRPr="0057597F">
        <w:rPr>
          <w:b/>
          <w:bCs/>
        </w:rPr>
        <w:tab/>
      </w:r>
      <w:r w:rsidR="005136B9" w:rsidRPr="0057597F">
        <w:rPr>
          <w:b/>
          <w:bCs/>
        </w:rPr>
        <w:t>R</w:t>
      </w:r>
      <w:r w:rsidRPr="0057597F">
        <w:rPr>
          <w:b/>
          <w:bCs/>
        </w:rPr>
        <w:t xml:space="preserve">einforce measures to guarantee and protect the full independence and impartiality of the judiciary by ensuring that judiciaries operate without pressure and interference from the executive power or other outside influences; </w:t>
      </w:r>
    </w:p>
    <w:p w:rsidR="00964B0B" w:rsidRPr="0057597F" w:rsidRDefault="00964B0B" w:rsidP="0057597F">
      <w:pPr>
        <w:pStyle w:val="SingleTxtG"/>
        <w:rPr>
          <w:b/>
          <w:bCs/>
        </w:rPr>
      </w:pPr>
      <w:r w:rsidRPr="0057597F">
        <w:rPr>
          <w:b/>
          <w:bCs/>
        </w:rPr>
        <w:tab/>
      </w:r>
      <w:r w:rsidRPr="0041595E">
        <w:t>(b)</w:t>
      </w:r>
      <w:r w:rsidRPr="0057597F">
        <w:rPr>
          <w:b/>
          <w:bCs/>
        </w:rPr>
        <w:tab/>
        <w:t>Ensure that the appointment and promotion of judges is made in accordance with objective criteria of competence and merit</w:t>
      </w:r>
      <w:r w:rsidR="006012CB" w:rsidRPr="0057597F">
        <w:rPr>
          <w:b/>
          <w:bCs/>
        </w:rPr>
        <w:t xml:space="preserve"> </w:t>
      </w:r>
      <w:r w:rsidRPr="0057597F">
        <w:rPr>
          <w:b/>
          <w:bCs/>
        </w:rPr>
        <w:t xml:space="preserve">and that dismissal of judges takes place with full respect for due process and on the basis of predetermination of </w:t>
      </w:r>
      <w:r w:rsidR="00FF7964">
        <w:rPr>
          <w:b/>
          <w:bCs/>
        </w:rPr>
        <w:t xml:space="preserve">the </w:t>
      </w:r>
      <w:r w:rsidRPr="0057597F">
        <w:rPr>
          <w:b/>
          <w:bCs/>
        </w:rPr>
        <w:t>causes for dismissal</w:t>
      </w:r>
      <w:r w:rsidR="005136B9" w:rsidRPr="0057597F">
        <w:rPr>
          <w:b/>
          <w:bCs/>
        </w:rPr>
        <w:t>;</w:t>
      </w:r>
      <w:r w:rsidR="00C16205" w:rsidRPr="0057597F">
        <w:rPr>
          <w:b/>
          <w:bCs/>
        </w:rPr>
        <w:t xml:space="preserve"> </w:t>
      </w:r>
    </w:p>
    <w:p w:rsidR="00964B0B" w:rsidRPr="0057597F" w:rsidRDefault="00964B0B" w:rsidP="0057597F">
      <w:pPr>
        <w:pStyle w:val="SingleTxtG"/>
        <w:rPr>
          <w:b/>
          <w:bCs/>
        </w:rPr>
      </w:pPr>
      <w:r w:rsidRPr="0057597F">
        <w:rPr>
          <w:b/>
          <w:bCs/>
        </w:rPr>
        <w:lastRenderedPageBreak/>
        <w:tab/>
      </w:r>
      <w:r w:rsidRPr="0041595E">
        <w:t>(c)</w:t>
      </w:r>
      <w:r w:rsidRPr="0041595E">
        <w:tab/>
      </w:r>
      <w:r w:rsidRPr="0057597F">
        <w:rPr>
          <w:b/>
          <w:bCs/>
        </w:rPr>
        <w:t>Ensure the right to a fair trial without undue delay in line with article 14 of the Covenant;</w:t>
      </w:r>
      <w:r w:rsidR="00F13D03" w:rsidRPr="0057597F">
        <w:rPr>
          <w:b/>
          <w:bCs/>
        </w:rPr>
        <w:t xml:space="preserve"> </w:t>
      </w:r>
    </w:p>
    <w:p w:rsidR="00964B0B" w:rsidRPr="0057597F" w:rsidRDefault="00964B0B" w:rsidP="0057597F">
      <w:pPr>
        <w:pStyle w:val="SingleTxtG"/>
        <w:rPr>
          <w:b/>
          <w:bCs/>
        </w:rPr>
      </w:pPr>
      <w:r w:rsidRPr="0057597F">
        <w:rPr>
          <w:b/>
          <w:bCs/>
        </w:rPr>
        <w:tab/>
      </w:r>
      <w:r w:rsidRPr="0041595E">
        <w:t>(d)</w:t>
      </w:r>
      <w:r w:rsidRPr="0041595E">
        <w:tab/>
      </w:r>
      <w:r w:rsidR="006012CB" w:rsidRPr="0057597F">
        <w:rPr>
          <w:b/>
          <w:bCs/>
        </w:rPr>
        <w:t>I</w:t>
      </w:r>
      <w:r w:rsidRPr="0057597F">
        <w:rPr>
          <w:b/>
          <w:bCs/>
        </w:rPr>
        <w:t xml:space="preserve">mprove the functioning of the judicial system, including </w:t>
      </w:r>
      <w:r w:rsidR="00AA5AB2">
        <w:rPr>
          <w:b/>
          <w:bCs/>
        </w:rPr>
        <w:t>by</w:t>
      </w:r>
      <w:r w:rsidR="00AA5AB2" w:rsidRPr="0057597F">
        <w:rPr>
          <w:b/>
          <w:bCs/>
        </w:rPr>
        <w:t xml:space="preserve"> </w:t>
      </w:r>
      <w:r w:rsidRPr="0057597F">
        <w:rPr>
          <w:b/>
          <w:bCs/>
        </w:rPr>
        <w:t>increasing the number of qualified and professionally trained judicial personnel</w:t>
      </w:r>
      <w:r w:rsidR="005136B9" w:rsidRPr="0057597F">
        <w:rPr>
          <w:b/>
          <w:bCs/>
        </w:rPr>
        <w:t>.</w:t>
      </w:r>
    </w:p>
    <w:p w:rsidR="00964B0B" w:rsidRPr="009B44A9" w:rsidRDefault="00964B0B">
      <w:pPr>
        <w:pStyle w:val="H23G"/>
      </w:pPr>
      <w:r>
        <w:tab/>
      </w:r>
      <w:r>
        <w:tab/>
      </w:r>
      <w:r w:rsidRPr="009B44A9">
        <w:t xml:space="preserve">Trafficking in human beings </w:t>
      </w:r>
    </w:p>
    <w:p w:rsidR="00964B0B" w:rsidRPr="0057597F" w:rsidRDefault="00964B0B" w:rsidP="0057597F">
      <w:pPr>
        <w:pStyle w:val="SingleTxtG"/>
        <w:numPr>
          <w:ilvl w:val="0"/>
          <w:numId w:val="4"/>
        </w:numPr>
        <w:ind w:left="1134" w:firstLine="0"/>
        <w:rPr>
          <w:color w:val="000000"/>
        </w:rPr>
      </w:pPr>
      <w:r w:rsidRPr="009B44A9">
        <w:t>The Committee regrets the lack of information on measures taken to combat trafficking in human beings for the purposes of forced labour and sexual exploitation. The Committee is also concerned about the low number of identified victims of tr</w:t>
      </w:r>
      <w:r>
        <w:t xml:space="preserve">afficking </w:t>
      </w:r>
      <w:r w:rsidRPr="009B44A9">
        <w:t xml:space="preserve">and </w:t>
      </w:r>
      <w:r w:rsidR="00AA5AB2">
        <w:t>about</w:t>
      </w:r>
      <w:r w:rsidR="00AA5AB2" w:rsidRPr="009B44A9">
        <w:t xml:space="preserve"> </w:t>
      </w:r>
      <w:r w:rsidRPr="009B44A9">
        <w:t>the fact that the majority</w:t>
      </w:r>
      <w:r>
        <w:t xml:space="preserve"> of those identified</w:t>
      </w:r>
      <w:r w:rsidRPr="009B44A9">
        <w:t xml:space="preserve"> </w:t>
      </w:r>
      <w:r w:rsidR="003A3F2F">
        <w:t>are</w:t>
      </w:r>
      <w:r w:rsidR="00AA5AB2" w:rsidRPr="009B44A9">
        <w:t xml:space="preserve"> </w:t>
      </w:r>
      <w:r w:rsidRPr="009B44A9">
        <w:t xml:space="preserve">children. It is also concerned at the lack of information on the number of reported cases, investigations and prosecutions initiated and actual convictions </w:t>
      </w:r>
      <w:r w:rsidR="00DB5A53" w:rsidRPr="003C7A31">
        <w:t>(</w:t>
      </w:r>
      <w:r w:rsidR="00DB5A53" w:rsidRPr="0041595E">
        <w:t>art. 8)</w:t>
      </w:r>
      <w:r w:rsidR="004B0049">
        <w:t>.</w:t>
      </w:r>
    </w:p>
    <w:p w:rsidR="00964B0B" w:rsidRPr="0057597F" w:rsidRDefault="00964B0B" w:rsidP="0057597F">
      <w:pPr>
        <w:pStyle w:val="SingleTxtG"/>
        <w:rPr>
          <w:b/>
          <w:bCs/>
        </w:rPr>
      </w:pPr>
      <w:r w:rsidRPr="0057597F">
        <w:rPr>
          <w:b/>
          <w:bCs/>
        </w:rPr>
        <w:t>The State party should take measures to combat trafficking in persons, systematically and vigorously investigate and prosecute perpetrators and ensure that, when convicted, they are adequately sanctioned. The State party should intensify its effort</w:t>
      </w:r>
      <w:r w:rsidR="00AA5AB2">
        <w:rPr>
          <w:b/>
          <w:bCs/>
        </w:rPr>
        <w:t>s</w:t>
      </w:r>
      <w:r w:rsidRPr="0057597F">
        <w:rPr>
          <w:b/>
          <w:bCs/>
        </w:rPr>
        <w:t xml:space="preserve"> to guarantee adequate protection, reparation and compensation to victims, including rehabilitation. </w:t>
      </w:r>
    </w:p>
    <w:p w:rsidR="00964B0B" w:rsidRPr="009B44A9" w:rsidRDefault="00B6172D" w:rsidP="0057597F">
      <w:pPr>
        <w:pStyle w:val="H23G"/>
      </w:pPr>
      <w:r>
        <w:tab/>
      </w:r>
      <w:r>
        <w:tab/>
      </w:r>
      <w:r w:rsidR="00964B0B" w:rsidRPr="009B44A9">
        <w:t xml:space="preserve">Freedom of </w:t>
      </w:r>
      <w:r w:rsidR="00964B0B">
        <w:t>m</w:t>
      </w:r>
      <w:r w:rsidR="00964B0B" w:rsidRPr="009B44A9">
        <w:t>ovement</w:t>
      </w:r>
      <w:r w:rsidR="00964B0B">
        <w:t xml:space="preserve"> </w:t>
      </w:r>
    </w:p>
    <w:p w:rsidR="00964B0B" w:rsidRDefault="00964B0B" w:rsidP="0057597F">
      <w:pPr>
        <w:pStyle w:val="SingleTxtG"/>
        <w:numPr>
          <w:ilvl w:val="0"/>
          <w:numId w:val="4"/>
        </w:numPr>
        <w:ind w:left="1134" w:firstLine="0"/>
      </w:pPr>
      <w:r w:rsidRPr="009B44A9">
        <w:t xml:space="preserve">The Committee is concerned </w:t>
      </w:r>
      <w:r>
        <w:t>about</w:t>
      </w:r>
      <w:r w:rsidRPr="009B44A9">
        <w:t xml:space="preserve"> the fact that between 2011 and the end of 2014, </w:t>
      </w:r>
      <w:r>
        <w:t>thousands</w:t>
      </w:r>
      <w:r w:rsidRPr="009B44A9">
        <w:t xml:space="preserve"> </w:t>
      </w:r>
      <w:r>
        <w:t xml:space="preserve">of State party </w:t>
      </w:r>
      <w:r w:rsidRPr="009B44A9">
        <w:t xml:space="preserve">nationals were denied exit from the territory of the State party and </w:t>
      </w:r>
      <w:r w:rsidR="00B35ECD">
        <w:t xml:space="preserve">about </w:t>
      </w:r>
      <w:r w:rsidRPr="009B44A9">
        <w:t xml:space="preserve">allegations of ethnic profiling, particularly </w:t>
      </w:r>
      <w:r w:rsidR="00AA5AB2">
        <w:t xml:space="preserve">of </w:t>
      </w:r>
      <w:r w:rsidRPr="009B44A9">
        <w:t xml:space="preserve">Roma, limiting freedom of movement across the State party’s borders </w:t>
      </w:r>
      <w:r w:rsidR="00DB5A53" w:rsidRPr="0057597F">
        <w:t>(art. 12)</w:t>
      </w:r>
      <w:r w:rsidR="004B0049">
        <w:t>.</w:t>
      </w:r>
    </w:p>
    <w:p w:rsidR="00964B0B" w:rsidRDefault="00964B0B" w:rsidP="0057597F">
      <w:pPr>
        <w:pStyle w:val="SingleTxtG"/>
        <w:rPr>
          <w:b/>
          <w:bCs/>
        </w:rPr>
      </w:pPr>
      <w:r w:rsidRPr="009B44A9">
        <w:rPr>
          <w:b/>
          <w:bCs/>
        </w:rPr>
        <w:t xml:space="preserve">The State </w:t>
      </w:r>
      <w:r w:rsidR="00AA5AB2">
        <w:rPr>
          <w:b/>
          <w:bCs/>
        </w:rPr>
        <w:t>p</w:t>
      </w:r>
      <w:r w:rsidRPr="009B44A9">
        <w:rPr>
          <w:b/>
          <w:bCs/>
        </w:rPr>
        <w:t xml:space="preserve">arty should take measures to ensure that the right </w:t>
      </w:r>
      <w:r>
        <w:rPr>
          <w:b/>
          <w:bCs/>
        </w:rPr>
        <w:t>to</w:t>
      </w:r>
      <w:r w:rsidRPr="009B44A9">
        <w:rPr>
          <w:b/>
          <w:bCs/>
        </w:rPr>
        <w:t xml:space="preserve"> freedom of movement in the State </w:t>
      </w:r>
      <w:r>
        <w:rPr>
          <w:b/>
          <w:bCs/>
        </w:rPr>
        <w:t>p</w:t>
      </w:r>
      <w:r w:rsidRPr="009B44A9">
        <w:rPr>
          <w:b/>
          <w:bCs/>
        </w:rPr>
        <w:t>arty is fully respected</w:t>
      </w:r>
      <w:r w:rsidR="00AA5AB2">
        <w:rPr>
          <w:b/>
          <w:bCs/>
        </w:rPr>
        <w:t>,</w:t>
      </w:r>
      <w:r w:rsidRPr="009B44A9">
        <w:rPr>
          <w:b/>
          <w:bCs/>
        </w:rPr>
        <w:t xml:space="preserve"> in compliance with article 12 of the Covenant.</w:t>
      </w:r>
      <w:r w:rsidR="00C16205">
        <w:rPr>
          <w:b/>
          <w:bCs/>
        </w:rPr>
        <w:t xml:space="preserve"> </w:t>
      </w:r>
    </w:p>
    <w:p w:rsidR="00964B0B" w:rsidRPr="0041595E" w:rsidRDefault="00B6172D" w:rsidP="0057597F">
      <w:pPr>
        <w:pStyle w:val="H23G"/>
      </w:pPr>
      <w:r>
        <w:tab/>
      </w:r>
      <w:r>
        <w:tab/>
      </w:r>
      <w:r w:rsidR="00964B0B" w:rsidRPr="00CB7BF3">
        <w:t>Non-discrimination and</w:t>
      </w:r>
      <w:r w:rsidR="003A3325" w:rsidRPr="00CB7BF3">
        <w:t xml:space="preserve"> the</w:t>
      </w:r>
      <w:r w:rsidR="00964B0B" w:rsidRPr="00CB7BF3">
        <w:t xml:space="preserve"> rights of refugees and asylum</w:t>
      </w:r>
      <w:r w:rsidR="00AA5AB2" w:rsidRPr="00CB7BF3">
        <w:t xml:space="preserve"> </w:t>
      </w:r>
      <w:r w:rsidR="00964B0B" w:rsidRPr="00CB7BF3">
        <w:t>seekers</w:t>
      </w:r>
    </w:p>
    <w:p w:rsidR="00964B0B" w:rsidRDefault="00964B0B" w:rsidP="0057597F">
      <w:pPr>
        <w:pStyle w:val="SingleTxtG"/>
        <w:numPr>
          <w:ilvl w:val="0"/>
          <w:numId w:val="4"/>
        </w:numPr>
        <w:ind w:left="1134" w:firstLine="0"/>
        <w:rPr>
          <w:color w:val="000000"/>
        </w:rPr>
      </w:pPr>
      <w:r w:rsidRPr="00CB7BF3">
        <w:rPr>
          <w:color w:val="000000"/>
        </w:rPr>
        <w:t>The Committee is concerned that conditions of detention for migrants</w:t>
      </w:r>
      <w:r w:rsidR="002C42D6" w:rsidRPr="00CB7BF3">
        <w:rPr>
          <w:color w:val="000000"/>
        </w:rPr>
        <w:t xml:space="preserve"> and</w:t>
      </w:r>
      <w:r w:rsidR="002C42D6">
        <w:rPr>
          <w:color w:val="000000"/>
        </w:rPr>
        <w:t xml:space="preserve"> asylum seekers, including</w:t>
      </w:r>
      <w:r>
        <w:rPr>
          <w:color w:val="000000"/>
        </w:rPr>
        <w:t xml:space="preserve"> </w:t>
      </w:r>
      <w:r w:rsidR="005136B9">
        <w:rPr>
          <w:color w:val="000000"/>
        </w:rPr>
        <w:t xml:space="preserve">in </w:t>
      </w:r>
      <w:r>
        <w:rPr>
          <w:color w:val="000000"/>
        </w:rPr>
        <w:t>the Reception Centre for Foreigners (Gazi Baba)</w:t>
      </w:r>
      <w:r w:rsidR="005136B9">
        <w:rPr>
          <w:color w:val="000000"/>
        </w:rPr>
        <w:t>,</w:t>
      </w:r>
      <w:r>
        <w:rPr>
          <w:color w:val="000000"/>
        </w:rPr>
        <w:t xml:space="preserve"> are inhuman and degrading, and include overcrowding</w:t>
      </w:r>
      <w:r w:rsidR="003A3325">
        <w:rPr>
          <w:color w:val="000000"/>
        </w:rPr>
        <w:t xml:space="preserve"> and</w:t>
      </w:r>
      <w:r>
        <w:rPr>
          <w:rFonts w:ascii="Helv" w:hAnsi="Helv" w:cs="Helv"/>
          <w:color w:val="000000"/>
        </w:rPr>
        <w:t xml:space="preserve"> </w:t>
      </w:r>
      <w:r>
        <w:rPr>
          <w:color w:val="000000"/>
        </w:rPr>
        <w:t>inadequate sanitary conditions and health-care services. It is also concerned that</w:t>
      </w:r>
      <w:r w:rsidR="003A3325">
        <w:rPr>
          <w:color w:val="000000"/>
        </w:rPr>
        <w:t xml:space="preserve"> although</w:t>
      </w:r>
      <w:r>
        <w:rPr>
          <w:color w:val="000000"/>
        </w:rPr>
        <w:t xml:space="preserve"> the Law on Foreigners (</w:t>
      </w:r>
      <w:r w:rsidR="003A3325">
        <w:rPr>
          <w:color w:val="000000"/>
        </w:rPr>
        <w:t>a</w:t>
      </w:r>
      <w:r>
        <w:rPr>
          <w:color w:val="000000"/>
        </w:rPr>
        <w:t>rt</w:t>
      </w:r>
      <w:r w:rsidR="003A3325">
        <w:rPr>
          <w:color w:val="000000"/>
        </w:rPr>
        <w:t>s.</w:t>
      </w:r>
      <w:r>
        <w:rPr>
          <w:color w:val="000000"/>
        </w:rPr>
        <w:t xml:space="preserve"> 112</w:t>
      </w:r>
      <w:r w:rsidR="003A3325">
        <w:rPr>
          <w:color w:val="000000"/>
        </w:rPr>
        <w:t xml:space="preserve"> and </w:t>
      </w:r>
      <w:r>
        <w:rPr>
          <w:color w:val="000000"/>
        </w:rPr>
        <w:t xml:space="preserve">113) stipulates that </w:t>
      </w:r>
      <w:r w:rsidR="002C42D6">
        <w:rPr>
          <w:color w:val="000000"/>
        </w:rPr>
        <w:t xml:space="preserve">unaccompanied </w:t>
      </w:r>
      <w:r>
        <w:rPr>
          <w:color w:val="000000"/>
        </w:rPr>
        <w:t xml:space="preserve">minors should be separated from adults and </w:t>
      </w:r>
      <w:r w:rsidR="008E2F81">
        <w:rPr>
          <w:color w:val="000000"/>
        </w:rPr>
        <w:t>have</w:t>
      </w:r>
      <w:r>
        <w:rPr>
          <w:color w:val="000000"/>
        </w:rPr>
        <w:t xml:space="preserve"> guardians assigned to them, </w:t>
      </w:r>
      <w:r w:rsidR="003A3325">
        <w:rPr>
          <w:color w:val="000000"/>
        </w:rPr>
        <w:t>the L</w:t>
      </w:r>
      <w:r>
        <w:rPr>
          <w:color w:val="000000"/>
        </w:rPr>
        <w:t>aw is not always implemented.</w:t>
      </w:r>
      <w:r w:rsidR="00C16205">
        <w:rPr>
          <w:color w:val="000000"/>
        </w:rPr>
        <w:t xml:space="preserve"> </w:t>
      </w:r>
      <w:r>
        <w:rPr>
          <w:color w:val="000000"/>
        </w:rPr>
        <w:t xml:space="preserve">The Committee is further concerned about the reported practice of denying or revoking the </w:t>
      </w:r>
      <w:r w:rsidR="00935B53" w:rsidRPr="003A3F2F">
        <w:rPr>
          <w:color w:val="000000"/>
        </w:rPr>
        <w:t>authorization</w:t>
      </w:r>
      <w:r w:rsidR="003A3F2F" w:rsidRPr="003A3F2F">
        <w:rPr>
          <w:color w:val="000000"/>
        </w:rPr>
        <w:t>s</w:t>
      </w:r>
      <w:r w:rsidR="003A3F2F">
        <w:rPr>
          <w:color w:val="000000"/>
        </w:rPr>
        <w:t xml:space="preserve"> extended to</w:t>
      </w:r>
      <w:r w:rsidR="00C16205">
        <w:rPr>
          <w:color w:val="000000"/>
        </w:rPr>
        <w:t xml:space="preserve"> </w:t>
      </w:r>
      <w:r>
        <w:rPr>
          <w:color w:val="000000"/>
        </w:rPr>
        <w:t xml:space="preserve">refugees and asylum seekers on </w:t>
      </w:r>
      <w:r w:rsidR="003A3F2F">
        <w:rPr>
          <w:color w:val="000000"/>
        </w:rPr>
        <w:t xml:space="preserve">the </w:t>
      </w:r>
      <w:r>
        <w:rPr>
          <w:color w:val="000000"/>
        </w:rPr>
        <w:t>grounds of a threat to national security</w:t>
      </w:r>
      <w:r w:rsidR="008E2F81">
        <w:rPr>
          <w:color w:val="000000"/>
        </w:rPr>
        <w:t>, a practice that</w:t>
      </w:r>
      <w:r>
        <w:rPr>
          <w:color w:val="000000"/>
        </w:rPr>
        <w:t xml:space="preserve"> reportedly result</w:t>
      </w:r>
      <w:r w:rsidR="008E2F81">
        <w:rPr>
          <w:color w:val="000000"/>
        </w:rPr>
        <w:t>s</w:t>
      </w:r>
      <w:r>
        <w:rPr>
          <w:color w:val="000000"/>
        </w:rPr>
        <w:t xml:space="preserve"> in expulsions to countr</w:t>
      </w:r>
      <w:r w:rsidR="008E2F81">
        <w:rPr>
          <w:color w:val="000000"/>
        </w:rPr>
        <w:t>ies</w:t>
      </w:r>
      <w:r>
        <w:rPr>
          <w:color w:val="000000"/>
        </w:rPr>
        <w:t xml:space="preserve"> where the individual</w:t>
      </w:r>
      <w:r w:rsidR="008E2F81">
        <w:rPr>
          <w:color w:val="000000"/>
        </w:rPr>
        <w:t>s</w:t>
      </w:r>
      <w:r>
        <w:rPr>
          <w:color w:val="000000"/>
        </w:rPr>
        <w:t xml:space="preserve"> </w:t>
      </w:r>
      <w:r w:rsidR="008E2F81">
        <w:rPr>
          <w:color w:val="000000"/>
        </w:rPr>
        <w:t xml:space="preserve">concerned </w:t>
      </w:r>
      <w:r>
        <w:rPr>
          <w:color w:val="000000"/>
        </w:rPr>
        <w:t>might be exposed to the death penalty and/or violations of articles 7 and 9 of the Covenant</w:t>
      </w:r>
      <w:r w:rsidR="00DB5A53">
        <w:rPr>
          <w:color w:val="000000"/>
        </w:rPr>
        <w:t xml:space="preserve"> </w:t>
      </w:r>
      <w:r w:rsidR="00DB5A53" w:rsidRPr="0057597F">
        <w:rPr>
          <w:color w:val="000000"/>
        </w:rPr>
        <w:t>(arts. 2, 7, 10 and 24)</w:t>
      </w:r>
      <w:r w:rsidR="004B0049">
        <w:rPr>
          <w:color w:val="000000"/>
        </w:rPr>
        <w:t>.</w:t>
      </w:r>
    </w:p>
    <w:p w:rsidR="00964B0B" w:rsidRPr="0057597F" w:rsidRDefault="00964B0B" w:rsidP="0057597F">
      <w:pPr>
        <w:pStyle w:val="SingleTxtG"/>
        <w:rPr>
          <w:b/>
          <w:bCs/>
        </w:rPr>
      </w:pPr>
      <w:r w:rsidRPr="0057597F">
        <w:rPr>
          <w:b/>
          <w:bCs/>
        </w:rPr>
        <w:t>The State party should:</w:t>
      </w:r>
    </w:p>
    <w:p w:rsidR="00964B0B" w:rsidRPr="0057597F" w:rsidRDefault="00964B0B">
      <w:pPr>
        <w:pStyle w:val="SingleTxtG"/>
        <w:rPr>
          <w:b/>
          <w:bCs/>
        </w:rPr>
      </w:pPr>
      <w:r w:rsidRPr="0057597F">
        <w:rPr>
          <w:b/>
          <w:bCs/>
        </w:rPr>
        <w:tab/>
      </w:r>
      <w:r w:rsidRPr="008E2F81">
        <w:t>(a)</w:t>
      </w:r>
      <w:r w:rsidRPr="0057597F">
        <w:rPr>
          <w:b/>
          <w:bCs/>
        </w:rPr>
        <w:tab/>
        <w:t>Ensure that detention of asylum seekers, irregular migrants and refugees is</w:t>
      </w:r>
      <w:r w:rsidR="00BD658F">
        <w:t xml:space="preserve"> </w:t>
      </w:r>
      <w:r w:rsidR="00FF7964">
        <w:rPr>
          <w:b/>
          <w:bCs/>
        </w:rPr>
        <w:t>used</w:t>
      </w:r>
      <w:r w:rsidRPr="0057597F">
        <w:rPr>
          <w:b/>
          <w:bCs/>
        </w:rPr>
        <w:t xml:space="preserve"> only as a</w:t>
      </w:r>
      <w:r w:rsidR="00BD658F">
        <w:rPr>
          <w:b/>
          <w:bCs/>
        </w:rPr>
        <w:t xml:space="preserve"> measure of</w:t>
      </w:r>
      <w:r w:rsidRPr="0057597F">
        <w:rPr>
          <w:b/>
          <w:bCs/>
        </w:rPr>
        <w:t xml:space="preserve"> last resort </w:t>
      </w:r>
      <w:r w:rsidR="008E2F81">
        <w:rPr>
          <w:b/>
          <w:bCs/>
        </w:rPr>
        <w:t xml:space="preserve">and </w:t>
      </w:r>
      <w:r w:rsidRPr="0057597F">
        <w:rPr>
          <w:b/>
          <w:bCs/>
        </w:rPr>
        <w:t xml:space="preserve">for the shortest </w:t>
      </w:r>
      <w:r w:rsidR="00BD658F">
        <w:rPr>
          <w:b/>
          <w:bCs/>
        </w:rPr>
        <w:t>possible period</w:t>
      </w:r>
      <w:r w:rsidRPr="0057597F">
        <w:rPr>
          <w:b/>
          <w:bCs/>
        </w:rPr>
        <w:t xml:space="preserve"> of time, and that alternatives to detention are available in law and implemented in practice; </w:t>
      </w:r>
    </w:p>
    <w:p w:rsidR="00964B0B" w:rsidRPr="0057597F" w:rsidRDefault="00964B0B" w:rsidP="00BD658F">
      <w:pPr>
        <w:pStyle w:val="SingleTxtG"/>
        <w:rPr>
          <w:b/>
          <w:bCs/>
        </w:rPr>
      </w:pPr>
      <w:r w:rsidRPr="0057597F">
        <w:rPr>
          <w:b/>
          <w:bCs/>
        </w:rPr>
        <w:tab/>
      </w:r>
      <w:r w:rsidRPr="008E2F81">
        <w:t>(b)</w:t>
      </w:r>
      <w:r w:rsidRPr="0057597F">
        <w:rPr>
          <w:b/>
          <w:bCs/>
        </w:rPr>
        <w:tab/>
        <w:t>End</w:t>
      </w:r>
      <w:r w:rsidR="002C42D6" w:rsidRPr="0057597F">
        <w:rPr>
          <w:b/>
          <w:bCs/>
        </w:rPr>
        <w:t xml:space="preserve"> as a matter of urgency</w:t>
      </w:r>
      <w:r w:rsidRPr="0057597F">
        <w:rPr>
          <w:b/>
          <w:bCs/>
        </w:rPr>
        <w:t xml:space="preserve"> the detention of unaccompanied minors</w:t>
      </w:r>
      <w:r w:rsidR="008E2F81">
        <w:rPr>
          <w:b/>
          <w:bCs/>
        </w:rPr>
        <w:t>,</w:t>
      </w:r>
      <w:r w:rsidRPr="0057597F">
        <w:rPr>
          <w:b/>
          <w:bCs/>
        </w:rPr>
        <w:t xml:space="preserve"> except as a measure of last resort and for the shortest </w:t>
      </w:r>
      <w:r w:rsidR="00BD658F">
        <w:rPr>
          <w:b/>
          <w:bCs/>
        </w:rPr>
        <w:t xml:space="preserve">possible period </w:t>
      </w:r>
      <w:r w:rsidRPr="0057597F">
        <w:rPr>
          <w:b/>
          <w:bCs/>
        </w:rPr>
        <w:t>of time. The State party should, without delay, find alternative accommodation for unaccompanied minors so that they are not detained in the same facilities as adults and ensure that guardians are appointed without delay</w:t>
      </w:r>
      <w:r w:rsidR="008E2F81">
        <w:rPr>
          <w:b/>
          <w:bCs/>
        </w:rPr>
        <w:t xml:space="preserve"> to</w:t>
      </w:r>
      <w:r w:rsidRPr="0057597F">
        <w:rPr>
          <w:b/>
          <w:bCs/>
        </w:rPr>
        <w:t xml:space="preserve"> provid</w:t>
      </w:r>
      <w:r w:rsidR="008E2F81">
        <w:rPr>
          <w:b/>
          <w:bCs/>
        </w:rPr>
        <w:t>e</w:t>
      </w:r>
      <w:r w:rsidRPr="0057597F">
        <w:rPr>
          <w:b/>
          <w:bCs/>
        </w:rPr>
        <w:t xml:space="preserve"> legal, social, medical and psychosocial assistance; </w:t>
      </w:r>
    </w:p>
    <w:p w:rsidR="00964B0B" w:rsidRPr="0057597F" w:rsidRDefault="00964B0B">
      <w:pPr>
        <w:pStyle w:val="SingleTxtG"/>
        <w:rPr>
          <w:b/>
          <w:bCs/>
        </w:rPr>
      </w:pPr>
      <w:r w:rsidRPr="0057597F">
        <w:rPr>
          <w:b/>
          <w:bCs/>
        </w:rPr>
        <w:lastRenderedPageBreak/>
        <w:tab/>
      </w:r>
      <w:r w:rsidRPr="008E2F81">
        <w:t>(c)</w:t>
      </w:r>
      <w:r w:rsidRPr="0057597F">
        <w:rPr>
          <w:b/>
          <w:bCs/>
        </w:rPr>
        <w:tab/>
        <w:t>Strengthen its efforts to improve the living conditions</w:t>
      </w:r>
      <w:r w:rsidR="002C42D6" w:rsidRPr="0057597F">
        <w:rPr>
          <w:b/>
          <w:bCs/>
        </w:rPr>
        <w:t xml:space="preserve"> </w:t>
      </w:r>
      <w:r w:rsidR="005136B9" w:rsidRPr="0057597F">
        <w:rPr>
          <w:b/>
          <w:bCs/>
        </w:rPr>
        <w:t xml:space="preserve">in </w:t>
      </w:r>
      <w:r w:rsidR="002C42D6" w:rsidRPr="0057597F">
        <w:rPr>
          <w:b/>
          <w:bCs/>
        </w:rPr>
        <w:t xml:space="preserve">detention </w:t>
      </w:r>
      <w:r w:rsidR="005136B9" w:rsidRPr="0057597F">
        <w:rPr>
          <w:b/>
          <w:bCs/>
        </w:rPr>
        <w:t xml:space="preserve">centres </w:t>
      </w:r>
      <w:r w:rsidR="002C42D6" w:rsidRPr="0057597F">
        <w:rPr>
          <w:b/>
          <w:bCs/>
        </w:rPr>
        <w:t>for migrants and asylum seekers</w:t>
      </w:r>
      <w:r w:rsidR="001349AA" w:rsidRPr="0057597F">
        <w:rPr>
          <w:b/>
          <w:bCs/>
        </w:rPr>
        <w:t>, including</w:t>
      </w:r>
      <w:r w:rsidRPr="0041595E">
        <w:rPr>
          <w:b/>
          <w:bCs/>
        </w:rPr>
        <w:t xml:space="preserve"> in the Recept</w:t>
      </w:r>
      <w:r w:rsidRPr="00081E2A">
        <w:rPr>
          <w:b/>
          <w:bCs/>
        </w:rPr>
        <w:t>ion Centre for Foreigners (</w:t>
      </w:r>
      <w:r w:rsidRPr="0057597F">
        <w:rPr>
          <w:b/>
          <w:bCs/>
        </w:rPr>
        <w:t>Gazi Baba) by providing adequate health</w:t>
      </w:r>
      <w:r w:rsidR="008E2F81">
        <w:rPr>
          <w:b/>
          <w:bCs/>
        </w:rPr>
        <w:t>-</w:t>
      </w:r>
      <w:r w:rsidRPr="0057597F">
        <w:rPr>
          <w:b/>
          <w:bCs/>
        </w:rPr>
        <w:t xml:space="preserve">care services and sanitary conditions. It should also take concrete measures to reduce overcrowding, including by using alternatives to detention; </w:t>
      </w:r>
    </w:p>
    <w:p w:rsidR="00964B0B" w:rsidRPr="0057597F" w:rsidRDefault="00964B0B">
      <w:pPr>
        <w:pStyle w:val="SingleTxtG"/>
        <w:rPr>
          <w:b/>
          <w:bCs/>
        </w:rPr>
      </w:pPr>
      <w:r w:rsidRPr="0057597F">
        <w:rPr>
          <w:b/>
          <w:bCs/>
        </w:rPr>
        <w:tab/>
      </w:r>
      <w:r w:rsidRPr="008E2F81">
        <w:t>(d)</w:t>
      </w:r>
      <w:r w:rsidRPr="0057597F">
        <w:rPr>
          <w:b/>
          <w:bCs/>
        </w:rPr>
        <w:tab/>
        <w:t xml:space="preserve">Respect the principle of non-refoulement by ensuring </w:t>
      </w:r>
      <w:r w:rsidR="008E2F81">
        <w:rPr>
          <w:b/>
          <w:bCs/>
        </w:rPr>
        <w:t xml:space="preserve">that </w:t>
      </w:r>
      <w:r w:rsidRPr="0057597F">
        <w:rPr>
          <w:b/>
          <w:bCs/>
        </w:rPr>
        <w:t>asylum seekers are neither extradited, deported nor expelled to a country where there are substantial grounds for believing that there is a real risk of irreparable harm, such as that contemplated under article</w:t>
      </w:r>
      <w:r w:rsidR="008E2F81">
        <w:rPr>
          <w:b/>
          <w:bCs/>
        </w:rPr>
        <w:t>s</w:t>
      </w:r>
      <w:r w:rsidRPr="0057597F">
        <w:rPr>
          <w:b/>
          <w:bCs/>
        </w:rPr>
        <w:t xml:space="preserve"> 6 and 7 of the Covenant. </w:t>
      </w:r>
    </w:p>
    <w:p w:rsidR="00964B0B" w:rsidRPr="009B44A9" w:rsidRDefault="00964B0B">
      <w:pPr>
        <w:pStyle w:val="H23G"/>
      </w:pPr>
      <w:r>
        <w:tab/>
      </w:r>
      <w:r>
        <w:tab/>
      </w:r>
      <w:r w:rsidRPr="009B44A9">
        <w:t xml:space="preserve">Freedom of expression and association </w:t>
      </w:r>
    </w:p>
    <w:p w:rsidR="00964B0B" w:rsidRPr="008F47EC" w:rsidRDefault="00964B0B" w:rsidP="0057597F">
      <w:pPr>
        <w:pStyle w:val="SingleTxtG"/>
        <w:numPr>
          <w:ilvl w:val="0"/>
          <w:numId w:val="4"/>
        </w:numPr>
        <w:ind w:left="1134" w:firstLine="0"/>
        <w:rPr>
          <w:color w:val="000000"/>
          <w:lang w:val="en-US"/>
        </w:rPr>
      </w:pPr>
      <w:r>
        <w:rPr>
          <w:color w:val="000000"/>
        </w:rPr>
        <w:t xml:space="preserve">The Committee is concerned about the selective allocation of public funds to media outlets and </w:t>
      </w:r>
      <w:r w:rsidR="00B040E3">
        <w:rPr>
          <w:color w:val="000000"/>
        </w:rPr>
        <w:t xml:space="preserve">about </w:t>
      </w:r>
      <w:r>
        <w:rPr>
          <w:color w:val="000000"/>
        </w:rPr>
        <w:t xml:space="preserve">the lack of independence of the State broadcasting council (Council of </w:t>
      </w:r>
      <w:r w:rsidRPr="008F47EC">
        <w:rPr>
          <w:color w:val="000000"/>
          <w:lang w:val="en-US"/>
        </w:rPr>
        <w:t xml:space="preserve">the Agency for Audio and Audiovisual Media Services), </w:t>
      </w:r>
      <w:r>
        <w:rPr>
          <w:color w:val="000000"/>
          <w:lang w:val="en-US"/>
        </w:rPr>
        <w:t xml:space="preserve">reportedly </w:t>
      </w:r>
      <w:r w:rsidRPr="008F47EC">
        <w:rPr>
          <w:color w:val="000000"/>
          <w:lang w:val="en-US"/>
        </w:rPr>
        <w:t xml:space="preserve">as a result of the introduction of Government-appointed members in this body. The Committee is </w:t>
      </w:r>
      <w:r w:rsidR="00B040E3">
        <w:rPr>
          <w:color w:val="000000"/>
          <w:lang w:val="en-US"/>
        </w:rPr>
        <w:t>also</w:t>
      </w:r>
      <w:r w:rsidR="00B040E3" w:rsidRPr="008F47EC">
        <w:rPr>
          <w:color w:val="000000"/>
          <w:lang w:val="en-US"/>
        </w:rPr>
        <w:t xml:space="preserve"> </w:t>
      </w:r>
      <w:r w:rsidRPr="008F47EC">
        <w:rPr>
          <w:color w:val="000000"/>
          <w:lang w:val="en-US"/>
        </w:rPr>
        <w:t xml:space="preserve">concerned </w:t>
      </w:r>
      <w:r>
        <w:rPr>
          <w:color w:val="000000"/>
          <w:lang w:val="en-US"/>
        </w:rPr>
        <w:t>about reports</w:t>
      </w:r>
      <w:r w:rsidRPr="008F47EC">
        <w:rPr>
          <w:color w:val="000000"/>
          <w:lang w:val="en-US"/>
        </w:rPr>
        <w:t xml:space="preserve"> that journalist</w:t>
      </w:r>
      <w:r>
        <w:rPr>
          <w:color w:val="000000"/>
          <w:lang w:val="en-US"/>
        </w:rPr>
        <w:t>s</w:t>
      </w:r>
      <w:r w:rsidRPr="008F47EC">
        <w:rPr>
          <w:color w:val="000000"/>
          <w:lang w:val="en-US"/>
        </w:rPr>
        <w:t xml:space="preserve"> have been repeatedly </w:t>
      </w:r>
      <w:r>
        <w:rPr>
          <w:color w:val="000000"/>
          <w:lang w:val="en-US"/>
        </w:rPr>
        <w:t xml:space="preserve">subjected to </w:t>
      </w:r>
      <w:r w:rsidRPr="008F47EC">
        <w:rPr>
          <w:color w:val="000000"/>
          <w:lang w:val="en-US"/>
        </w:rPr>
        <w:t>surveilla</w:t>
      </w:r>
      <w:r>
        <w:rPr>
          <w:color w:val="000000"/>
          <w:lang w:val="en-US"/>
        </w:rPr>
        <w:t>nce,</w:t>
      </w:r>
      <w:r w:rsidRPr="008F47EC">
        <w:rPr>
          <w:color w:val="000000"/>
          <w:lang w:val="en-US"/>
        </w:rPr>
        <w:t xml:space="preserve"> threatened, attacked and detained. Lastly, </w:t>
      </w:r>
      <w:r w:rsidR="00DB5A53">
        <w:rPr>
          <w:color w:val="000000"/>
          <w:lang w:val="en-US"/>
        </w:rPr>
        <w:t>it</w:t>
      </w:r>
      <w:r w:rsidRPr="008F47EC">
        <w:rPr>
          <w:color w:val="000000"/>
          <w:lang w:val="en-US"/>
        </w:rPr>
        <w:t xml:space="preserve"> is particularly concerned at information received </w:t>
      </w:r>
      <w:r>
        <w:rPr>
          <w:color w:val="000000"/>
          <w:lang w:val="en-US"/>
        </w:rPr>
        <w:t>about</w:t>
      </w:r>
      <w:r w:rsidRPr="008F47EC">
        <w:rPr>
          <w:color w:val="000000"/>
          <w:lang w:val="en-US"/>
        </w:rPr>
        <w:t xml:space="preserve"> the spread of impunity for harassment and acts of violence against journalists </w:t>
      </w:r>
      <w:r w:rsidR="00DB5A53" w:rsidRPr="0057597F">
        <w:rPr>
          <w:color w:val="000000"/>
          <w:lang w:val="en-US"/>
        </w:rPr>
        <w:t>(arts. 19 and 22)</w:t>
      </w:r>
      <w:r w:rsidR="004B0049">
        <w:rPr>
          <w:color w:val="000000"/>
          <w:lang w:val="en-US"/>
        </w:rPr>
        <w:t>.</w:t>
      </w:r>
    </w:p>
    <w:p w:rsidR="00964B0B" w:rsidRPr="0057597F" w:rsidRDefault="00964B0B" w:rsidP="0057597F">
      <w:pPr>
        <w:pStyle w:val="SingleTxtG"/>
        <w:rPr>
          <w:b/>
          <w:bCs/>
          <w:noProof/>
          <w:lang w:val="en-US"/>
        </w:rPr>
      </w:pPr>
      <w:r w:rsidRPr="0057597F">
        <w:rPr>
          <w:b/>
          <w:bCs/>
          <w:lang w:val="en-US"/>
        </w:rPr>
        <w:t xml:space="preserve">The State party should take the steps </w:t>
      </w:r>
      <w:r w:rsidR="00B040E3" w:rsidRPr="007F0B42">
        <w:rPr>
          <w:b/>
          <w:bCs/>
          <w:lang w:val="en-US"/>
        </w:rPr>
        <w:t xml:space="preserve">necessary </w:t>
      </w:r>
      <w:r w:rsidRPr="0057597F">
        <w:rPr>
          <w:b/>
          <w:bCs/>
          <w:lang w:val="en-US"/>
        </w:rPr>
        <w:t xml:space="preserve">to ensure that any restrictions to the freedom of expression fully comply with the strict requirements of article 19 </w:t>
      </w:r>
      <w:r w:rsidR="00B040E3">
        <w:rPr>
          <w:b/>
          <w:bCs/>
          <w:lang w:val="en-US"/>
        </w:rPr>
        <w:t>(</w:t>
      </w:r>
      <w:r w:rsidRPr="0057597F">
        <w:rPr>
          <w:b/>
          <w:bCs/>
          <w:lang w:val="en-US"/>
        </w:rPr>
        <w:t>3</w:t>
      </w:r>
      <w:r w:rsidR="00B040E3">
        <w:rPr>
          <w:b/>
          <w:bCs/>
          <w:lang w:val="en-US"/>
        </w:rPr>
        <w:t>)</w:t>
      </w:r>
      <w:r w:rsidRPr="0057597F">
        <w:rPr>
          <w:b/>
          <w:bCs/>
          <w:lang w:val="en-US"/>
        </w:rPr>
        <w:t xml:space="preserve"> of the Covenant, as further developed in </w:t>
      </w:r>
      <w:r w:rsidR="00062834">
        <w:rPr>
          <w:b/>
          <w:bCs/>
          <w:lang w:val="en-US"/>
        </w:rPr>
        <w:t xml:space="preserve">the Committee’s </w:t>
      </w:r>
      <w:r w:rsidRPr="0057597F">
        <w:rPr>
          <w:b/>
          <w:bCs/>
          <w:lang w:val="en-US"/>
        </w:rPr>
        <w:t>general comment No. 34. The State party should ensure the full enjoyment by all of the freedom of expression and association, and protect journalists and others who exercise these rights from harassment, intimidation and violence. It should also investigate without further delay such cases and prosecute those responsible.</w:t>
      </w:r>
      <w:r w:rsidRPr="0057597F">
        <w:rPr>
          <w:b/>
          <w:bCs/>
          <w:noProof/>
          <w:lang w:val="en-US"/>
        </w:rPr>
        <w:t xml:space="preserve"> </w:t>
      </w:r>
    </w:p>
    <w:p w:rsidR="005136B9" w:rsidRDefault="00B6172D" w:rsidP="0057597F">
      <w:pPr>
        <w:pStyle w:val="H23G"/>
        <w:rPr>
          <w:noProof/>
        </w:rPr>
      </w:pPr>
      <w:r>
        <w:rPr>
          <w:noProof/>
        </w:rPr>
        <w:tab/>
      </w:r>
      <w:r>
        <w:rPr>
          <w:noProof/>
        </w:rPr>
        <w:tab/>
      </w:r>
      <w:r w:rsidR="00964B0B" w:rsidRPr="0018177C">
        <w:rPr>
          <w:noProof/>
        </w:rPr>
        <w:t>Freedom of assembly</w:t>
      </w:r>
    </w:p>
    <w:p w:rsidR="00964B0B" w:rsidRPr="0057597F" w:rsidRDefault="00964B0B" w:rsidP="0057597F">
      <w:pPr>
        <w:pStyle w:val="SingleTxtG"/>
        <w:numPr>
          <w:ilvl w:val="0"/>
          <w:numId w:val="4"/>
        </w:numPr>
        <w:ind w:left="1134" w:firstLine="0"/>
        <w:rPr>
          <w:bCs/>
          <w:noProof/>
        </w:rPr>
      </w:pPr>
      <w:r w:rsidRPr="0018177C">
        <w:rPr>
          <w:color w:val="000000"/>
          <w:lang w:val="en-US"/>
        </w:rPr>
        <w:t>The Committee</w:t>
      </w:r>
      <w:r w:rsidR="005136B9">
        <w:rPr>
          <w:color w:val="000000"/>
          <w:lang w:val="en-US"/>
        </w:rPr>
        <w:t xml:space="preserve"> is</w:t>
      </w:r>
      <w:r w:rsidRPr="0018177C">
        <w:rPr>
          <w:color w:val="000000"/>
          <w:lang w:val="en-US"/>
        </w:rPr>
        <w:t xml:space="preserve"> concern</w:t>
      </w:r>
      <w:r w:rsidR="005136B9">
        <w:rPr>
          <w:color w:val="000000"/>
          <w:lang w:val="en-US"/>
        </w:rPr>
        <w:t>ed</w:t>
      </w:r>
      <w:r w:rsidRPr="0018177C">
        <w:rPr>
          <w:color w:val="000000"/>
          <w:lang w:val="en-US"/>
        </w:rPr>
        <w:t xml:space="preserve"> about reports that the demonstration </w:t>
      </w:r>
      <w:r w:rsidR="00062834">
        <w:rPr>
          <w:color w:val="000000"/>
          <w:lang w:val="en-US"/>
        </w:rPr>
        <w:t>that</w:t>
      </w:r>
      <w:r w:rsidR="00062834" w:rsidRPr="0018177C">
        <w:rPr>
          <w:color w:val="000000"/>
          <w:lang w:val="en-US"/>
        </w:rPr>
        <w:t xml:space="preserve"> </w:t>
      </w:r>
      <w:r w:rsidRPr="0018177C">
        <w:rPr>
          <w:color w:val="000000"/>
          <w:lang w:val="en-US"/>
        </w:rPr>
        <w:t>took place in Skopje on 5 May 2015 was dispersed by the police resorting to excessive violence against demonstrators and journalists, and that dozens of demonstrat</w:t>
      </w:r>
      <w:r w:rsidR="00062834">
        <w:rPr>
          <w:color w:val="000000"/>
          <w:lang w:val="en-US"/>
        </w:rPr>
        <w:t>ors</w:t>
      </w:r>
      <w:r w:rsidRPr="0018177C">
        <w:rPr>
          <w:color w:val="000000"/>
          <w:lang w:val="en-US"/>
        </w:rPr>
        <w:t xml:space="preserve"> were arrested and in some cases held in pretrial detention notwithstanding their lack of </w:t>
      </w:r>
      <w:r w:rsidR="00062834">
        <w:rPr>
          <w:color w:val="000000"/>
          <w:lang w:val="en-US"/>
        </w:rPr>
        <w:t xml:space="preserve">a </w:t>
      </w:r>
      <w:r w:rsidRPr="0018177C">
        <w:rPr>
          <w:color w:val="000000"/>
          <w:lang w:val="en-US"/>
        </w:rPr>
        <w:t xml:space="preserve">criminal record and the relatively light nature of the charges </w:t>
      </w:r>
      <w:r w:rsidR="00062834">
        <w:rPr>
          <w:color w:val="000000"/>
          <w:lang w:val="en-US"/>
        </w:rPr>
        <w:t xml:space="preserve">brought </w:t>
      </w:r>
      <w:r w:rsidRPr="0018177C">
        <w:rPr>
          <w:color w:val="000000"/>
          <w:lang w:val="en-US"/>
        </w:rPr>
        <w:t>against them</w:t>
      </w:r>
      <w:r w:rsidRPr="0057597F">
        <w:rPr>
          <w:color w:val="000000"/>
          <w:lang w:val="en-US"/>
        </w:rPr>
        <w:t xml:space="preserve"> </w:t>
      </w:r>
      <w:r w:rsidR="00DB5A53" w:rsidRPr="0057597F">
        <w:rPr>
          <w:color w:val="000000"/>
          <w:lang w:val="en-US"/>
        </w:rPr>
        <w:t>(art. 21)</w:t>
      </w:r>
      <w:r w:rsidR="004B0049">
        <w:rPr>
          <w:color w:val="000000"/>
          <w:lang w:val="en-US"/>
        </w:rPr>
        <w:t>.</w:t>
      </w:r>
    </w:p>
    <w:p w:rsidR="00964B0B" w:rsidRPr="0057597F" w:rsidRDefault="00964B0B" w:rsidP="0057597F">
      <w:pPr>
        <w:pStyle w:val="SingleTxtG"/>
        <w:rPr>
          <w:b/>
          <w:bCs/>
          <w:lang w:val="en-US"/>
        </w:rPr>
      </w:pPr>
      <w:r w:rsidRPr="0057597F">
        <w:rPr>
          <w:b/>
          <w:bCs/>
          <w:lang w:val="en-US"/>
        </w:rPr>
        <w:t xml:space="preserve">The State party should effectively investigate all allegations of police violence against journalists and demonstrators in connection with the events of 5 May 2015. The State party should always attempt to resort to alternatives to detention in cases involving individuals who do not present a risk to public safety and should consider the impact of </w:t>
      </w:r>
      <w:r w:rsidR="00062834">
        <w:rPr>
          <w:b/>
          <w:bCs/>
          <w:lang w:val="en-US"/>
        </w:rPr>
        <w:t xml:space="preserve">implementing </w:t>
      </w:r>
      <w:r w:rsidRPr="0057597F">
        <w:rPr>
          <w:b/>
          <w:bCs/>
          <w:lang w:val="en-US"/>
        </w:rPr>
        <w:t>its criminal laws against demonstrators on its duty to facilitate the right of peaceful assembly</w:t>
      </w:r>
      <w:r w:rsidR="001349AA" w:rsidRPr="0057597F">
        <w:rPr>
          <w:b/>
          <w:bCs/>
          <w:lang w:val="en-US"/>
        </w:rPr>
        <w:t>.</w:t>
      </w:r>
    </w:p>
    <w:p w:rsidR="00964B0B" w:rsidRDefault="00964B0B">
      <w:pPr>
        <w:pStyle w:val="H23G"/>
        <w:rPr>
          <w:noProof/>
        </w:rPr>
      </w:pPr>
      <w:r>
        <w:rPr>
          <w:bCs/>
          <w:noProof/>
          <w:lang w:val="en-US"/>
        </w:rPr>
        <w:tab/>
      </w:r>
      <w:r>
        <w:rPr>
          <w:bCs/>
          <w:noProof/>
          <w:lang w:val="en-US"/>
        </w:rPr>
        <w:tab/>
        <w:t>B</w:t>
      </w:r>
      <w:r w:rsidRPr="0023718D">
        <w:rPr>
          <w:noProof/>
        </w:rPr>
        <w:t xml:space="preserve">irth registration and identity documents </w:t>
      </w:r>
    </w:p>
    <w:p w:rsidR="00964B0B" w:rsidRDefault="00964B0B" w:rsidP="0057597F">
      <w:pPr>
        <w:pStyle w:val="SingleTxtG"/>
        <w:numPr>
          <w:ilvl w:val="0"/>
          <w:numId w:val="4"/>
        </w:numPr>
        <w:ind w:left="1134" w:firstLine="0"/>
        <w:rPr>
          <w:color w:val="000000"/>
          <w:lang w:val="en-US"/>
        </w:rPr>
      </w:pPr>
      <w:r w:rsidRPr="00C4643D">
        <w:rPr>
          <w:color w:val="000000"/>
          <w:lang w:val="en-US"/>
        </w:rPr>
        <w:t xml:space="preserve">The Committee is concerned at the slow progress made in retroactively identifying cases of children who have not been registered and do not have identity documents and in issuing birth registration upon birth. </w:t>
      </w:r>
      <w:r>
        <w:rPr>
          <w:color w:val="000000"/>
          <w:lang w:val="en-US"/>
        </w:rPr>
        <w:t>It</w:t>
      </w:r>
      <w:r w:rsidRPr="00C4643D">
        <w:rPr>
          <w:color w:val="000000"/>
          <w:lang w:val="en-US"/>
        </w:rPr>
        <w:t xml:space="preserve"> is also concerned about the lack of information on how failure to register </w:t>
      </w:r>
      <w:r w:rsidR="00062834">
        <w:rPr>
          <w:color w:val="000000"/>
          <w:lang w:val="en-US"/>
        </w:rPr>
        <w:t xml:space="preserve">newborns </w:t>
      </w:r>
      <w:r w:rsidRPr="00C4643D">
        <w:rPr>
          <w:color w:val="000000"/>
          <w:lang w:val="en-US"/>
        </w:rPr>
        <w:t xml:space="preserve">and obtain birth certificates affects the ability to access to health, education and other public services </w:t>
      </w:r>
      <w:r w:rsidR="00DB5A53" w:rsidRPr="0057597F">
        <w:rPr>
          <w:color w:val="000000"/>
          <w:lang w:val="en-US"/>
        </w:rPr>
        <w:t>(art. 24)</w:t>
      </w:r>
      <w:r w:rsidR="004B0049">
        <w:rPr>
          <w:color w:val="000000"/>
          <w:lang w:val="en-US"/>
        </w:rPr>
        <w:t>.</w:t>
      </w:r>
    </w:p>
    <w:p w:rsidR="00964B0B" w:rsidRPr="0057597F" w:rsidRDefault="00964B0B" w:rsidP="0057597F">
      <w:pPr>
        <w:pStyle w:val="SingleTxtG"/>
        <w:rPr>
          <w:b/>
          <w:bCs/>
        </w:rPr>
      </w:pPr>
      <w:r w:rsidRPr="0057597F">
        <w:rPr>
          <w:b/>
          <w:bCs/>
          <w:noProof/>
        </w:rPr>
        <w:t>The State party should accelerate its efforts to</w:t>
      </w:r>
      <w:r w:rsidRPr="0057597F">
        <w:rPr>
          <w:b/>
          <w:bCs/>
        </w:rPr>
        <w:t xml:space="preserve"> identify children </w:t>
      </w:r>
      <w:r w:rsidR="00062834">
        <w:rPr>
          <w:b/>
          <w:bCs/>
        </w:rPr>
        <w:t>whose</w:t>
      </w:r>
      <w:r w:rsidR="00062834" w:rsidRPr="0057597F">
        <w:rPr>
          <w:b/>
          <w:bCs/>
        </w:rPr>
        <w:t xml:space="preserve"> </w:t>
      </w:r>
      <w:r w:rsidRPr="0057597F">
        <w:rPr>
          <w:b/>
          <w:bCs/>
        </w:rPr>
        <w:t xml:space="preserve">birth </w:t>
      </w:r>
      <w:r w:rsidR="00062834">
        <w:rPr>
          <w:b/>
          <w:bCs/>
        </w:rPr>
        <w:t>has not been registered</w:t>
      </w:r>
      <w:r w:rsidRPr="0057597F">
        <w:rPr>
          <w:b/>
          <w:bCs/>
        </w:rPr>
        <w:t xml:space="preserve"> and </w:t>
      </w:r>
      <w:r w:rsidR="00062834">
        <w:rPr>
          <w:b/>
          <w:bCs/>
        </w:rPr>
        <w:t xml:space="preserve">children without </w:t>
      </w:r>
      <w:r w:rsidRPr="0057597F">
        <w:rPr>
          <w:b/>
          <w:bCs/>
        </w:rPr>
        <w:t xml:space="preserve">identity documents and to ensure </w:t>
      </w:r>
      <w:r w:rsidR="00062834">
        <w:rPr>
          <w:b/>
          <w:bCs/>
        </w:rPr>
        <w:t xml:space="preserve">the </w:t>
      </w:r>
      <w:r w:rsidRPr="0057597F">
        <w:rPr>
          <w:b/>
          <w:bCs/>
        </w:rPr>
        <w:t xml:space="preserve">retroactive registration </w:t>
      </w:r>
      <w:r w:rsidR="00062834">
        <w:rPr>
          <w:b/>
          <w:bCs/>
        </w:rPr>
        <w:t xml:space="preserve">of births </w:t>
      </w:r>
      <w:r w:rsidRPr="0057597F">
        <w:rPr>
          <w:b/>
          <w:bCs/>
        </w:rPr>
        <w:t xml:space="preserve">and </w:t>
      </w:r>
      <w:r w:rsidR="00062834">
        <w:rPr>
          <w:b/>
          <w:bCs/>
        </w:rPr>
        <w:t xml:space="preserve">the </w:t>
      </w:r>
      <w:r w:rsidRPr="0057597F">
        <w:rPr>
          <w:b/>
          <w:bCs/>
        </w:rPr>
        <w:t>issuance of documents for th</w:t>
      </w:r>
      <w:r w:rsidR="00062834">
        <w:rPr>
          <w:b/>
          <w:bCs/>
        </w:rPr>
        <w:t>o</w:t>
      </w:r>
      <w:r w:rsidRPr="0057597F">
        <w:rPr>
          <w:b/>
          <w:bCs/>
        </w:rPr>
        <w:t xml:space="preserve">se children. It should also ensure that children </w:t>
      </w:r>
      <w:r w:rsidR="00062834">
        <w:rPr>
          <w:b/>
          <w:bCs/>
        </w:rPr>
        <w:t>without</w:t>
      </w:r>
      <w:r w:rsidR="00062834" w:rsidRPr="0057597F">
        <w:rPr>
          <w:b/>
          <w:bCs/>
        </w:rPr>
        <w:t xml:space="preserve"> </w:t>
      </w:r>
      <w:r w:rsidRPr="0057597F">
        <w:rPr>
          <w:b/>
          <w:bCs/>
        </w:rPr>
        <w:t xml:space="preserve">identity documents are not refused access to health, </w:t>
      </w:r>
      <w:r w:rsidRPr="0057597F">
        <w:rPr>
          <w:b/>
          <w:bCs/>
        </w:rPr>
        <w:lastRenderedPageBreak/>
        <w:t>education and other public services. The State party should strengthen its efforts to ensure birth registration and the provision of birth certificates for all children, particularly in rural areas, through interventions such as awareness-raising programmes and by simplifying registration procedures.</w:t>
      </w:r>
    </w:p>
    <w:p w:rsidR="00964B0B" w:rsidRPr="00364F2A" w:rsidRDefault="00B6172D" w:rsidP="0057597F">
      <w:pPr>
        <w:pStyle w:val="H23G"/>
        <w:rPr>
          <w:noProof/>
          <w:lang w:val="en-US"/>
        </w:rPr>
      </w:pPr>
      <w:r>
        <w:rPr>
          <w:noProof/>
          <w:lang w:val="en-US"/>
        </w:rPr>
        <w:tab/>
      </w:r>
      <w:r>
        <w:rPr>
          <w:noProof/>
          <w:lang w:val="en-US"/>
        </w:rPr>
        <w:tab/>
      </w:r>
      <w:r w:rsidR="00964B0B" w:rsidRPr="00364F2A">
        <w:rPr>
          <w:noProof/>
          <w:lang w:val="en-US"/>
        </w:rPr>
        <w:t xml:space="preserve">Rights of the child </w:t>
      </w:r>
    </w:p>
    <w:p w:rsidR="00964B0B" w:rsidRPr="009B44A9" w:rsidRDefault="00964B0B" w:rsidP="0057597F">
      <w:pPr>
        <w:pStyle w:val="SingleTxtG"/>
        <w:numPr>
          <w:ilvl w:val="0"/>
          <w:numId w:val="4"/>
        </w:numPr>
        <w:ind w:left="1134" w:firstLine="0"/>
      </w:pPr>
      <w:r w:rsidRPr="009B44A9">
        <w:t xml:space="preserve">The Committee </w:t>
      </w:r>
      <w:r w:rsidRPr="0023718D">
        <w:rPr>
          <w:noProof/>
        </w:rPr>
        <w:t>is concerned</w:t>
      </w:r>
      <w:r w:rsidRPr="009B44A9">
        <w:t xml:space="preserve"> that institutional and de facto discrimination against children </w:t>
      </w:r>
      <w:r w:rsidRPr="0023718D">
        <w:rPr>
          <w:noProof/>
        </w:rPr>
        <w:t>persists</w:t>
      </w:r>
      <w:r w:rsidRPr="009B44A9">
        <w:t xml:space="preserve"> in the State party, particularly </w:t>
      </w:r>
      <w:r w:rsidR="00062834">
        <w:rPr>
          <w:noProof/>
        </w:rPr>
        <w:t>children who</w:t>
      </w:r>
      <w:r w:rsidRPr="009B44A9">
        <w:t xml:space="preserve"> are m</w:t>
      </w:r>
      <w:r>
        <w:t xml:space="preserve">embers of minority communities </w:t>
      </w:r>
      <w:r w:rsidRPr="009B44A9">
        <w:t xml:space="preserve">and </w:t>
      </w:r>
      <w:r w:rsidR="00062834">
        <w:t>children who are</w:t>
      </w:r>
      <w:r w:rsidRPr="009B44A9">
        <w:t xml:space="preserve"> held in correctional institutions</w:t>
      </w:r>
      <w:r>
        <w:t>.</w:t>
      </w:r>
      <w:r w:rsidRPr="002179F7">
        <w:t xml:space="preserve"> </w:t>
      </w:r>
      <w:r>
        <w:t xml:space="preserve">The Committee </w:t>
      </w:r>
      <w:r w:rsidRPr="0023718D">
        <w:rPr>
          <w:noProof/>
        </w:rPr>
        <w:t xml:space="preserve">is </w:t>
      </w:r>
      <w:r>
        <w:rPr>
          <w:noProof/>
        </w:rPr>
        <w:t>particularly c</w:t>
      </w:r>
      <w:r w:rsidRPr="0023718D">
        <w:rPr>
          <w:noProof/>
        </w:rPr>
        <w:t xml:space="preserve">oncerned </w:t>
      </w:r>
      <w:r>
        <w:rPr>
          <w:noProof/>
        </w:rPr>
        <w:t>about</w:t>
      </w:r>
      <w:r>
        <w:t xml:space="preserve"> reports of increasing drug use by children and the lack of relevant treatment and resocialization </w:t>
      </w:r>
      <w:r w:rsidR="00062834">
        <w:t>programmes</w:t>
      </w:r>
      <w:r w:rsidR="00DB5A53">
        <w:t xml:space="preserve"> </w:t>
      </w:r>
      <w:r w:rsidR="00DB5A53" w:rsidRPr="0057597F">
        <w:t>(arts. 2, 24 and 27)</w:t>
      </w:r>
      <w:r w:rsidR="004B0049">
        <w:t>.</w:t>
      </w:r>
      <w:r w:rsidR="00C16205">
        <w:t xml:space="preserve"> </w:t>
      </w:r>
    </w:p>
    <w:p w:rsidR="00964B0B" w:rsidRPr="0057597F" w:rsidRDefault="00964B0B" w:rsidP="0057597F">
      <w:pPr>
        <w:pStyle w:val="SingleTxtG"/>
        <w:rPr>
          <w:b/>
          <w:bCs/>
        </w:rPr>
      </w:pPr>
      <w:r w:rsidRPr="0057597F">
        <w:rPr>
          <w:b/>
          <w:bCs/>
        </w:rPr>
        <w:t xml:space="preserve">The State party should take measures to eliminate all forms of institutional and de facto discrimination against children, particularly children who are members of minority communities and </w:t>
      </w:r>
      <w:r w:rsidR="00062834" w:rsidRPr="007F0B42">
        <w:rPr>
          <w:b/>
          <w:bCs/>
        </w:rPr>
        <w:t xml:space="preserve">children </w:t>
      </w:r>
      <w:r w:rsidR="00062834">
        <w:rPr>
          <w:b/>
          <w:bCs/>
        </w:rPr>
        <w:t>who are</w:t>
      </w:r>
      <w:r w:rsidR="00062834" w:rsidRPr="0057597F">
        <w:rPr>
          <w:b/>
          <w:bCs/>
        </w:rPr>
        <w:t xml:space="preserve"> </w:t>
      </w:r>
      <w:r w:rsidRPr="0057597F">
        <w:rPr>
          <w:b/>
          <w:bCs/>
        </w:rPr>
        <w:t>held in correctional institutions. It should ensure that drug-prevention and rehabilitation program</w:t>
      </w:r>
      <w:r w:rsidR="00062834">
        <w:rPr>
          <w:b/>
          <w:bCs/>
        </w:rPr>
        <w:t>me</w:t>
      </w:r>
      <w:r w:rsidRPr="0057597F">
        <w:rPr>
          <w:b/>
          <w:bCs/>
        </w:rPr>
        <w:t xml:space="preserve">s are available to all children. </w:t>
      </w:r>
    </w:p>
    <w:p w:rsidR="005136B9" w:rsidRDefault="00B6172D" w:rsidP="0057597F">
      <w:pPr>
        <w:pStyle w:val="H23G"/>
      </w:pPr>
      <w:r>
        <w:tab/>
      </w:r>
      <w:r>
        <w:tab/>
      </w:r>
      <w:r w:rsidR="001349AA">
        <w:t>Political rights</w:t>
      </w:r>
      <w:r w:rsidR="00964B0B">
        <w:t xml:space="preserve"> </w:t>
      </w:r>
    </w:p>
    <w:p w:rsidR="00964B0B" w:rsidRPr="0084270E" w:rsidRDefault="00964B0B" w:rsidP="0057597F">
      <w:pPr>
        <w:pStyle w:val="SingleTxtG"/>
        <w:numPr>
          <w:ilvl w:val="0"/>
          <w:numId w:val="4"/>
        </w:numPr>
        <w:ind w:left="1134" w:firstLine="0"/>
      </w:pPr>
      <w:r>
        <w:t>While noting</w:t>
      </w:r>
      <w:r w:rsidRPr="009B44A9">
        <w:t xml:space="preserve"> the measures taken by the State </w:t>
      </w:r>
      <w:r>
        <w:t>p</w:t>
      </w:r>
      <w:r w:rsidRPr="009B44A9">
        <w:t xml:space="preserve">arty to complete the </w:t>
      </w:r>
      <w:r w:rsidR="00062834">
        <w:t>e</w:t>
      </w:r>
      <w:r w:rsidRPr="009B44A9">
        <w:t>lectoral list, including</w:t>
      </w:r>
      <w:r w:rsidR="00062834">
        <w:t xml:space="preserve"> by</w:t>
      </w:r>
      <w:r w:rsidRPr="009B44A9">
        <w:t xml:space="preserve"> updating the voters list four times a year, the Committee remains concerned </w:t>
      </w:r>
      <w:r>
        <w:t>about</w:t>
      </w:r>
      <w:r w:rsidRPr="009B44A9">
        <w:t xml:space="preserve"> reports that persons with disabilities</w:t>
      </w:r>
      <w:r>
        <w:t xml:space="preserve"> </w:t>
      </w:r>
      <w:r w:rsidRPr="009B44A9">
        <w:t xml:space="preserve">and </w:t>
      </w:r>
      <w:r w:rsidR="00062834">
        <w:t xml:space="preserve">persons </w:t>
      </w:r>
      <w:r w:rsidRPr="009B44A9">
        <w:t xml:space="preserve">held in </w:t>
      </w:r>
      <w:r>
        <w:t>detention facilities</w:t>
      </w:r>
      <w:r w:rsidRPr="009B44A9">
        <w:t xml:space="preserve"> have been unable to exercise their voting rights </w:t>
      </w:r>
      <w:r w:rsidR="00062834">
        <w:t>owing</w:t>
      </w:r>
      <w:r w:rsidR="00062834" w:rsidRPr="009B44A9">
        <w:t xml:space="preserve"> </w:t>
      </w:r>
      <w:r w:rsidRPr="009B44A9">
        <w:t>to administrative obstacles</w:t>
      </w:r>
      <w:r w:rsidR="00DB5A53">
        <w:t xml:space="preserve"> </w:t>
      </w:r>
      <w:r w:rsidR="00DB5A53" w:rsidRPr="0057597F">
        <w:t>(art. 25)</w:t>
      </w:r>
      <w:r w:rsidR="004B0049">
        <w:t>.</w:t>
      </w:r>
    </w:p>
    <w:p w:rsidR="00964B0B" w:rsidRPr="0057597F" w:rsidRDefault="00964B0B" w:rsidP="0057597F">
      <w:pPr>
        <w:pStyle w:val="SingleTxtG"/>
        <w:rPr>
          <w:b/>
          <w:bCs/>
        </w:rPr>
      </w:pPr>
      <w:r w:rsidRPr="0057597F">
        <w:rPr>
          <w:b/>
          <w:bCs/>
        </w:rPr>
        <w:t xml:space="preserve">The State </w:t>
      </w:r>
      <w:r w:rsidR="00062834">
        <w:rPr>
          <w:b/>
          <w:bCs/>
        </w:rPr>
        <w:t>p</w:t>
      </w:r>
      <w:r w:rsidRPr="0057597F">
        <w:rPr>
          <w:b/>
          <w:bCs/>
        </w:rPr>
        <w:t xml:space="preserve">arty should ensure that voting rights are made accessible to all citizens, including persons with disabilities and </w:t>
      </w:r>
      <w:r w:rsidR="00062834">
        <w:rPr>
          <w:b/>
          <w:bCs/>
        </w:rPr>
        <w:t>persons</w:t>
      </w:r>
      <w:r w:rsidRPr="0057597F">
        <w:rPr>
          <w:b/>
          <w:bCs/>
        </w:rPr>
        <w:t xml:space="preserve"> deprived of their liberty. The State party should also take measures to rectify all administrative obstacles to ensure the equal and full voting rights of all citizens.</w:t>
      </w:r>
    </w:p>
    <w:p w:rsidR="00964B0B" w:rsidRPr="009B44A9" w:rsidRDefault="00964B0B">
      <w:pPr>
        <w:pStyle w:val="H23G"/>
      </w:pPr>
      <w:r>
        <w:tab/>
      </w:r>
      <w:r>
        <w:tab/>
      </w:r>
      <w:r w:rsidRPr="009B44A9">
        <w:t xml:space="preserve">Mass surveillance of communications </w:t>
      </w:r>
      <w:r w:rsidR="00062834">
        <w:t xml:space="preserve"> </w:t>
      </w:r>
    </w:p>
    <w:p w:rsidR="00964B0B" w:rsidRPr="0057597F" w:rsidRDefault="00964B0B" w:rsidP="0057597F">
      <w:pPr>
        <w:pStyle w:val="SingleTxtG"/>
        <w:numPr>
          <w:ilvl w:val="0"/>
          <w:numId w:val="4"/>
        </w:numPr>
        <w:ind w:left="1134" w:firstLine="0"/>
        <w:rPr>
          <w:bCs/>
        </w:rPr>
      </w:pPr>
      <w:r w:rsidRPr="009B44A9">
        <w:t xml:space="preserve">The Committee is concerned </w:t>
      </w:r>
      <w:r>
        <w:t>about</w:t>
      </w:r>
      <w:r w:rsidRPr="009B44A9">
        <w:t xml:space="preserve"> </w:t>
      </w:r>
      <w:r>
        <w:t xml:space="preserve">reports </w:t>
      </w:r>
      <w:r w:rsidRPr="009B44A9">
        <w:t xml:space="preserve">that thousands of </w:t>
      </w:r>
      <w:r>
        <w:t>State party</w:t>
      </w:r>
      <w:r w:rsidRPr="009B44A9">
        <w:t xml:space="preserve"> </w:t>
      </w:r>
      <w:r>
        <w:t>nationals</w:t>
      </w:r>
      <w:r w:rsidRPr="009B44A9">
        <w:t>, including oppos</w:t>
      </w:r>
      <w:r>
        <w:t>ition</w:t>
      </w:r>
      <w:r w:rsidRPr="009B44A9">
        <w:t xml:space="preserve"> politicians and journalists,</w:t>
      </w:r>
      <w:r w:rsidRPr="009B44A9" w:rsidDel="001A323D">
        <w:t xml:space="preserve"> </w:t>
      </w:r>
      <w:r w:rsidRPr="009B44A9">
        <w:t xml:space="preserve">have been </w:t>
      </w:r>
      <w:r>
        <w:t xml:space="preserve">allegedly </w:t>
      </w:r>
      <w:r w:rsidRPr="009B44A9">
        <w:t xml:space="preserve">subjected to </w:t>
      </w:r>
      <w:r>
        <w:t>wiret</w:t>
      </w:r>
      <w:r w:rsidRPr="009B44A9">
        <w:t xml:space="preserve">apping by the </w:t>
      </w:r>
      <w:r w:rsidR="00062834">
        <w:t>s</w:t>
      </w:r>
      <w:r w:rsidRPr="009B44A9">
        <w:t xml:space="preserve">ecurity </w:t>
      </w:r>
      <w:r w:rsidR="00062834">
        <w:t>s</w:t>
      </w:r>
      <w:r w:rsidRPr="009B44A9">
        <w:t>ervice</w:t>
      </w:r>
      <w:r>
        <w:t xml:space="preserve">s, potentially </w:t>
      </w:r>
      <w:r w:rsidR="004B0049">
        <w:t>affe</w:t>
      </w:r>
      <w:r>
        <w:t>cting their rights to freedom of expression and privacy.</w:t>
      </w:r>
      <w:r w:rsidRPr="009B44A9">
        <w:t xml:space="preserve"> The </w:t>
      </w:r>
      <w:r>
        <w:t>C</w:t>
      </w:r>
      <w:r w:rsidRPr="009B44A9">
        <w:t xml:space="preserve">ommittee is also concerned that individuals who have been subjected to unlawful surveillance are not systematically informed </w:t>
      </w:r>
      <w:r w:rsidRPr="0023718D">
        <w:rPr>
          <w:noProof/>
        </w:rPr>
        <w:t>thereof</w:t>
      </w:r>
      <w:r w:rsidRPr="009B44A9">
        <w:t xml:space="preserve"> </w:t>
      </w:r>
      <w:r w:rsidRPr="0023718D">
        <w:rPr>
          <w:noProof/>
        </w:rPr>
        <w:t>and therefore</w:t>
      </w:r>
      <w:r w:rsidRPr="009B44A9">
        <w:t xml:space="preserve"> are not in a position to </w:t>
      </w:r>
      <w:r w:rsidR="00062834">
        <w:t xml:space="preserve">gain </w:t>
      </w:r>
      <w:r w:rsidRPr="009B44A9">
        <w:t>access</w:t>
      </w:r>
      <w:r>
        <w:t xml:space="preserve"> to adequate</w:t>
      </w:r>
      <w:r w:rsidRPr="009B44A9">
        <w:t xml:space="preserve"> legal remedies</w:t>
      </w:r>
      <w:r>
        <w:t xml:space="preserve"> </w:t>
      </w:r>
      <w:r w:rsidR="00063C6C" w:rsidRPr="000C33CD">
        <w:t xml:space="preserve">(arts. </w:t>
      </w:r>
      <w:r w:rsidR="00063C6C">
        <w:t>2,</w:t>
      </w:r>
      <w:r w:rsidR="00063C6C" w:rsidRPr="000C33CD">
        <w:t xml:space="preserve"> 17</w:t>
      </w:r>
      <w:r w:rsidR="00063C6C">
        <w:t xml:space="preserve"> and 19</w:t>
      </w:r>
      <w:r w:rsidR="00063C6C" w:rsidRPr="000C33CD">
        <w:t>)</w:t>
      </w:r>
      <w:r w:rsidR="004B0049">
        <w:t>.</w:t>
      </w:r>
      <w:r w:rsidRPr="009B44A9">
        <w:t xml:space="preserve"> </w:t>
      </w:r>
    </w:p>
    <w:p w:rsidR="00964B0B" w:rsidRDefault="00964B0B">
      <w:pPr>
        <w:pStyle w:val="SingleTxtG"/>
        <w:rPr>
          <w:b/>
        </w:rPr>
      </w:pPr>
      <w:r w:rsidRPr="009B44A9">
        <w:rPr>
          <w:b/>
        </w:rPr>
        <w:t>The State party should take all measures</w:t>
      </w:r>
      <w:r w:rsidR="00062834" w:rsidRPr="00062834">
        <w:rPr>
          <w:b/>
        </w:rPr>
        <w:t xml:space="preserve"> </w:t>
      </w:r>
      <w:r w:rsidR="00062834" w:rsidRPr="009B44A9">
        <w:rPr>
          <w:b/>
        </w:rPr>
        <w:t>necessary</w:t>
      </w:r>
      <w:r w:rsidRPr="009B44A9">
        <w:rPr>
          <w:b/>
        </w:rPr>
        <w:t xml:space="preserve"> to ensure that its surveillance activities conform to its obligations under the Covenant, including article 17</w:t>
      </w:r>
      <w:r w:rsidR="00062834">
        <w:rPr>
          <w:b/>
        </w:rPr>
        <w:t>.</w:t>
      </w:r>
      <w:r w:rsidRPr="009B44A9">
        <w:rPr>
          <w:b/>
        </w:rPr>
        <w:t xml:space="preserve"> </w:t>
      </w:r>
      <w:r w:rsidR="00062834">
        <w:rPr>
          <w:b/>
        </w:rPr>
        <w:t>I</w:t>
      </w:r>
      <w:r w:rsidRPr="009B44A9">
        <w:rPr>
          <w:b/>
        </w:rPr>
        <w:t xml:space="preserve">n particular, measures should be taken to ensure that any interference with the right to privacy complies with the principles of legality, proportionality and necessity. It should also ensure that persons who </w:t>
      </w:r>
      <w:r w:rsidR="00062834">
        <w:rPr>
          <w:b/>
        </w:rPr>
        <w:t>a</w:t>
      </w:r>
      <w:r w:rsidRPr="009B44A9">
        <w:rPr>
          <w:b/>
        </w:rPr>
        <w:t>re unlawfully monitored are systematically informed thereof and have access to adequate remedies.</w:t>
      </w:r>
    </w:p>
    <w:p w:rsidR="00964B0B" w:rsidRPr="00B6277B" w:rsidRDefault="00B6172D" w:rsidP="0057597F">
      <w:pPr>
        <w:pStyle w:val="H23G"/>
      </w:pPr>
      <w:r>
        <w:tab/>
      </w:r>
      <w:r>
        <w:tab/>
      </w:r>
      <w:r w:rsidR="00964B0B" w:rsidRPr="00B6277B">
        <w:t>Dissemination of information relating to the Covenant</w:t>
      </w:r>
      <w:r w:rsidR="001676D6">
        <w:t xml:space="preserve"> </w:t>
      </w:r>
    </w:p>
    <w:p w:rsidR="00964B0B" w:rsidRPr="00B6277B" w:rsidRDefault="00964B0B" w:rsidP="0057597F">
      <w:pPr>
        <w:pStyle w:val="SingleTxtG"/>
        <w:numPr>
          <w:ilvl w:val="0"/>
          <w:numId w:val="4"/>
        </w:numPr>
        <w:ind w:left="1134" w:firstLine="0"/>
      </w:pPr>
      <w:r w:rsidRPr="00B6277B">
        <w:t>The State party should widely disseminate the Covenant</w:t>
      </w:r>
      <w:r w:rsidR="001676D6">
        <w:t>, the two Optional Protocols to the Covenant</w:t>
      </w:r>
      <w:r w:rsidR="001349AA">
        <w:t>,</w:t>
      </w:r>
      <w:r w:rsidRPr="00B6277B">
        <w:t xml:space="preserve"> the text of its </w:t>
      </w:r>
      <w:r>
        <w:t>third</w:t>
      </w:r>
      <w:r w:rsidRPr="00B6277B">
        <w:t xml:space="preserve"> periodic report, the written replies to the list of issues drawn up by the Committee and the present concluding observations among the judicial, legislative and administrative authorities, civil society and </w:t>
      </w:r>
      <w:r w:rsidR="00062834">
        <w:t>non-governmental organizations</w:t>
      </w:r>
      <w:r w:rsidR="00062834" w:rsidRPr="00B6277B">
        <w:t xml:space="preserve"> </w:t>
      </w:r>
      <w:r w:rsidRPr="00B6277B">
        <w:t xml:space="preserve">operating in the country, as well as the general public. </w:t>
      </w:r>
    </w:p>
    <w:p w:rsidR="00964B0B" w:rsidRPr="00B6277B" w:rsidRDefault="00964B0B" w:rsidP="0057536F">
      <w:pPr>
        <w:pStyle w:val="SingleTxtG"/>
        <w:numPr>
          <w:ilvl w:val="0"/>
          <w:numId w:val="4"/>
        </w:numPr>
        <w:ind w:left="1134" w:firstLine="0"/>
      </w:pPr>
      <w:r w:rsidRPr="00B6277B">
        <w:t xml:space="preserve">In accordance with rule 71, paragraph 5, of the Committee’s rules of procedure, the State party should provide, within one year, relevant information on its implementation of the Committee’s recommendations made in paragraphs </w:t>
      </w:r>
      <w:r w:rsidR="00D727CD">
        <w:t xml:space="preserve">15 </w:t>
      </w:r>
      <w:r>
        <w:t>(</w:t>
      </w:r>
      <w:r w:rsidR="006A7910">
        <w:t>t</w:t>
      </w:r>
      <w:r w:rsidR="00D727CD" w:rsidRPr="009B44A9">
        <w:t>rafficking in human beings</w:t>
      </w:r>
      <w:r>
        <w:t>)</w:t>
      </w:r>
      <w:r w:rsidRPr="00B6277B">
        <w:t xml:space="preserve">, </w:t>
      </w:r>
      <w:r w:rsidR="00D727CD">
        <w:t>16</w:t>
      </w:r>
      <w:r w:rsidR="006A7910">
        <w:t xml:space="preserve"> </w:t>
      </w:r>
      <w:r>
        <w:t>(</w:t>
      </w:r>
      <w:r w:rsidR="006A7910">
        <w:t>f</w:t>
      </w:r>
      <w:r w:rsidR="00D727CD" w:rsidRPr="0057597F">
        <w:t>reedom of movement</w:t>
      </w:r>
      <w:r>
        <w:t xml:space="preserve">) </w:t>
      </w:r>
      <w:r w:rsidRPr="00B6277B">
        <w:t>and</w:t>
      </w:r>
      <w:r w:rsidR="00D727CD">
        <w:t xml:space="preserve"> </w:t>
      </w:r>
      <w:r w:rsidR="00063C6C">
        <w:t>23</w:t>
      </w:r>
      <w:r w:rsidR="00D727CD">
        <w:t xml:space="preserve"> </w:t>
      </w:r>
      <w:r>
        <w:t>(</w:t>
      </w:r>
      <w:r w:rsidR="006A7910">
        <w:t>m</w:t>
      </w:r>
      <w:r w:rsidR="00D727CD" w:rsidRPr="009B44A9">
        <w:t>ass surveillance of communications</w:t>
      </w:r>
      <w:r>
        <w:t>)</w:t>
      </w:r>
      <w:r w:rsidRPr="00B6277B">
        <w:t xml:space="preserve"> above.</w:t>
      </w:r>
    </w:p>
    <w:p w:rsidR="00964B0B" w:rsidRDefault="00964B0B" w:rsidP="0057597F">
      <w:pPr>
        <w:pStyle w:val="SingleTxtG"/>
        <w:numPr>
          <w:ilvl w:val="0"/>
          <w:numId w:val="4"/>
        </w:numPr>
        <w:ind w:left="1134" w:firstLine="0"/>
      </w:pPr>
      <w:r w:rsidRPr="00B6277B">
        <w:t>The Committee requests the State party to</w:t>
      </w:r>
      <w:r>
        <w:t xml:space="preserve"> submit </w:t>
      </w:r>
      <w:r w:rsidRPr="00B6277B">
        <w:t xml:space="preserve">its next periodic report </w:t>
      </w:r>
      <w:r w:rsidR="00BD658F">
        <w:t>by</w:t>
      </w:r>
      <w:r w:rsidRPr="00B6277B">
        <w:t xml:space="preserve"> </w:t>
      </w:r>
      <w:r>
        <w:t>24 July 20</w:t>
      </w:r>
      <w:r w:rsidR="00D727CD">
        <w:t xml:space="preserve">20 </w:t>
      </w:r>
      <w:r>
        <w:t>and to include</w:t>
      </w:r>
      <w:r w:rsidRPr="00B6277B">
        <w:t xml:space="preserve"> specific up-to-date information on the implementation of all its recommendations and o</w:t>
      </w:r>
      <w:r w:rsidR="00BD658F">
        <w:t>f</w:t>
      </w:r>
      <w:r w:rsidRPr="00B6277B">
        <w:t xml:space="preserve"> the Covenant as a whole. The Committee requests the State party</w:t>
      </w:r>
      <w:r w:rsidR="00BD658F">
        <w:t>,</w:t>
      </w:r>
      <w:r>
        <w:t xml:space="preserve"> in the preparation of the </w:t>
      </w:r>
      <w:r w:rsidRPr="00B6277B">
        <w:t>report</w:t>
      </w:r>
      <w:r w:rsidR="00BD658F">
        <w:t>,</w:t>
      </w:r>
      <w:r w:rsidRPr="00B6277B">
        <w:t xml:space="preserve"> to broadly consult civil society and </w:t>
      </w:r>
      <w:r>
        <w:t>non-governmental organizations</w:t>
      </w:r>
      <w:r w:rsidRPr="00B6277B">
        <w:t xml:space="preserve"> operating in the country.</w:t>
      </w:r>
      <w:r>
        <w:t xml:space="preserve"> </w:t>
      </w:r>
      <w:r w:rsidR="00BD658F">
        <w:t>T</w:t>
      </w:r>
      <w:r>
        <w:t>he word limit for the report is 21,200 words</w:t>
      </w:r>
      <w:r w:rsidR="00BD658F">
        <w:t>, in accordance with General Assembly resolution 68/268</w:t>
      </w:r>
      <w:r>
        <w:t>.</w:t>
      </w:r>
    </w:p>
    <w:p w:rsidR="00442A83" w:rsidRPr="00964B0B" w:rsidRDefault="00964B0B" w:rsidP="00964B0B">
      <w:pPr>
        <w:pStyle w:val="SingleTxtG"/>
        <w:spacing w:before="240" w:after="0"/>
        <w:jc w:val="center"/>
        <w:rPr>
          <w:u w:val="single"/>
        </w:rPr>
      </w:pPr>
      <w:r>
        <w:rPr>
          <w:u w:val="single"/>
        </w:rPr>
        <w:tab/>
      </w:r>
      <w:r>
        <w:rPr>
          <w:u w:val="single"/>
        </w:rPr>
        <w:tab/>
      </w:r>
      <w:r>
        <w:rPr>
          <w:u w:val="single"/>
        </w:rPr>
        <w:tab/>
      </w:r>
    </w:p>
    <w:sectPr w:rsidR="00442A83" w:rsidRPr="00964B0B" w:rsidSect="00437AC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08:04:00Z" w:initials="Start">
    <w:p w:rsidR="00437AC6" w:rsidRDefault="00437AC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NO&gt;&gt;N1518116E&lt;&lt;ODS JOB NO&gt;&gt;</w:t>
      </w:r>
    </w:p>
    <w:p w:rsidR="00437AC6" w:rsidRDefault="00437AC6">
      <w:pPr>
        <w:pStyle w:val="CommentText"/>
      </w:pPr>
      <w:r>
        <w:t>&lt;&lt;ODS DOC SYMBOL1&gt;&gt;CCPR/C/MKD/CO/3&lt;&lt;ODS DOC SYMBOL1&gt;&gt;</w:t>
      </w:r>
    </w:p>
    <w:p w:rsidR="00437AC6" w:rsidRDefault="00437AC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FB" w:rsidRDefault="00BC3FFB"/>
  </w:endnote>
  <w:endnote w:type="continuationSeparator" w:id="0">
    <w:p w:rsidR="00BC3FFB" w:rsidRDefault="00BC3FFB"/>
  </w:endnote>
  <w:endnote w:type="continuationNotice" w:id="1">
    <w:p w:rsidR="00BC3FFB" w:rsidRDefault="00BC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0B" w:rsidRPr="00964B0B" w:rsidRDefault="00964B0B">
    <w:pPr>
      <w:pStyle w:val="Footer"/>
      <w:tabs>
        <w:tab w:val="right" w:pos="9638"/>
      </w:tabs>
      <w:rPr>
        <w:b/>
        <w:sz w:val="18"/>
      </w:rPr>
    </w:pPr>
    <w:r w:rsidRPr="00964B0B">
      <w:rPr>
        <w:b/>
        <w:sz w:val="18"/>
      </w:rPr>
      <w:fldChar w:fldCharType="begin"/>
    </w:r>
    <w:r w:rsidRPr="00964B0B">
      <w:rPr>
        <w:b/>
        <w:sz w:val="18"/>
      </w:rPr>
      <w:instrText xml:space="preserve"> PAGE  \* MERGEFORMAT </w:instrText>
    </w:r>
    <w:r w:rsidRPr="00964B0B">
      <w:rPr>
        <w:b/>
        <w:sz w:val="18"/>
      </w:rPr>
      <w:fldChar w:fldCharType="separate"/>
    </w:r>
    <w:r w:rsidR="008D4C7C">
      <w:rPr>
        <w:b/>
        <w:noProof/>
        <w:sz w:val="18"/>
      </w:rPr>
      <w:t>8</w:t>
    </w:r>
    <w:r w:rsidRPr="00964B0B">
      <w:rPr>
        <w:b/>
        <w:sz w:val="18"/>
      </w:rPr>
      <w:fldChar w:fldCharType="end"/>
    </w:r>
    <w:r w:rsidR="003D3315">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0B" w:rsidRPr="00964B0B" w:rsidRDefault="003D3315">
    <w:pPr>
      <w:pStyle w:val="Footer"/>
      <w:tabs>
        <w:tab w:val="right" w:pos="9638"/>
      </w:tabs>
    </w:pPr>
    <w:r>
      <w:rPr>
        <w:b/>
        <w:sz w:val="18"/>
      </w:rPr>
      <w:tab/>
    </w:r>
    <w:r w:rsidR="00964B0B" w:rsidRPr="00964B0B">
      <w:rPr>
        <w:b/>
        <w:sz w:val="18"/>
      </w:rPr>
      <w:fldChar w:fldCharType="begin"/>
    </w:r>
    <w:r w:rsidR="00964B0B" w:rsidRPr="00964B0B">
      <w:rPr>
        <w:b/>
        <w:sz w:val="18"/>
      </w:rPr>
      <w:instrText xml:space="preserve"> PAGE  \* MERGEFORMAT </w:instrText>
    </w:r>
    <w:r w:rsidR="00964B0B" w:rsidRPr="00964B0B">
      <w:rPr>
        <w:b/>
        <w:sz w:val="18"/>
      </w:rPr>
      <w:fldChar w:fldCharType="separate"/>
    </w:r>
    <w:r w:rsidR="008D4C7C">
      <w:rPr>
        <w:b/>
        <w:noProof/>
        <w:sz w:val="18"/>
      </w:rPr>
      <w:t>7</w:t>
    </w:r>
    <w:r w:rsidR="00964B0B" w:rsidRPr="00964B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37AC6" w:rsidTr="00437AC6">
      <w:tc>
        <w:tcPr>
          <w:tcW w:w="3614" w:type="dxa"/>
          <w:shd w:val="clear" w:color="auto" w:fill="auto"/>
        </w:tcPr>
        <w:p w:rsidR="00437AC6" w:rsidRDefault="00437AC6" w:rsidP="00437AC6">
          <w:pPr>
            <w:pStyle w:val="Footer"/>
            <w:rPr>
              <w:sz w:val="20"/>
            </w:rPr>
          </w:pPr>
          <w:r>
            <w:rPr>
              <w:noProof/>
              <w:lang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CPR/C/MKD/CO/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MKD/CO/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GE.15-13454(E)</w:t>
          </w:r>
        </w:p>
        <w:p w:rsidR="00437AC6" w:rsidRPr="00437AC6" w:rsidRDefault="00437AC6" w:rsidP="00437AC6">
          <w:pPr>
            <w:pStyle w:val="Footer"/>
            <w:rPr>
              <w:rFonts w:ascii="Barcode 3 of 9 by request" w:hAnsi="Barcode 3 of 9 by request"/>
              <w:sz w:val="24"/>
            </w:rPr>
          </w:pPr>
          <w:r>
            <w:rPr>
              <w:rFonts w:ascii="Barcode 3 of 9 by request" w:hAnsi="Barcode 3 of 9 by request"/>
              <w:sz w:val="24"/>
            </w:rPr>
            <w:t>*1513454*</w:t>
          </w:r>
        </w:p>
      </w:tc>
      <w:tc>
        <w:tcPr>
          <w:tcW w:w="4752" w:type="dxa"/>
          <w:shd w:val="clear" w:color="auto" w:fill="auto"/>
        </w:tcPr>
        <w:p w:rsidR="00437AC6" w:rsidRDefault="00437AC6" w:rsidP="00437AC6">
          <w:pPr>
            <w:pStyle w:val="Footer"/>
            <w:spacing w:line="240" w:lineRule="atLeast"/>
            <w:jc w:val="right"/>
            <w:rPr>
              <w:sz w:val="20"/>
            </w:rPr>
          </w:pPr>
          <w:r>
            <w:rPr>
              <w:noProof/>
              <w:sz w:val="20"/>
              <w:lang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437AC6" w:rsidRPr="00437AC6" w:rsidRDefault="00437AC6" w:rsidP="00437AC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FB" w:rsidRPr="000B175B" w:rsidRDefault="00BC3FFB" w:rsidP="000B175B">
      <w:pPr>
        <w:tabs>
          <w:tab w:val="right" w:pos="2155"/>
        </w:tabs>
        <w:spacing w:after="80"/>
        <w:ind w:left="680"/>
        <w:rPr>
          <w:u w:val="single"/>
        </w:rPr>
      </w:pPr>
      <w:r>
        <w:rPr>
          <w:u w:val="single"/>
        </w:rPr>
        <w:tab/>
      </w:r>
    </w:p>
  </w:footnote>
  <w:footnote w:type="continuationSeparator" w:id="0">
    <w:p w:rsidR="00BC3FFB" w:rsidRPr="00FC68B7" w:rsidRDefault="00BC3FFB" w:rsidP="00FC68B7">
      <w:pPr>
        <w:tabs>
          <w:tab w:val="left" w:pos="2155"/>
        </w:tabs>
        <w:spacing w:after="80"/>
        <w:ind w:left="680"/>
        <w:rPr>
          <w:u w:val="single"/>
        </w:rPr>
      </w:pPr>
      <w:r>
        <w:rPr>
          <w:u w:val="single"/>
        </w:rPr>
        <w:tab/>
      </w:r>
    </w:p>
  </w:footnote>
  <w:footnote w:type="continuationNotice" w:id="1">
    <w:p w:rsidR="00BC3FFB" w:rsidRDefault="00BC3FFB"/>
  </w:footnote>
  <w:footnote w:id="2">
    <w:p w:rsidR="00964B0B" w:rsidRPr="005012B6" w:rsidRDefault="00964B0B" w:rsidP="00964B0B">
      <w:pPr>
        <w:pStyle w:val="FootnoteText"/>
      </w:pPr>
      <w:r>
        <w:tab/>
      </w:r>
      <w:r w:rsidRPr="0057597F">
        <w:rPr>
          <w:rStyle w:val="FootnoteReference"/>
          <w:sz w:val="20"/>
          <w:vertAlign w:val="baseline"/>
        </w:rPr>
        <w:t>*</w:t>
      </w:r>
      <w:r w:rsidRPr="00804557">
        <w:tab/>
      </w:r>
      <w:r w:rsidR="007F17A5">
        <w:t>Adopted by the Committee at its 114th</w:t>
      </w:r>
      <w:r w:rsidR="007F17A5">
        <w:rPr>
          <w:color w:val="FF0000"/>
        </w:rPr>
        <w:t xml:space="preserve"> </w:t>
      </w:r>
      <w:r w:rsidR="007F17A5" w:rsidRPr="007B6801">
        <w:t xml:space="preserve">session </w:t>
      </w:r>
      <w:r w:rsidR="007F17A5" w:rsidRPr="00E36DC0">
        <w:t>(29 June–24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0B" w:rsidRPr="00964B0B" w:rsidRDefault="00964B0B" w:rsidP="0057597F">
    <w:pPr>
      <w:pStyle w:val="Header"/>
    </w:pPr>
    <w:r>
      <w:t>CCPR/C</w:t>
    </w:r>
    <w:r w:rsidR="003D3315">
      <w:t>/</w:t>
    </w:r>
    <w:r>
      <w:t>MKD/CO/3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0B" w:rsidRPr="00964B0B" w:rsidRDefault="00964B0B" w:rsidP="0057597F">
    <w:pPr>
      <w:pStyle w:val="Header"/>
      <w:jc w:val="right"/>
    </w:pPr>
    <w:r>
      <w:t>CCPR/C</w:t>
    </w:r>
    <w:r w:rsidR="003D3315">
      <w:t>/</w:t>
    </w:r>
    <w:r>
      <w:t>MKD/CO/3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84363D"/>
    <w:multiLevelType w:val="hybridMultilevel"/>
    <w:tmpl w:val="A9662F4E"/>
    <w:lvl w:ilvl="0" w:tplc="F620A9F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60FD20AB"/>
    <w:multiLevelType w:val="hybridMultilevel"/>
    <w:tmpl w:val="161A5C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0B"/>
    <w:rsid w:val="000272B3"/>
    <w:rsid w:val="00050F6B"/>
    <w:rsid w:val="00057E97"/>
    <w:rsid w:val="00060C3A"/>
    <w:rsid w:val="00062834"/>
    <w:rsid w:val="00063C6C"/>
    <w:rsid w:val="00070EC6"/>
    <w:rsid w:val="00072C8C"/>
    <w:rsid w:val="000733B5"/>
    <w:rsid w:val="00081815"/>
    <w:rsid w:val="00081E2A"/>
    <w:rsid w:val="000866E3"/>
    <w:rsid w:val="000931C0"/>
    <w:rsid w:val="000B175B"/>
    <w:rsid w:val="000B3A0F"/>
    <w:rsid w:val="000B4EF7"/>
    <w:rsid w:val="000C2C03"/>
    <w:rsid w:val="000C2D2E"/>
    <w:rsid w:val="000D1FD1"/>
    <w:rsid w:val="000D3469"/>
    <w:rsid w:val="000E0415"/>
    <w:rsid w:val="00106E6F"/>
    <w:rsid w:val="001103AA"/>
    <w:rsid w:val="001247CC"/>
    <w:rsid w:val="001349AA"/>
    <w:rsid w:val="001433E3"/>
    <w:rsid w:val="00165F3A"/>
    <w:rsid w:val="001676D6"/>
    <w:rsid w:val="00183968"/>
    <w:rsid w:val="001A6686"/>
    <w:rsid w:val="001B2203"/>
    <w:rsid w:val="001B4B04"/>
    <w:rsid w:val="001C6663"/>
    <w:rsid w:val="001C7895"/>
    <w:rsid w:val="001D0C8C"/>
    <w:rsid w:val="001D26DF"/>
    <w:rsid w:val="001D3A03"/>
    <w:rsid w:val="001E61C9"/>
    <w:rsid w:val="00202DA8"/>
    <w:rsid w:val="00211E0B"/>
    <w:rsid w:val="0023210C"/>
    <w:rsid w:val="002343E0"/>
    <w:rsid w:val="00241803"/>
    <w:rsid w:val="00267F5F"/>
    <w:rsid w:val="00286B4D"/>
    <w:rsid w:val="00293A32"/>
    <w:rsid w:val="002A3879"/>
    <w:rsid w:val="002C093C"/>
    <w:rsid w:val="002C42D6"/>
    <w:rsid w:val="002F175C"/>
    <w:rsid w:val="003229D8"/>
    <w:rsid w:val="00345EDF"/>
    <w:rsid w:val="00352709"/>
    <w:rsid w:val="003550FC"/>
    <w:rsid w:val="00367567"/>
    <w:rsid w:val="00371178"/>
    <w:rsid w:val="0038336C"/>
    <w:rsid w:val="003845B6"/>
    <w:rsid w:val="003A3325"/>
    <w:rsid w:val="003A3F2F"/>
    <w:rsid w:val="003A6810"/>
    <w:rsid w:val="003C2CC4"/>
    <w:rsid w:val="003C7A31"/>
    <w:rsid w:val="003D3315"/>
    <w:rsid w:val="003D4B23"/>
    <w:rsid w:val="003E2A46"/>
    <w:rsid w:val="00410C89"/>
    <w:rsid w:val="0041595E"/>
    <w:rsid w:val="00426B9B"/>
    <w:rsid w:val="004325CB"/>
    <w:rsid w:val="00436B33"/>
    <w:rsid w:val="00437AC6"/>
    <w:rsid w:val="00442A83"/>
    <w:rsid w:val="00446B00"/>
    <w:rsid w:val="0045495B"/>
    <w:rsid w:val="00487488"/>
    <w:rsid w:val="004B0049"/>
    <w:rsid w:val="004B4035"/>
    <w:rsid w:val="004E2F30"/>
    <w:rsid w:val="005136B9"/>
    <w:rsid w:val="0052136D"/>
    <w:rsid w:val="0052775E"/>
    <w:rsid w:val="0053166D"/>
    <w:rsid w:val="005420F2"/>
    <w:rsid w:val="005628B6"/>
    <w:rsid w:val="0057536F"/>
    <w:rsid w:val="0057597F"/>
    <w:rsid w:val="005848B3"/>
    <w:rsid w:val="00590F87"/>
    <w:rsid w:val="00592C4A"/>
    <w:rsid w:val="005A4795"/>
    <w:rsid w:val="005B3DB3"/>
    <w:rsid w:val="005F7717"/>
    <w:rsid w:val="005F7B75"/>
    <w:rsid w:val="006001EE"/>
    <w:rsid w:val="006012CB"/>
    <w:rsid w:val="00605042"/>
    <w:rsid w:val="00611FC4"/>
    <w:rsid w:val="006176FB"/>
    <w:rsid w:val="00640B26"/>
    <w:rsid w:val="00642947"/>
    <w:rsid w:val="00642BBC"/>
    <w:rsid w:val="00652D0A"/>
    <w:rsid w:val="00662BB6"/>
    <w:rsid w:val="00684C21"/>
    <w:rsid w:val="006A7910"/>
    <w:rsid w:val="006D37AF"/>
    <w:rsid w:val="006D51D0"/>
    <w:rsid w:val="006E564B"/>
    <w:rsid w:val="006E7191"/>
    <w:rsid w:val="00703577"/>
    <w:rsid w:val="0072632A"/>
    <w:rsid w:val="007327D5"/>
    <w:rsid w:val="007629C8"/>
    <w:rsid w:val="007B6801"/>
    <w:rsid w:val="007B6BA5"/>
    <w:rsid w:val="007B7CC6"/>
    <w:rsid w:val="007C3390"/>
    <w:rsid w:val="007C4F4B"/>
    <w:rsid w:val="007C784F"/>
    <w:rsid w:val="007E068D"/>
    <w:rsid w:val="007E0B2D"/>
    <w:rsid w:val="007F17A5"/>
    <w:rsid w:val="007F6611"/>
    <w:rsid w:val="008105B8"/>
    <w:rsid w:val="0081562D"/>
    <w:rsid w:val="008242D7"/>
    <w:rsid w:val="008257B1"/>
    <w:rsid w:val="0084270E"/>
    <w:rsid w:val="00843767"/>
    <w:rsid w:val="00861AC8"/>
    <w:rsid w:val="008679D9"/>
    <w:rsid w:val="008979B1"/>
    <w:rsid w:val="008A1DB2"/>
    <w:rsid w:val="008A6B25"/>
    <w:rsid w:val="008A6C4F"/>
    <w:rsid w:val="008B2335"/>
    <w:rsid w:val="008D4C7C"/>
    <w:rsid w:val="008E0678"/>
    <w:rsid w:val="008E2F81"/>
    <w:rsid w:val="00910F40"/>
    <w:rsid w:val="00912C08"/>
    <w:rsid w:val="009223CA"/>
    <w:rsid w:val="00935B53"/>
    <w:rsid w:val="00940F93"/>
    <w:rsid w:val="0095347F"/>
    <w:rsid w:val="00955D51"/>
    <w:rsid w:val="009613BB"/>
    <w:rsid w:val="00964B0B"/>
    <w:rsid w:val="009760F3"/>
    <w:rsid w:val="00977614"/>
    <w:rsid w:val="009909F5"/>
    <w:rsid w:val="009A0E8D"/>
    <w:rsid w:val="009B26E7"/>
    <w:rsid w:val="00A00A3F"/>
    <w:rsid w:val="00A01489"/>
    <w:rsid w:val="00A21CF5"/>
    <w:rsid w:val="00A338F1"/>
    <w:rsid w:val="00A44615"/>
    <w:rsid w:val="00A67E35"/>
    <w:rsid w:val="00A72F22"/>
    <w:rsid w:val="00A7360F"/>
    <w:rsid w:val="00A748A6"/>
    <w:rsid w:val="00A769F4"/>
    <w:rsid w:val="00A776B4"/>
    <w:rsid w:val="00A94361"/>
    <w:rsid w:val="00AA293C"/>
    <w:rsid w:val="00AA5AB2"/>
    <w:rsid w:val="00B040E3"/>
    <w:rsid w:val="00B13E9B"/>
    <w:rsid w:val="00B30179"/>
    <w:rsid w:val="00B339A7"/>
    <w:rsid w:val="00B35ECD"/>
    <w:rsid w:val="00B56E4A"/>
    <w:rsid w:val="00B56E9C"/>
    <w:rsid w:val="00B6172D"/>
    <w:rsid w:val="00B64B1F"/>
    <w:rsid w:val="00B6553F"/>
    <w:rsid w:val="00B66E5E"/>
    <w:rsid w:val="00B77D05"/>
    <w:rsid w:val="00B81206"/>
    <w:rsid w:val="00B81E12"/>
    <w:rsid w:val="00B839FA"/>
    <w:rsid w:val="00B9067B"/>
    <w:rsid w:val="00BC2C23"/>
    <w:rsid w:val="00BC3FFB"/>
    <w:rsid w:val="00BC74E9"/>
    <w:rsid w:val="00BD658F"/>
    <w:rsid w:val="00BE24F4"/>
    <w:rsid w:val="00BF68A8"/>
    <w:rsid w:val="00C11A03"/>
    <w:rsid w:val="00C16205"/>
    <w:rsid w:val="00C41C1D"/>
    <w:rsid w:val="00C463DD"/>
    <w:rsid w:val="00C4724C"/>
    <w:rsid w:val="00C629A0"/>
    <w:rsid w:val="00C745C3"/>
    <w:rsid w:val="00CB7BF3"/>
    <w:rsid w:val="00CE4A8F"/>
    <w:rsid w:val="00D05A7A"/>
    <w:rsid w:val="00D2031B"/>
    <w:rsid w:val="00D25BB3"/>
    <w:rsid w:val="00D25CE9"/>
    <w:rsid w:val="00D25FE2"/>
    <w:rsid w:val="00D37307"/>
    <w:rsid w:val="00D421F0"/>
    <w:rsid w:val="00D43252"/>
    <w:rsid w:val="00D47EEA"/>
    <w:rsid w:val="00D727CD"/>
    <w:rsid w:val="00D7438A"/>
    <w:rsid w:val="00D95303"/>
    <w:rsid w:val="00D978C6"/>
    <w:rsid w:val="00DA3111"/>
    <w:rsid w:val="00DA3C1C"/>
    <w:rsid w:val="00DB0C79"/>
    <w:rsid w:val="00DB5A53"/>
    <w:rsid w:val="00DD09E3"/>
    <w:rsid w:val="00DE3BA2"/>
    <w:rsid w:val="00E27346"/>
    <w:rsid w:val="00E36DC0"/>
    <w:rsid w:val="00E40014"/>
    <w:rsid w:val="00E5492E"/>
    <w:rsid w:val="00E71BC8"/>
    <w:rsid w:val="00E7260F"/>
    <w:rsid w:val="00E779FC"/>
    <w:rsid w:val="00E96630"/>
    <w:rsid w:val="00EB2581"/>
    <w:rsid w:val="00ED7A2A"/>
    <w:rsid w:val="00EF1D7F"/>
    <w:rsid w:val="00F13D03"/>
    <w:rsid w:val="00F13F8C"/>
    <w:rsid w:val="00F20C3D"/>
    <w:rsid w:val="00F43E9E"/>
    <w:rsid w:val="00F64D43"/>
    <w:rsid w:val="00F9057C"/>
    <w:rsid w:val="00F906D7"/>
    <w:rsid w:val="00F93781"/>
    <w:rsid w:val="00FB613B"/>
    <w:rsid w:val="00FC68B7"/>
    <w:rsid w:val="00FC7652"/>
    <w:rsid w:val="00FE106A"/>
    <w:rsid w:val="00FF796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C093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C093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64B0B"/>
    <w:rPr>
      <w:lang w:eastAsia="en-US"/>
    </w:rPr>
  </w:style>
  <w:style w:type="character" w:customStyle="1" w:styleId="FootnoteTextChar">
    <w:name w:val="Footnote Text Char"/>
    <w:aliases w:val="5_G Char"/>
    <w:link w:val="FootnoteText"/>
    <w:rsid w:val="00964B0B"/>
    <w:rPr>
      <w:rFonts w:eastAsia="SimSun"/>
      <w:sz w:val="18"/>
      <w:lang w:val="en-US" w:eastAsia="zh-CN"/>
    </w:rPr>
  </w:style>
  <w:style w:type="paragraph" w:styleId="CommentText">
    <w:name w:val="annotation text"/>
    <w:basedOn w:val="Normal"/>
    <w:link w:val="CommentTextChar"/>
    <w:uiPriority w:val="99"/>
    <w:unhideWhenUsed/>
    <w:rsid w:val="00964B0B"/>
    <w:pPr>
      <w:suppressAutoHyphens w:val="0"/>
      <w:spacing w:after="200" w:line="240" w:lineRule="auto"/>
    </w:pPr>
    <w:rPr>
      <w:rFonts w:ascii="Calibri" w:eastAsia="Calibri" w:hAnsi="Calibri" w:cs="Arial"/>
    </w:rPr>
  </w:style>
  <w:style w:type="character" w:customStyle="1" w:styleId="CommentTextChar">
    <w:name w:val="Comment Text Char"/>
    <w:link w:val="CommentText"/>
    <w:uiPriority w:val="99"/>
    <w:rsid w:val="00964B0B"/>
    <w:rPr>
      <w:rFonts w:ascii="Calibri" w:eastAsia="Calibri" w:hAnsi="Calibri" w:cs="Arial"/>
      <w:lang w:eastAsia="en-US"/>
    </w:rPr>
  </w:style>
  <w:style w:type="paragraph" w:customStyle="1" w:styleId="Default">
    <w:name w:val="Default"/>
    <w:rsid w:val="00964B0B"/>
    <w:pPr>
      <w:autoSpaceDE w:val="0"/>
      <w:autoSpaceDN w:val="0"/>
      <w:adjustRightInd w:val="0"/>
    </w:pPr>
    <w:rPr>
      <w:rFonts w:ascii="Calibri" w:eastAsia="Calibri" w:hAnsi="Calibri" w:cs="Calibri"/>
      <w:color w:val="000000"/>
      <w:sz w:val="24"/>
      <w:szCs w:val="24"/>
      <w:lang w:eastAsia="en-US"/>
    </w:rPr>
  </w:style>
  <w:style w:type="character" w:customStyle="1" w:styleId="H23GChar">
    <w:name w:val="_ H_2/3_G Char"/>
    <w:link w:val="H23G"/>
    <w:locked/>
    <w:rsid w:val="00964B0B"/>
    <w:rPr>
      <w:b/>
      <w:lang w:eastAsia="en-US"/>
    </w:rPr>
  </w:style>
  <w:style w:type="paragraph" w:styleId="ListParagraph">
    <w:name w:val="List Paragraph"/>
    <w:basedOn w:val="Normal"/>
    <w:uiPriority w:val="34"/>
    <w:qFormat/>
    <w:rsid w:val="00964B0B"/>
    <w:pPr>
      <w:suppressAutoHyphens w:val="0"/>
      <w:spacing w:after="200" w:line="276" w:lineRule="auto"/>
      <w:ind w:left="720"/>
      <w:contextualSpacing/>
    </w:pPr>
    <w:rPr>
      <w:rFonts w:ascii="Calibri" w:eastAsia="Calibri" w:hAnsi="Calibri" w:cs="Arial"/>
      <w:sz w:val="22"/>
      <w:szCs w:val="22"/>
    </w:rPr>
  </w:style>
  <w:style w:type="character" w:customStyle="1" w:styleId="tgc">
    <w:name w:val="_tgc"/>
    <w:rsid w:val="00964B0B"/>
  </w:style>
  <w:style w:type="paragraph" w:styleId="BalloonText">
    <w:name w:val="Balloon Text"/>
    <w:basedOn w:val="Normal"/>
    <w:link w:val="BalloonTextChar"/>
    <w:rsid w:val="00964B0B"/>
    <w:pPr>
      <w:spacing w:line="240" w:lineRule="auto"/>
    </w:pPr>
    <w:rPr>
      <w:rFonts w:ascii="Tahoma" w:hAnsi="Tahoma" w:cs="Tahoma"/>
      <w:sz w:val="16"/>
      <w:szCs w:val="16"/>
    </w:rPr>
  </w:style>
  <w:style w:type="character" w:customStyle="1" w:styleId="BalloonTextChar">
    <w:name w:val="Balloon Text Char"/>
    <w:link w:val="BalloonText"/>
    <w:rsid w:val="00964B0B"/>
    <w:rPr>
      <w:rFonts w:ascii="Tahoma" w:hAnsi="Tahoma" w:cs="Tahoma"/>
      <w:sz w:val="16"/>
      <w:szCs w:val="16"/>
      <w:lang w:eastAsia="en-US"/>
    </w:rPr>
  </w:style>
  <w:style w:type="paragraph" w:styleId="NormalWeb">
    <w:name w:val="Normal (Web)"/>
    <w:basedOn w:val="Normal"/>
    <w:uiPriority w:val="99"/>
    <w:unhideWhenUsed/>
    <w:rsid w:val="00E5492E"/>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081E2A"/>
    <w:rPr>
      <w:sz w:val="16"/>
      <w:szCs w:val="16"/>
    </w:rPr>
  </w:style>
  <w:style w:type="paragraph" w:styleId="CommentSubject">
    <w:name w:val="annotation subject"/>
    <w:basedOn w:val="CommentText"/>
    <w:next w:val="CommentText"/>
    <w:link w:val="CommentSubjectChar"/>
    <w:rsid w:val="00081E2A"/>
    <w:pPr>
      <w:suppressAutoHyphens/>
      <w:spacing w:after="0"/>
    </w:pPr>
    <w:rPr>
      <w:rFonts w:ascii="Times New Roman" w:eastAsia="Times New Roman" w:hAnsi="Times New Roman" w:cs="Times New Roman"/>
      <w:b/>
      <w:bCs/>
    </w:rPr>
  </w:style>
  <w:style w:type="character" w:customStyle="1" w:styleId="CommentSubjectChar">
    <w:name w:val="Comment Subject Char"/>
    <w:link w:val="CommentSubject"/>
    <w:rsid w:val="00081E2A"/>
    <w:rPr>
      <w:rFonts w:ascii="Calibri" w:eastAsia="Calibri" w:hAnsi="Calibri"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C093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C093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64B0B"/>
    <w:rPr>
      <w:lang w:eastAsia="en-US"/>
    </w:rPr>
  </w:style>
  <w:style w:type="character" w:customStyle="1" w:styleId="FootnoteTextChar">
    <w:name w:val="Footnote Text Char"/>
    <w:aliases w:val="5_G Char"/>
    <w:link w:val="FootnoteText"/>
    <w:rsid w:val="00964B0B"/>
    <w:rPr>
      <w:rFonts w:eastAsia="SimSun"/>
      <w:sz w:val="18"/>
      <w:lang w:val="en-US" w:eastAsia="zh-CN"/>
    </w:rPr>
  </w:style>
  <w:style w:type="paragraph" w:styleId="CommentText">
    <w:name w:val="annotation text"/>
    <w:basedOn w:val="Normal"/>
    <w:link w:val="CommentTextChar"/>
    <w:uiPriority w:val="99"/>
    <w:unhideWhenUsed/>
    <w:rsid w:val="00964B0B"/>
    <w:pPr>
      <w:suppressAutoHyphens w:val="0"/>
      <w:spacing w:after="200" w:line="240" w:lineRule="auto"/>
    </w:pPr>
    <w:rPr>
      <w:rFonts w:ascii="Calibri" w:eastAsia="Calibri" w:hAnsi="Calibri" w:cs="Arial"/>
    </w:rPr>
  </w:style>
  <w:style w:type="character" w:customStyle="1" w:styleId="CommentTextChar">
    <w:name w:val="Comment Text Char"/>
    <w:link w:val="CommentText"/>
    <w:uiPriority w:val="99"/>
    <w:rsid w:val="00964B0B"/>
    <w:rPr>
      <w:rFonts w:ascii="Calibri" w:eastAsia="Calibri" w:hAnsi="Calibri" w:cs="Arial"/>
      <w:lang w:eastAsia="en-US"/>
    </w:rPr>
  </w:style>
  <w:style w:type="paragraph" w:customStyle="1" w:styleId="Default">
    <w:name w:val="Default"/>
    <w:rsid w:val="00964B0B"/>
    <w:pPr>
      <w:autoSpaceDE w:val="0"/>
      <w:autoSpaceDN w:val="0"/>
      <w:adjustRightInd w:val="0"/>
    </w:pPr>
    <w:rPr>
      <w:rFonts w:ascii="Calibri" w:eastAsia="Calibri" w:hAnsi="Calibri" w:cs="Calibri"/>
      <w:color w:val="000000"/>
      <w:sz w:val="24"/>
      <w:szCs w:val="24"/>
      <w:lang w:eastAsia="en-US"/>
    </w:rPr>
  </w:style>
  <w:style w:type="character" w:customStyle="1" w:styleId="H23GChar">
    <w:name w:val="_ H_2/3_G Char"/>
    <w:link w:val="H23G"/>
    <w:locked/>
    <w:rsid w:val="00964B0B"/>
    <w:rPr>
      <w:b/>
      <w:lang w:eastAsia="en-US"/>
    </w:rPr>
  </w:style>
  <w:style w:type="paragraph" w:styleId="ListParagraph">
    <w:name w:val="List Paragraph"/>
    <w:basedOn w:val="Normal"/>
    <w:uiPriority w:val="34"/>
    <w:qFormat/>
    <w:rsid w:val="00964B0B"/>
    <w:pPr>
      <w:suppressAutoHyphens w:val="0"/>
      <w:spacing w:after="200" w:line="276" w:lineRule="auto"/>
      <w:ind w:left="720"/>
      <w:contextualSpacing/>
    </w:pPr>
    <w:rPr>
      <w:rFonts w:ascii="Calibri" w:eastAsia="Calibri" w:hAnsi="Calibri" w:cs="Arial"/>
      <w:sz w:val="22"/>
      <w:szCs w:val="22"/>
    </w:rPr>
  </w:style>
  <w:style w:type="character" w:customStyle="1" w:styleId="tgc">
    <w:name w:val="_tgc"/>
    <w:rsid w:val="00964B0B"/>
  </w:style>
  <w:style w:type="paragraph" w:styleId="BalloonText">
    <w:name w:val="Balloon Text"/>
    <w:basedOn w:val="Normal"/>
    <w:link w:val="BalloonTextChar"/>
    <w:rsid w:val="00964B0B"/>
    <w:pPr>
      <w:spacing w:line="240" w:lineRule="auto"/>
    </w:pPr>
    <w:rPr>
      <w:rFonts w:ascii="Tahoma" w:hAnsi="Tahoma" w:cs="Tahoma"/>
      <w:sz w:val="16"/>
      <w:szCs w:val="16"/>
    </w:rPr>
  </w:style>
  <w:style w:type="character" w:customStyle="1" w:styleId="BalloonTextChar">
    <w:name w:val="Balloon Text Char"/>
    <w:link w:val="BalloonText"/>
    <w:rsid w:val="00964B0B"/>
    <w:rPr>
      <w:rFonts w:ascii="Tahoma" w:hAnsi="Tahoma" w:cs="Tahoma"/>
      <w:sz w:val="16"/>
      <w:szCs w:val="16"/>
      <w:lang w:eastAsia="en-US"/>
    </w:rPr>
  </w:style>
  <w:style w:type="paragraph" w:styleId="NormalWeb">
    <w:name w:val="Normal (Web)"/>
    <w:basedOn w:val="Normal"/>
    <w:uiPriority w:val="99"/>
    <w:unhideWhenUsed/>
    <w:rsid w:val="00E5492E"/>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081E2A"/>
    <w:rPr>
      <w:sz w:val="16"/>
      <w:szCs w:val="16"/>
    </w:rPr>
  </w:style>
  <w:style w:type="paragraph" w:styleId="CommentSubject">
    <w:name w:val="annotation subject"/>
    <w:basedOn w:val="CommentText"/>
    <w:next w:val="CommentText"/>
    <w:link w:val="CommentSubjectChar"/>
    <w:rsid w:val="00081E2A"/>
    <w:pPr>
      <w:suppressAutoHyphens/>
      <w:spacing w:after="0"/>
    </w:pPr>
    <w:rPr>
      <w:rFonts w:ascii="Times New Roman" w:eastAsia="Times New Roman" w:hAnsi="Times New Roman" w:cs="Times New Roman"/>
      <w:b/>
      <w:bCs/>
    </w:rPr>
  </w:style>
  <w:style w:type="character" w:customStyle="1" w:styleId="CommentSubjectChar">
    <w:name w:val="Comment Subject Char"/>
    <w:link w:val="CommentSubject"/>
    <w:rsid w:val="00081E2A"/>
    <w:rPr>
      <w:rFonts w:ascii="Calibri" w:eastAsia="Calibr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4633">
      <w:bodyDiv w:val="1"/>
      <w:marLeft w:val="0"/>
      <w:marRight w:val="0"/>
      <w:marTop w:val="0"/>
      <w:marBottom w:val="0"/>
      <w:divBdr>
        <w:top w:val="none" w:sz="0" w:space="0" w:color="auto"/>
        <w:left w:val="none" w:sz="0" w:space="0" w:color="auto"/>
        <w:bottom w:val="none" w:sz="0" w:space="0" w:color="auto"/>
        <w:right w:val="none" w:sz="0" w:space="0" w:color="auto"/>
      </w:divBdr>
      <w:divsChild>
        <w:div w:id="124784299">
          <w:marLeft w:val="0"/>
          <w:marRight w:val="0"/>
          <w:marTop w:val="0"/>
          <w:marBottom w:val="0"/>
          <w:divBdr>
            <w:top w:val="none" w:sz="0" w:space="0" w:color="auto"/>
            <w:left w:val="none" w:sz="0" w:space="0" w:color="auto"/>
            <w:bottom w:val="none" w:sz="0" w:space="0" w:color="auto"/>
            <w:right w:val="none" w:sz="0" w:space="0" w:color="auto"/>
          </w:divBdr>
        </w:div>
        <w:div w:id="1304197758">
          <w:marLeft w:val="0"/>
          <w:marRight w:val="0"/>
          <w:marTop w:val="0"/>
          <w:marBottom w:val="0"/>
          <w:divBdr>
            <w:top w:val="none" w:sz="0" w:space="0" w:color="auto"/>
            <w:left w:val="none" w:sz="0" w:space="0" w:color="auto"/>
            <w:bottom w:val="none" w:sz="0" w:space="0" w:color="auto"/>
            <w:right w:val="none" w:sz="0" w:space="0" w:color="auto"/>
          </w:divBdr>
          <w:divsChild>
            <w:div w:id="955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A13B-FFCE-4E8A-B579-9A943DFA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TotalTime>
  <Pages>8</Pages>
  <Words>3370</Words>
  <Characters>19214</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Temporaire</cp:lastModifiedBy>
  <cp:revision>3</cp:revision>
  <cp:lastPrinted>2015-08-19T06:05:00Z</cp:lastPrinted>
  <dcterms:created xsi:type="dcterms:W3CDTF">2015-08-19T06:05:00Z</dcterms:created>
  <dcterms:modified xsi:type="dcterms:W3CDTF">2015-08-19T06:05:00Z</dcterms:modified>
</cp:coreProperties>
</file>